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DC3F2E">
      <w:pPr>
        <w:spacing w:before="240" w:line="360" w:lineRule="auto"/>
        <w:jc w:val="center"/>
        <w:rPr>
          <w:rFonts w:ascii="Cambria" w:hAnsi="Cambria"/>
          <w:b/>
          <w:sz w:val="26"/>
          <w:szCs w:val="26"/>
        </w:rPr>
      </w:pPr>
      <w:bookmarkStart w:id="0" w:name="_Hlk112237149"/>
      <w:bookmarkEnd w:id="0"/>
      <w:r>
        <w:rPr>
          <w:rFonts w:ascii="Cambria" w:hAnsi="Cambria"/>
          <w:b/>
          <w:sz w:val="26"/>
          <w:szCs w:val="26"/>
        </w:rPr>
        <w:t>CAPA DO EDITAL</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7"/>
        <w:gridCol w:w="2342"/>
        <w:gridCol w:w="2330"/>
        <w:gridCol w:w="2345"/>
      </w:tblGrid>
      <w:tr w14:paraId="205F4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4" w:type="dxa"/>
            <w:gridSpan w:val="4"/>
          </w:tcPr>
          <w:p w14:paraId="4A706FDF">
            <w:pPr>
              <w:spacing w:before="240" w:line="276" w:lineRule="auto"/>
              <w:jc w:val="center"/>
              <w:rPr>
                <w:rFonts w:ascii="Cambria" w:hAnsi="Cambria"/>
                <w:b/>
              </w:rPr>
            </w:pPr>
            <w:r>
              <w:rPr>
                <w:rFonts w:ascii="Cambria" w:hAnsi="Cambria"/>
                <w:b/>
              </w:rPr>
              <w:t>Pregão Eletrônico nº 53/2024</w:t>
            </w:r>
          </w:p>
          <w:p w14:paraId="5680A5A3">
            <w:pPr>
              <w:spacing w:line="276" w:lineRule="auto"/>
              <w:jc w:val="center"/>
              <w:rPr>
                <w:rFonts w:ascii="Cambria" w:hAnsi="Cambria"/>
                <w:b/>
              </w:rPr>
            </w:pPr>
            <w:r>
              <w:rPr>
                <w:rFonts w:ascii="Cambria" w:hAnsi="Cambria"/>
                <w:b/>
              </w:rPr>
              <w:t>Processo Administrativo nº 155796/2024</w:t>
            </w:r>
          </w:p>
        </w:tc>
      </w:tr>
      <w:tr w14:paraId="7B98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4" w:type="dxa"/>
            <w:gridSpan w:val="4"/>
          </w:tcPr>
          <w:p w14:paraId="0129D4ED">
            <w:pPr>
              <w:spacing w:before="240" w:after="0" w:line="276" w:lineRule="auto"/>
              <w:jc w:val="center"/>
              <w:rPr>
                <w:rFonts w:ascii="Cambria" w:hAnsi="Cambria"/>
                <w:b/>
              </w:rPr>
            </w:pPr>
            <w:r>
              <w:rPr>
                <w:rFonts w:ascii="Cambria" w:hAnsi="Cambria"/>
                <w:b/>
              </w:rPr>
              <w:t xml:space="preserve">Abertura dia 26 de novembro de 2024 às 08 horas </w:t>
            </w:r>
          </w:p>
          <w:p w14:paraId="3CDA282B">
            <w:pPr>
              <w:spacing w:after="0" w:line="276" w:lineRule="auto"/>
              <w:jc w:val="center"/>
              <w:rPr>
                <w:rFonts w:ascii="Cambria" w:hAnsi="Cambria"/>
                <w:b/>
              </w:rPr>
            </w:pPr>
            <w:r>
              <w:rPr>
                <w:rFonts w:ascii="Cambria" w:hAnsi="Cambria"/>
                <w:b/>
              </w:rPr>
              <w:t>(Horário de Brasília/DF)</w:t>
            </w:r>
          </w:p>
          <w:p w14:paraId="1843C993">
            <w:pPr>
              <w:spacing w:after="0" w:line="276" w:lineRule="auto"/>
              <w:jc w:val="center"/>
              <w:rPr>
                <w:rFonts w:ascii="Cambria" w:hAnsi="Cambria"/>
                <w:b/>
              </w:rPr>
            </w:pPr>
            <w:r>
              <w:rPr>
                <w:rFonts w:ascii="Cambria" w:hAnsi="Cambria"/>
                <w:b/>
              </w:rPr>
              <w:t>No</w:t>
            </w:r>
            <w:r>
              <w:rPr>
                <w:rFonts w:ascii="Cambria" w:hAnsi="Cambria"/>
                <w:b/>
                <w:spacing w:val="-13"/>
              </w:rPr>
              <w:t xml:space="preserve"> </w:t>
            </w:r>
            <w:r>
              <w:rPr>
                <w:rFonts w:ascii="Cambria" w:hAnsi="Cambria"/>
                <w:b/>
              </w:rPr>
              <w:t xml:space="preserve">sítio </w:t>
            </w:r>
            <w:r>
              <w:fldChar w:fldCharType="begin"/>
            </w:r>
            <w:r>
              <w:instrText xml:space="preserve"> HYPERLINK "http://www.bnc.org.br" </w:instrText>
            </w:r>
            <w:r>
              <w:fldChar w:fldCharType="separate"/>
            </w:r>
            <w:r>
              <w:rPr>
                <w:rStyle w:val="9"/>
                <w:rFonts w:ascii="Cambria" w:hAnsi="Cambria"/>
                <w:color w:val="auto"/>
                <w:u w:val="none"/>
                <w14:shadow w14:blurRad="50800" w14:dist="38100" w14:dir="2700000" w14:sx="100000" w14:sy="100000" w14:kx="0" w14:ky="0" w14:algn="tl">
                  <w14:srgbClr w14:val="000000">
                    <w14:alpha w14:val="60000"/>
                  </w14:srgbClr>
                </w14:shadow>
              </w:rPr>
              <w:t>www.bnc.org.b</w:t>
            </w:r>
            <w:r>
              <w:rPr>
                <w:rStyle w:val="9"/>
                <w:rFonts w:ascii="Cambria" w:hAnsi="Cambria"/>
                <w:color w:val="auto"/>
                <w:u w:val="none"/>
              </w:rPr>
              <w:t>r</w:t>
            </w:r>
            <w:r>
              <w:rPr>
                <w:rStyle w:val="9"/>
                <w:rFonts w:ascii="Cambria" w:hAnsi="Cambria"/>
                <w:color w:val="auto"/>
                <w:u w:val="none"/>
              </w:rPr>
              <w:fldChar w:fldCharType="end"/>
            </w:r>
            <w:r>
              <w:rPr>
                <w:rFonts w:ascii="Cambria" w:hAnsi="Cambria"/>
              </w:rPr>
              <w:t xml:space="preserve"> </w:t>
            </w:r>
          </w:p>
        </w:tc>
      </w:tr>
      <w:tr w14:paraId="53B27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4" w:type="dxa"/>
            <w:gridSpan w:val="4"/>
            <w:shd w:val="clear" w:color="auto" w:fill="D8D8D8" w:themeFill="background1" w:themeFillShade="D9"/>
          </w:tcPr>
          <w:p w14:paraId="2EA6E52B">
            <w:pPr>
              <w:spacing w:line="276" w:lineRule="auto"/>
              <w:jc w:val="center"/>
              <w:rPr>
                <w:rFonts w:ascii="Cambria" w:hAnsi="Cambria"/>
                <w:b/>
              </w:rPr>
            </w:pPr>
            <w:r>
              <w:rPr>
                <w:rFonts w:ascii="Cambria" w:hAnsi="Cambria"/>
                <w:b/>
              </w:rPr>
              <w:t>OBJETO</w:t>
            </w:r>
          </w:p>
        </w:tc>
      </w:tr>
      <w:tr w14:paraId="5198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4" w:type="dxa"/>
            <w:gridSpan w:val="4"/>
          </w:tcPr>
          <w:p w14:paraId="013B0E18">
            <w:pPr>
              <w:spacing w:before="240" w:line="276" w:lineRule="auto"/>
              <w:jc w:val="both"/>
              <w:rPr>
                <w:rFonts w:ascii="Cambria" w:hAnsi="Cambria"/>
                <w:b/>
              </w:rPr>
            </w:pPr>
            <w:r>
              <w:rPr>
                <w:rFonts w:ascii="Cambria" w:hAnsi="Cambria"/>
              </w:rPr>
              <w:t>Aquisição eventual e sob demanda de medicamentos, materiais medico hospitalares e laboratoriais, os quais foram fracassados ou desertos de outras licitações (Pregão Eletrônico nº 10/2024, Pregão Eletrônico nº 18/2024, Pregão Eletrônico nº 31/2024 e Pregão Eletrônico nº 35/2024), afim de atender as demandas das Unidades ligadas à Secretaria Municipal de Saúde de Piracanjuba/GO.</w:t>
            </w:r>
          </w:p>
        </w:tc>
      </w:tr>
      <w:tr w14:paraId="4F555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4" w:type="dxa"/>
            <w:gridSpan w:val="4"/>
            <w:shd w:val="clear" w:color="auto" w:fill="D8D8D8" w:themeFill="background1" w:themeFillShade="D9"/>
          </w:tcPr>
          <w:p w14:paraId="5F941779">
            <w:pPr>
              <w:spacing w:line="276" w:lineRule="auto"/>
              <w:jc w:val="center"/>
              <w:rPr>
                <w:rFonts w:ascii="Cambria" w:hAnsi="Cambria"/>
                <w:b/>
              </w:rPr>
            </w:pPr>
            <w:r>
              <w:rPr>
                <w:rFonts w:ascii="Cambria" w:hAnsi="Cambria"/>
                <w:b/>
              </w:rPr>
              <w:t>VALOR TOTAL ESTIMADO</w:t>
            </w:r>
          </w:p>
        </w:tc>
      </w:tr>
      <w:tr w14:paraId="31CB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4" w:type="dxa"/>
            <w:gridSpan w:val="4"/>
          </w:tcPr>
          <w:p w14:paraId="18207F96">
            <w:pPr>
              <w:spacing w:before="240" w:line="276" w:lineRule="auto"/>
              <w:jc w:val="both"/>
              <w:rPr>
                <w:rFonts w:ascii="Cambria" w:hAnsi="Cambria"/>
                <w:bCs/>
              </w:rPr>
            </w:pPr>
            <w:r>
              <w:rPr>
                <w:rFonts w:ascii="Cambria" w:hAnsi="Cambria"/>
                <w:b/>
              </w:rPr>
              <w:t xml:space="preserve">R$ 2.326.614,90 </w:t>
            </w:r>
            <w:r>
              <w:rPr>
                <w:rFonts w:ascii="Cambria" w:hAnsi="Cambria"/>
                <w:bCs/>
              </w:rPr>
              <w:t>(Dois milhões trezentos e vinte e seis mil seiscentos e quatorze reais e noventa centavos)</w:t>
            </w:r>
          </w:p>
        </w:tc>
      </w:tr>
      <w:tr w14:paraId="3FC3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shd w:val="clear" w:color="auto" w:fill="D8D8D8" w:themeFill="background1" w:themeFillShade="D9"/>
          </w:tcPr>
          <w:p w14:paraId="60DCA108">
            <w:pPr>
              <w:spacing w:line="276" w:lineRule="auto"/>
              <w:jc w:val="center"/>
              <w:rPr>
                <w:rFonts w:ascii="Cambria" w:hAnsi="Cambria"/>
                <w:b/>
              </w:rPr>
            </w:pPr>
            <w:r>
              <w:rPr>
                <w:rFonts w:ascii="Cambria" w:hAnsi="Cambria"/>
                <w:b/>
              </w:rPr>
              <w:t>Registro de Preços?</w:t>
            </w:r>
          </w:p>
        </w:tc>
        <w:tc>
          <w:tcPr>
            <w:tcW w:w="2342" w:type="dxa"/>
            <w:shd w:val="clear" w:color="auto" w:fill="D8D8D8" w:themeFill="background1" w:themeFillShade="D9"/>
          </w:tcPr>
          <w:p w14:paraId="0B1A8C85">
            <w:pPr>
              <w:spacing w:line="276" w:lineRule="auto"/>
              <w:jc w:val="center"/>
              <w:rPr>
                <w:rFonts w:ascii="Cambria" w:hAnsi="Cambria"/>
                <w:b/>
              </w:rPr>
            </w:pPr>
            <w:r>
              <w:rPr>
                <w:rFonts w:ascii="Cambria" w:hAnsi="Cambria"/>
                <w:b/>
              </w:rPr>
              <w:t>Adjudicação</w:t>
            </w:r>
          </w:p>
        </w:tc>
        <w:tc>
          <w:tcPr>
            <w:tcW w:w="2330" w:type="dxa"/>
            <w:shd w:val="clear" w:color="auto" w:fill="D8D8D8" w:themeFill="background1" w:themeFillShade="D9"/>
          </w:tcPr>
          <w:p w14:paraId="148D9147">
            <w:pPr>
              <w:spacing w:line="276" w:lineRule="auto"/>
              <w:jc w:val="center"/>
              <w:rPr>
                <w:rFonts w:ascii="Cambria" w:hAnsi="Cambria"/>
                <w:b/>
              </w:rPr>
            </w:pPr>
            <w:r>
              <w:rPr>
                <w:rFonts w:ascii="Cambria" w:hAnsi="Cambria"/>
                <w:b/>
              </w:rPr>
              <w:t>Item com disputa exclusiva ME/EPP?</w:t>
            </w:r>
          </w:p>
        </w:tc>
        <w:tc>
          <w:tcPr>
            <w:tcW w:w="2345" w:type="dxa"/>
            <w:shd w:val="clear" w:color="auto" w:fill="D8D8D8" w:themeFill="background1" w:themeFillShade="D9"/>
          </w:tcPr>
          <w:p w14:paraId="160B04CC">
            <w:pPr>
              <w:spacing w:line="276" w:lineRule="auto"/>
              <w:jc w:val="center"/>
              <w:rPr>
                <w:rFonts w:ascii="Cambria" w:hAnsi="Cambria"/>
                <w:b/>
              </w:rPr>
            </w:pPr>
            <w:r>
              <w:rPr>
                <w:rFonts w:ascii="Cambria" w:hAnsi="Cambria"/>
                <w:b/>
              </w:rPr>
              <w:t>Item com ampla disputa?</w:t>
            </w:r>
          </w:p>
        </w:tc>
      </w:tr>
      <w:tr w14:paraId="57C8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vAlign w:val="center"/>
          </w:tcPr>
          <w:p w14:paraId="5309BD49">
            <w:pPr>
              <w:spacing w:before="240" w:line="276" w:lineRule="auto"/>
              <w:jc w:val="center"/>
              <w:rPr>
                <w:rFonts w:ascii="Cambria" w:hAnsi="Cambria"/>
              </w:rPr>
            </w:pPr>
            <w:r>
              <w:rPr>
                <w:rFonts w:ascii="Cambria" w:hAnsi="Cambria"/>
              </w:rPr>
              <w:t>Sim</w:t>
            </w:r>
          </w:p>
        </w:tc>
        <w:tc>
          <w:tcPr>
            <w:tcW w:w="2342" w:type="dxa"/>
            <w:vAlign w:val="center"/>
          </w:tcPr>
          <w:p w14:paraId="37AF6A5E">
            <w:pPr>
              <w:spacing w:before="240" w:line="276" w:lineRule="auto"/>
              <w:jc w:val="center"/>
              <w:rPr>
                <w:rFonts w:ascii="Cambria" w:hAnsi="Cambria"/>
              </w:rPr>
            </w:pPr>
            <w:r>
              <w:rPr>
                <w:rFonts w:ascii="Cambria" w:hAnsi="Cambria"/>
              </w:rPr>
              <w:t>Por Item</w:t>
            </w:r>
          </w:p>
        </w:tc>
        <w:tc>
          <w:tcPr>
            <w:tcW w:w="2330" w:type="dxa"/>
            <w:shd w:val="clear" w:color="auto" w:fill="auto"/>
            <w:vAlign w:val="center"/>
          </w:tcPr>
          <w:p w14:paraId="5F90719C">
            <w:pPr>
              <w:spacing w:before="240" w:line="276" w:lineRule="auto"/>
              <w:jc w:val="center"/>
              <w:rPr>
                <w:rFonts w:ascii="Cambria" w:hAnsi="Cambria"/>
              </w:rPr>
            </w:pPr>
            <w:r>
              <w:rPr>
                <w:rFonts w:ascii="Cambria" w:hAnsi="Cambria"/>
              </w:rPr>
              <w:t>Não</w:t>
            </w:r>
          </w:p>
        </w:tc>
        <w:tc>
          <w:tcPr>
            <w:tcW w:w="2345" w:type="dxa"/>
            <w:shd w:val="clear" w:color="auto" w:fill="auto"/>
            <w:vAlign w:val="center"/>
          </w:tcPr>
          <w:p w14:paraId="4363693B">
            <w:pPr>
              <w:spacing w:before="240" w:line="276" w:lineRule="auto"/>
              <w:jc w:val="center"/>
              <w:rPr>
                <w:rFonts w:ascii="Cambria" w:hAnsi="Cambria"/>
              </w:rPr>
            </w:pPr>
            <w:r>
              <w:rPr>
                <w:rFonts w:ascii="Cambria" w:hAnsi="Cambria"/>
              </w:rPr>
              <w:t>Sim</w:t>
            </w:r>
          </w:p>
        </w:tc>
      </w:tr>
      <w:tr w14:paraId="5028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shd w:val="clear" w:color="auto" w:fill="D8D8D8" w:themeFill="background1" w:themeFillShade="D9"/>
          </w:tcPr>
          <w:p w14:paraId="4C168C87">
            <w:pPr>
              <w:spacing w:line="276" w:lineRule="auto"/>
              <w:jc w:val="center"/>
              <w:rPr>
                <w:rFonts w:ascii="Cambria" w:hAnsi="Cambria"/>
                <w:b/>
              </w:rPr>
            </w:pPr>
            <w:r>
              <w:rPr>
                <w:rFonts w:ascii="Cambria" w:hAnsi="Cambria"/>
                <w:b/>
              </w:rPr>
              <w:t>Modo de disputa</w:t>
            </w:r>
          </w:p>
        </w:tc>
        <w:tc>
          <w:tcPr>
            <w:tcW w:w="4672" w:type="dxa"/>
            <w:gridSpan w:val="2"/>
            <w:shd w:val="clear" w:color="auto" w:fill="D8D8D8" w:themeFill="background1" w:themeFillShade="D9"/>
          </w:tcPr>
          <w:p w14:paraId="36C1F9B2">
            <w:pPr>
              <w:spacing w:line="276" w:lineRule="auto"/>
              <w:jc w:val="center"/>
              <w:rPr>
                <w:rFonts w:ascii="Cambria" w:hAnsi="Cambria"/>
                <w:b/>
              </w:rPr>
            </w:pPr>
            <w:r>
              <w:rPr>
                <w:rFonts w:ascii="Cambria" w:hAnsi="Cambria"/>
                <w:b/>
              </w:rPr>
              <w:t xml:space="preserve">Instrumento Contratual </w:t>
            </w:r>
          </w:p>
        </w:tc>
        <w:tc>
          <w:tcPr>
            <w:tcW w:w="2345" w:type="dxa"/>
            <w:shd w:val="clear" w:color="auto" w:fill="D8D8D8" w:themeFill="background1" w:themeFillShade="D9"/>
          </w:tcPr>
          <w:p w14:paraId="4A94F92E">
            <w:pPr>
              <w:spacing w:line="276" w:lineRule="auto"/>
              <w:jc w:val="center"/>
              <w:rPr>
                <w:rFonts w:ascii="Cambria" w:hAnsi="Cambria"/>
                <w:b/>
              </w:rPr>
            </w:pPr>
            <w:r>
              <w:rPr>
                <w:rFonts w:ascii="Cambria" w:hAnsi="Cambria"/>
                <w:b/>
              </w:rPr>
              <w:t>Intervalo mínimo entre lances</w:t>
            </w:r>
          </w:p>
        </w:tc>
      </w:tr>
      <w:tr w14:paraId="0F3A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vAlign w:val="center"/>
          </w:tcPr>
          <w:p w14:paraId="32346F8D">
            <w:pPr>
              <w:spacing w:line="276" w:lineRule="auto"/>
              <w:jc w:val="center"/>
              <w:rPr>
                <w:rFonts w:ascii="Cambria" w:hAnsi="Cambria"/>
              </w:rPr>
            </w:pPr>
            <w:r>
              <w:rPr>
                <w:rFonts w:ascii="Cambria" w:hAnsi="Cambria"/>
              </w:rPr>
              <w:t>Aberto</w:t>
            </w:r>
          </w:p>
        </w:tc>
        <w:tc>
          <w:tcPr>
            <w:tcW w:w="4672" w:type="dxa"/>
            <w:gridSpan w:val="2"/>
            <w:vAlign w:val="center"/>
          </w:tcPr>
          <w:p w14:paraId="704C7593">
            <w:pPr>
              <w:spacing w:line="276" w:lineRule="auto"/>
              <w:jc w:val="center"/>
              <w:rPr>
                <w:rFonts w:ascii="Cambria" w:hAnsi="Cambria"/>
              </w:rPr>
            </w:pPr>
            <w:r>
              <w:rPr>
                <w:rFonts w:ascii="Cambria" w:hAnsi="Cambria"/>
              </w:rPr>
              <w:t>Ata de Registro de Preços</w:t>
            </w:r>
          </w:p>
        </w:tc>
        <w:tc>
          <w:tcPr>
            <w:tcW w:w="2345" w:type="dxa"/>
            <w:vAlign w:val="center"/>
          </w:tcPr>
          <w:p w14:paraId="40476D55">
            <w:pPr>
              <w:spacing w:line="276" w:lineRule="auto"/>
              <w:jc w:val="center"/>
              <w:rPr>
                <w:rFonts w:ascii="Cambria" w:hAnsi="Cambria"/>
              </w:rPr>
            </w:pPr>
            <w:r>
              <w:rPr>
                <w:rFonts w:ascii="Cambria" w:hAnsi="Cambria"/>
              </w:rPr>
              <w:t>R$ 0,01</w:t>
            </w:r>
          </w:p>
        </w:tc>
      </w:tr>
      <w:tr w14:paraId="13D15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4" w:type="dxa"/>
            <w:gridSpan w:val="4"/>
            <w:shd w:val="clear" w:color="auto" w:fill="D8D8D8" w:themeFill="background1" w:themeFillShade="D9"/>
          </w:tcPr>
          <w:p w14:paraId="44628D3E">
            <w:pPr>
              <w:spacing w:line="276" w:lineRule="auto"/>
              <w:jc w:val="center"/>
              <w:rPr>
                <w:rFonts w:ascii="Cambria" w:hAnsi="Cambria"/>
                <w:b/>
              </w:rPr>
            </w:pPr>
            <w:r>
              <w:rPr>
                <w:rFonts w:ascii="Cambria" w:hAnsi="Cambria"/>
                <w:b/>
              </w:rPr>
              <w:t>Envio da Proposta Readequada e Documentos de Habilitação</w:t>
            </w:r>
          </w:p>
        </w:tc>
      </w:tr>
      <w:tr w14:paraId="317A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4" w:type="dxa"/>
            <w:gridSpan w:val="4"/>
          </w:tcPr>
          <w:p w14:paraId="622B4821">
            <w:pPr>
              <w:spacing w:before="240" w:line="276" w:lineRule="auto"/>
              <w:jc w:val="both"/>
              <w:rPr>
                <w:rFonts w:ascii="Cambria" w:hAnsi="Cambria"/>
              </w:rPr>
            </w:pPr>
            <w:r>
              <w:rPr>
                <w:rFonts w:ascii="Cambria" w:hAnsi="Cambria"/>
              </w:rPr>
              <w:t>Até 02 (duas) horas após a convocação realizada pela Pregoeira.</w:t>
            </w:r>
          </w:p>
        </w:tc>
      </w:tr>
      <w:tr w14:paraId="14411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4" w:type="dxa"/>
            <w:gridSpan w:val="4"/>
            <w:shd w:val="clear" w:color="auto" w:fill="D8D8D8" w:themeFill="background1" w:themeFillShade="D9"/>
          </w:tcPr>
          <w:p w14:paraId="55395A11">
            <w:pPr>
              <w:spacing w:line="276" w:lineRule="auto"/>
              <w:jc w:val="center"/>
              <w:rPr>
                <w:rFonts w:ascii="Cambria" w:hAnsi="Cambria"/>
                <w:b/>
              </w:rPr>
            </w:pPr>
            <w:r>
              <w:rPr>
                <w:rFonts w:ascii="Cambria" w:hAnsi="Cambria"/>
                <w:b/>
              </w:rPr>
              <w:t>Documentos de Habilitação</w:t>
            </w:r>
          </w:p>
        </w:tc>
      </w:tr>
      <w:tr w14:paraId="7BE7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4" w:type="dxa"/>
            <w:gridSpan w:val="4"/>
            <w:shd w:val="clear" w:color="auto" w:fill="auto"/>
          </w:tcPr>
          <w:p w14:paraId="2026646C">
            <w:pPr>
              <w:spacing w:line="276" w:lineRule="auto"/>
              <w:jc w:val="both"/>
              <w:rPr>
                <w:rFonts w:ascii="Cambria" w:hAnsi="Cambria"/>
              </w:rPr>
            </w:pPr>
            <w:r>
              <w:rPr>
                <w:rFonts w:ascii="Cambria" w:hAnsi="Cambria"/>
              </w:rPr>
              <w:t>Item 09 – Da Habilitação</w:t>
            </w:r>
          </w:p>
        </w:tc>
      </w:tr>
      <w:tr w14:paraId="7A5A1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4" w:type="dxa"/>
            <w:gridSpan w:val="4"/>
            <w:shd w:val="clear" w:color="auto" w:fill="D8D8D8" w:themeFill="background1" w:themeFillShade="D9"/>
          </w:tcPr>
          <w:p w14:paraId="7086B1A6">
            <w:pPr>
              <w:spacing w:line="276" w:lineRule="auto"/>
              <w:jc w:val="center"/>
              <w:rPr>
                <w:rFonts w:ascii="Cambria" w:hAnsi="Cambria"/>
                <w:b/>
              </w:rPr>
            </w:pPr>
            <w:r>
              <w:rPr>
                <w:rFonts w:ascii="Cambria" w:hAnsi="Cambria"/>
                <w:b/>
              </w:rPr>
              <w:t>Esclarecimento e Impugnações</w:t>
            </w:r>
          </w:p>
        </w:tc>
      </w:tr>
      <w:tr w14:paraId="4185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4" w:type="dxa"/>
            <w:gridSpan w:val="4"/>
          </w:tcPr>
          <w:p w14:paraId="6E014375">
            <w:pPr>
              <w:spacing w:line="276" w:lineRule="auto"/>
              <w:jc w:val="both"/>
              <w:rPr>
                <w:rFonts w:ascii="Cambria" w:hAnsi="Cambria"/>
              </w:rPr>
            </w:pPr>
            <w:r>
              <w:rPr>
                <w:rFonts w:ascii="Cambria" w:hAnsi="Cambria"/>
              </w:rPr>
              <w:t xml:space="preserve">Até 03 (três) dias úteis anteriores à data fixada para abertura da sessão eletrônica, por meio eletrônico para o endereço </w:t>
            </w:r>
            <w:r>
              <w:fldChar w:fldCharType="begin"/>
            </w:r>
            <w:r>
              <w:instrText xml:space="preserve"> HYPERLINK "mailto:licitacaopiracanjuba@hotmail.com" </w:instrText>
            </w:r>
            <w:r>
              <w:fldChar w:fldCharType="separate"/>
            </w:r>
            <w:r>
              <w:rPr>
                <w:rStyle w:val="9"/>
                <w:rFonts w:ascii="Cambria" w:hAnsi="Cambria"/>
                <w:color w:val="auto"/>
                <w:u w:val="none"/>
                <w14:shadow w14:blurRad="50800" w14:dist="38100" w14:dir="2700000" w14:sx="100000" w14:sy="100000" w14:kx="0" w14:ky="0" w14:algn="tl">
                  <w14:srgbClr w14:val="000000">
                    <w14:alpha w14:val="60000"/>
                  </w14:srgbClr>
                </w14:shadow>
              </w:rPr>
              <w:t>licitacaopiracanjuba@hotmail.com</w:t>
            </w:r>
            <w:r>
              <w:rPr>
                <w:rStyle w:val="9"/>
                <w:rFonts w:ascii="Cambria" w:hAnsi="Cambria"/>
                <w:color w:val="auto"/>
                <w:u w:val="none"/>
                <w14:shadow w14:blurRad="50800" w14:dist="38100" w14:dir="2700000" w14:sx="100000" w14:sy="100000" w14:kx="0" w14:ky="0" w14:algn="tl">
                  <w14:srgbClr w14:val="000000">
                    <w14:alpha w14:val="60000"/>
                  </w14:srgbClr>
                </w14:shadow>
              </w:rPr>
              <w:fldChar w:fldCharType="end"/>
            </w:r>
            <w:r>
              <w:rPr>
                <w:rFonts w:ascii="Cambria" w:hAnsi="Cambria"/>
              </w:rPr>
              <w:t xml:space="preserve"> </w:t>
            </w:r>
            <w:r>
              <w:rPr>
                <w:rStyle w:val="9"/>
                <w:rFonts w:ascii="Cambria" w:hAnsi="Cambria"/>
                <w:color w:val="auto"/>
                <w:u w:val="none"/>
              </w:rPr>
              <w:t>ou através do</w:t>
            </w:r>
            <w:r>
              <w:rPr>
                <w:rFonts w:ascii="Cambria" w:hAnsi="Cambria"/>
              </w:rPr>
              <w:t xml:space="preserve"> sítio</w:t>
            </w:r>
            <w:r>
              <w:rPr>
                <w:rFonts w:ascii="Cambria" w:hAnsi="Cambria"/>
                <w:b/>
              </w:rPr>
              <w:t xml:space="preserve"> </w:t>
            </w:r>
            <w:r>
              <w:fldChar w:fldCharType="begin"/>
            </w:r>
            <w:r>
              <w:instrText xml:space="preserve"> HYPERLINK "http://www.bnc.org.br" </w:instrText>
            </w:r>
            <w:r>
              <w:fldChar w:fldCharType="separate"/>
            </w:r>
            <w:r>
              <w:rPr>
                <w:rStyle w:val="9"/>
                <w:rFonts w:ascii="Cambria" w:hAnsi="Cambria"/>
                <w:color w:val="auto"/>
                <w:u w:val="none"/>
                <w14:shadow w14:blurRad="50800" w14:dist="38100" w14:dir="2700000" w14:sx="100000" w14:sy="100000" w14:kx="0" w14:ky="0" w14:algn="tl">
                  <w14:srgbClr w14:val="000000">
                    <w14:alpha w14:val="60000"/>
                  </w14:srgbClr>
                </w14:shadow>
              </w:rPr>
              <w:t>www.bnc.org.b</w:t>
            </w:r>
            <w:r>
              <w:rPr>
                <w:rStyle w:val="9"/>
                <w:rFonts w:ascii="Cambria" w:hAnsi="Cambria"/>
                <w:color w:val="auto"/>
                <w:u w:val="none"/>
              </w:rPr>
              <w:t>r</w:t>
            </w:r>
            <w:r>
              <w:rPr>
                <w:rStyle w:val="9"/>
                <w:rFonts w:ascii="Cambria" w:hAnsi="Cambria"/>
                <w:color w:val="auto"/>
                <w:u w:val="none"/>
              </w:rPr>
              <w:fldChar w:fldCharType="end"/>
            </w:r>
          </w:p>
        </w:tc>
      </w:tr>
    </w:tbl>
    <w:p w14:paraId="2262E7E5">
      <w:pPr>
        <w:rPr>
          <w:rFonts w:ascii="Cambria" w:hAnsi="Cambria"/>
        </w:rPr>
      </w:pPr>
      <w:r>
        <w:rPr>
          <w:rFonts w:ascii="Cambria" w:hAnsi="Cambria"/>
        </w:rPr>
        <w:br w:type="page"/>
      </w:r>
    </w:p>
    <w:p w14:paraId="49EB3D1F">
      <w:pPr>
        <w:tabs>
          <w:tab w:val="left" w:pos="1701"/>
        </w:tabs>
        <w:spacing w:before="240" w:after="240" w:line="360" w:lineRule="auto"/>
        <w:jc w:val="center"/>
        <w:rPr>
          <w:rFonts w:ascii="Cambria" w:hAnsi="Cambria"/>
          <w:b/>
          <w:sz w:val="28"/>
          <w:szCs w:val="28"/>
        </w:rPr>
      </w:pPr>
      <w:bookmarkStart w:id="1" w:name="_Hlk179968078"/>
      <w:bookmarkStart w:id="2" w:name="_Hlk105417688"/>
      <w:bookmarkStart w:id="3" w:name="_Hlk162956489"/>
      <w:bookmarkStart w:id="4" w:name="_Hlk158814368"/>
      <w:bookmarkStart w:id="5" w:name="_Hlk112158169"/>
      <w:r>
        <w:rPr>
          <w:rFonts w:ascii="Cambria" w:hAnsi="Cambria"/>
          <w:b/>
          <w:sz w:val="28"/>
          <w:szCs w:val="28"/>
        </w:rPr>
        <w:t>EDITAL</w:t>
      </w:r>
    </w:p>
    <w:p w14:paraId="60949D4F">
      <w:pPr>
        <w:tabs>
          <w:tab w:val="left" w:pos="1701"/>
        </w:tabs>
        <w:spacing w:after="0" w:line="360" w:lineRule="auto"/>
        <w:jc w:val="center"/>
        <w:rPr>
          <w:rFonts w:ascii="Cambria" w:hAnsi="Cambria"/>
          <w:b/>
        </w:rPr>
      </w:pPr>
      <w:r>
        <w:rPr>
          <w:rFonts w:ascii="Cambria" w:hAnsi="Cambria"/>
          <w:b/>
        </w:rPr>
        <w:t>PREGÃO ELETRÔNICO Nº 53/2024</w:t>
      </w:r>
    </w:p>
    <w:p w14:paraId="4A734DAF">
      <w:pPr>
        <w:tabs>
          <w:tab w:val="left" w:pos="1701"/>
        </w:tabs>
        <w:spacing w:after="0" w:line="360" w:lineRule="auto"/>
        <w:jc w:val="center"/>
        <w:rPr>
          <w:rFonts w:ascii="Cambria" w:hAnsi="Cambria"/>
          <w:b/>
        </w:rPr>
      </w:pPr>
      <w:r>
        <w:rPr>
          <w:rFonts w:ascii="Cambria" w:hAnsi="Cambria"/>
          <w:b/>
        </w:rPr>
        <w:t>Sistema de Registro de Preços</w:t>
      </w:r>
    </w:p>
    <w:p w14:paraId="4063D1BE">
      <w:pPr>
        <w:tabs>
          <w:tab w:val="left" w:pos="1701"/>
        </w:tabs>
        <w:spacing w:line="360" w:lineRule="auto"/>
        <w:jc w:val="center"/>
        <w:rPr>
          <w:rFonts w:ascii="Cambria" w:hAnsi="Cambria"/>
          <w:b/>
        </w:rPr>
      </w:pPr>
      <w:r>
        <w:rPr>
          <w:rFonts w:ascii="Cambria" w:hAnsi="Cambria"/>
          <w:b/>
        </w:rPr>
        <w:t>Processo Administrativo nº 155796/2024</w:t>
      </w:r>
    </w:p>
    <w:p w14:paraId="0F1ADCCB">
      <w:pPr>
        <w:pStyle w:val="12"/>
        <w:spacing w:before="240" w:after="240" w:line="360" w:lineRule="auto"/>
        <w:jc w:val="both"/>
        <w:rPr>
          <w:rFonts w:ascii="Cambria" w:hAnsi="Cambria"/>
          <w:sz w:val="22"/>
          <w:szCs w:val="22"/>
        </w:rPr>
      </w:pPr>
      <w:r>
        <w:rPr>
          <w:rFonts w:ascii="Cambria" w:hAnsi="Cambria"/>
          <w:sz w:val="22"/>
          <w:szCs w:val="22"/>
          <w:lang w:eastAsia="en-US"/>
        </w:rPr>
        <mc:AlternateContent>
          <mc:Choice Requires="wps">
            <w:drawing>
              <wp:anchor distT="0" distB="0" distL="114300" distR="114300" simplePos="0" relativeHeight="251660288" behindDoc="0" locked="0" layoutInCell="1" allowOverlap="1">
                <wp:simplePos x="0" y="0"/>
                <wp:positionH relativeFrom="margin">
                  <wp:posOffset>-635</wp:posOffset>
                </wp:positionH>
                <wp:positionV relativeFrom="paragraph">
                  <wp:posOffset>3100705</wp:posOffset>
                </wp:positionV>
                <wp:extent cx="5910580" cy="1209040"/>
                <wp:effectExtent l="19050" t="19050" r="13970" b="10160"/>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910580" cy="1209248"/>
                        </a:xfrm>
                        <a:prstGeom prst="rect">
                          <a:avLst/>
                        </a:prstGeom>
                        <a:solidFill>
                          <a:srgbClr val="FFFFFF"/>
                        </a:solidFill>
                        <a:ln w="28575">
                          <a:solidFill>
                            <a:srgbClr val="000000"/>
                          </a:solidFill>
                          <a:miter lim="800000"/>
                        </a:ln>
                      </wps:spPr>
                      <wps:txbx>
                        <w:txbxContent>
                          <w:p w14:paraId="10A35343">
                            <w:pPr>
                              <w:pStyle w:val="12"/>
                              <w:spacing w:before="0" w:beforeAutospacing="0" w:after="0" w:afterAutospacing="0" w:line="360" w:lineRule="auto"/>
                              <w:ind w:right="-2"/>
                              <w:jc w:val="center"/>
                              <w:rPr>
                                <w:rStyle w:val="25"/>
                                <w:rFonts w:ascii="Cambria" w:hAnsi="Cambria"/>
                                <w:b/>
                                <w:i w:val="0"/>
                                <w:iCs w:val="0"/>
                                <w:color w:val="auto"/>
                              </w:rPr>
                            </w:pPr>
                            <w:r>
                              <w:rPr>
                                <w:rStyle w:val="25"/>
                                <w:rFonts w:ascii="Cambria" w:hAnsi="Cambria"/>
                                <w:b/>
                                <w:i w:val="0"/>
                                <w:iCs w:val="0"/>
                                <w:color w:val="auto"/>
                              </w:rPr>
                              <w:t>DA SESSÃO ELETRÔNICA</w:t>
                            </w:r>
                          </w:p>
                          <w:p w14:paraId="64BDF021">
                            <w:pPr>
                              <w:pStyle w:val="12"/>
                              <w:spacing w:before="0" w:beforeAutospacing="0" w:after="0" w:afterAutospacing="0" w:line="360" w:lineRule="auto"/>
                              <w:ind w:right="-2"/>
                              <w:jc w:val="center"/>
                              <w:rPr>
                                <w:rStyle w:val="25"/>
                                <w:rFonts w:ascii="Cambria" w:hAnsi="Cambria"/>
                                <w:i w:val="0"/>
                                <w:iCs w:val="0"/>
                                <w:color w:val="auto"/>
                              </w:rPr>
                            </w:pPr>
                            <w:r>
                              <w:rPr>
                                <w:rStyle w:val="25"/>
                                <w:rFonts w:ascii="Cambria" w:hAnsi="Cambria"/>
                                <w:b/>
                                <w:i w:val="0"/>
                                <w:iCs w:val="0"/>
                                <w:color w:val="auto"/>
                              </w:rPr>
                              <w:t>Dia:</w:t>
                            </w:r>
                            <w:r>
                              <w:rPr>
                                <w:rStyle w:val="25"/>
                                <w:rFonts w:ascii="Cambria" w:hAnsi="Cambria"/>
                                <w:i w:val="0"/>
                                <w:iCs w:val="0"/>
                                <w:color w:val="auto"/>
                              </w:rPr>
                              <w:t xml:space="preserve"> 26 de novembro de 2024.</w:t>
                            </w:r>
                          </w:p>
                          <w:p w14:paraId="65B20411">
                            <w:pPr>
                              <w:pStyle w:val="12"/>
                              <w:spacing w:before="0" w:beforeAutospacing="0" w:after="0" w:afterAutospacing="0" w:line="360" w:lineRule="auto"/>
                              <w:ind w:right="-2"/>
                              <w:jc w:val="center"/>
                              <w:rPr>
                                <w:rStyle w:val="25"/>
                                <w:rFonts w:ascii="Cambria" w:hAnsi="Cambria"/>
                                <w:i w:val="0"/>
                                <w:iCs w:val="0"/>
                                <w:color w:val="auto"/>
                              </w:rPr>
                            </w:pPr>
                            <w:r>
                              <w:rPr>
                                <w:rStyle w:val="25"/>
                                <w:rFonts w:ascii="Cambria" w:hAnsi="Cambria"/>
                                <w:b/>
                                <w:i w:val="0"/>
                                <w:iCs w:val="0"/>
                                <w:color w:val="auto"/>
                              </w:rPr>
                              <w:t>Horário:</w:t>
                            </w:r>
                            <w:r>
                              <w:rPr>
                                <w:rStyle w:val="25"/>
                                <w:rFonts w:ascii="Cambria" w:hAnsi="Cambria"/>
                                <w:i w:val="0"/>
                                <w:iCs w:val="0"/>
                                <w:color w:val="auto"/>
                              </w:rPr>
                              <w:t xml:space="preserve"> 08 horas (Horário de Brasília/DF)</w:t>
                            </w:r>
                          </w:p>
                          <w:p w14:paraId="7952F775">
                            <w:pPr>
                              <w:pStyle w:val="12"/>
                              <w:spacing w:before="0" w:beforeAutospacing="0" w:after="0" w:afterAutospacing="0" w:line="360" w:lineRule="auto"/>
                              <w:ind w:right="-2"/>
                              <w:jc w:val="center"/>
                              <w:rPr>
                                <w:rFonts w:ascii="Cambria" w:hAnsi="Cambria"/>
                                <w:b/>
                                <w:i/>
                                <w:iCs/>
                                <w14:shadow w14:blurRad="50800" w14:dist="38100" w14:dir="2700000" w14:sx="100000" w14:sy="100000" w14:kx="0" w14:ky="0" w14:algn="tl">
                                  <w14:srgbClr w14:val="000000">
                                    <w14:alpha w14:val="60000"/>
                                  </w14:srgbClr>
                                </w14:shadow>
                              </w:rPr>
                            </w:pPr>
                            <w:bookmarkStart w:id="76" w:name="_Hlk112158177"/>
                            <w:bookmarkStart w:id="77" w:name="_Hlk112158176"/>
                            <w:r>
                              <w:rPr>
                                <w:rStyle w:val="25"/>
                                <w:rFonts w:ascii="Cambria" w:hAnsi="Cambria"/>
                                <w:b/>
                                <w:i w:val="0"/>
                                <w:iCs w:val="0"/>
                                <w:color w:val="auto"/>
                              </w:rPr>
                              <w:t>Endereço Eletrônico:</w:t>
                            </w:r>
                            <w:r>
                              <w:rPr>
                                <w:rStyle w:val="25"/>
                                <w:rFonts w:ascii="Cambria" w:hAnsi="Cambria"/>
                                <w:i w:val="0"/>
                                <w:iCs w:val="0"/>
                                <w:color w:val="auto"/>
                              </w:rPr>
                              <w:t xml:space="preserve"> </w:t>
                            </w:r>
                            <w:r>
                              <w:fldChar w:fldCharType="begin"/>
                            </w:r>
                            <w:r>
                              <w:instrText xml:space="preserve"> HYPERLINK "http://www.bnc.org.br" </w:instrText>
                            </w:r>
                            <w:r>
                              <w:fldChar w:fldCharType="separate"/>
                            </w:r>
                            <w:r>
                              <w:rPr>
                                <w:rStyle w:val="9"/>
                                <w:rFonts w:ascii="Cambria" w:hAnsi="Cambria"/>
                                <w:color w:val="auto"/>
                                <w:u w:val="none"/>
                                <w14:shadow w14:blurRad="50800" w14:dist="38100" w14:dir="2700000" w14:sx="100000" w14:sy="100000" w14:kx="0" w14:ky="0" w14:algn="tl">
                                  <w14:srgbClr w14:val="000000">
                                    <w14:alpha w14:val="60000"/>
                                  </w14:srgbClr>
                                </w14:shadow>
                              </w:rPr>
                              <w:t>www.bnc.org.br</w:t>
                            </w:r>
                            <w:r>
                              <w:rPr>
                                <w:rStyle w:val="9"/>
                                <w:rFonts w:ascii="Cambria" w:hAnsi="Cambria"/>
                                <w:color w:val="auto"/>
                                <w:u w:val="none"/>
                                <w14:shadow w14:blurRad="50800" w14:dist="38100" w14:dir="2700000" w14:sx="100000" w14:sy="100000" w14:kx="0" w14:ky="0" w14:algn="tl">
                                  <w14:srgbClr w14:val="000000">
                                    <w14:alpha w14:val="60000"/>
                                  </w14:srgbClr>
                                </w14:shadow>
                              </w:rPr>
                              <w:fldChar w:fldCharType="end"/>
                            </w:r>
                            <w:r>
                              <w:rPr>
                                <w:rFonts w:ascii="Cambria" w:hAnsi="Cambria"/>
                                <w:i/>
                                <w:iCs/>
                                <w14:shadow w14:blurRad="50800" w14:dist="38100" w14:dir="2700000" w14:sx="100000" w14:sy="100000" w14:kx="0" w14:ky="0" w14:algn="tl">
                                  <w14:srgbClr w14:val="000000">
                                    <w14:alpha w14:val="60000"/>
                                  </w14:srgbClr>
                                </w14:shadow>
                              </w:rPr>
                              <w:t xml:space="preserve"> </w:t>
                            </w:r>
                            <w:bookmarkEnd w:id="76"/>
                            <w:bookmarkEnd w:id="77"/>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05pt;margin-top:244.15pt;height:95.2pt;width:465.4pt;mso-position-horizontal-relative:margin;z-index:251660288;mso-width-relative:page;mso-height-relative:page;" fillcolor="#FFFFFF" filled="t" stroked="t" coordsize="21600,21600" o:gfxdata="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0dogXZAAAACQEAAA8AAAAAAAAAAQAgAAAAIgAAAGRycy9kb3ducmV2Lnht&#10;bFBLAQIUABQAAAAIAIdO4kA4vljFMQIAAIgEAAAOAAAAAAAAAAEAIAAAACgBAABkcnMvZTJvRG9j&#10;LnhtbFBLBQYAAAAABgAGAFkBAADLBQAAAAA=&#10;">
                <v:fill on="t" focussize="0,0"/>
                <v:stroke weight="2.25pt" color="#000000" miterlimit="8" joinstyle="miter"/>
                <v:imagedata o:title=""/>
                <o:lock v:ext="edit" aspectratio="f"/>
                <v:textbox>
                  <w:txbxContent>
                    <w:p w14:paraId="10A35343">
                      <w:pPr>
                        <w:pStyle w:val="12"/>
                        <w:spacing w:before="0" w:beforeAutospacing="0" w:after="0" w:afterAutospacing="0" w:line="360" w:lineRule="auto"/>
                        <w:ind w:right="-2"/>
                        <w:jc w:val="center"/>
                        <w:rPr>
                          <w:rStyle w:val="25"/>
                          <w:rFonts w:ascii="Cambria" w:hAnsi="Cambria"/>
                          <w:b/>
                          <w:i w:val="0"/>
                          <w:iCs w:val="0"/>
                          <w:color w:val="auto"/>
                        </w:rPr>
                      </w:pPr>
                      <w:r>
                        <w:rPr>
                          <w:rStyle w:val="25"/>
                          <w:rFonts w:ascii="Cambria" w:hAnsi="Cambria"/>
                          <w:b/>
                          <w:i w:val="0"/>
                          <w:iCs w:val="0"/>
                          <w:color w:val="auto"/>
                        </w:rPr>
                        <w:t>DA SESSÃO ELETRÔNICA</w:t>
                      </w:r>
                    </w:p>
                    <w:p w14:paraId="64BDF021">
                      <w:pPr>
                        <w:pStyle w:val="12"/>
                        <w:spacing w:before="0" w:beforeAutospacing="0" w:after="0" w:afterAutospacing="0" w:line="360" w:lineRule="auto"/>
                        <w:ind w:right="-2"/>
                        <w:jc w:val="center"/>
                        <w:rPr>
                          <w:rStyle w:val="25"/>
                          <w:rFonts w:ascii="Cambria" w:hAnsi="Cambria"/>
                          <w:i w:val="0"/>
                          <w:iCs w:val="0"/>
                          <w:color w:val="auto"/>
                        </w:rPr>
                      </w:pPr>
                      <w:r>
                        <w:rPr>
                          <w:rStyle w:val="25"/>
                          <w:rFonts w:ascii="Cambria" w:hAnsi="Cambria"/>
                          <w:b/>
                          <w:i w:val="0"/>
                          <w:iCs w:val="0"/>
                          <w:color w:val="auto"/>
                        </w:rPr>
                        <w:t>Dia:</w:t>
                      </w:r>
                      <w:r>
                        <w:rPr>
                          <w:rStyle w:val="25"/>
                          <w:rFonts w:ascii="Cambria" w:hAnsi="Cambria"/>
                          <w:i w:val="0"/>
                          <w:iCs w:val="0"/>
                          <w:color w:val="auto"/>
                        </w:rPr>
                        <w:t xml:space="preserve"> 26 de novembro de 2024.</w:t>
                      </w:r>
                    </w:p>
                    <w:p w14:paraId="65B20411">
                      <w:pPr>
                        <w:pStyle w:val="12"/>
                        <w:spacing w:before="0" w:beforeAutospacing="0" w:after="0" w:afterAutospacing="0" w:line="360" w:lineRule="auto"/>
                        <w:ind w:right="-2"/>
                        <w:jc w:val="center"/>
                        <w:rPr>
                          <w:rStyle w:val="25"/>
                          <w:rFonts w:ascii="Cambria" w:hAnsi="Cambria"/>
                          <w:i w:val="0"/>
                          <w:iCs w:val="0"/>
                          <w:color w:val="auto"/>
                        </w:rPr>
                      </w:pPr>
                      <w:r>
                        <w:rPr>
                          <w:rStyle w:val="25"/>
                          <w:rFonts w:ascii="Cambria" w:hAnsi="Cambria"/>
                          <w:b/>
                          <w:i w:val="0"/>
                          <w:iCs w:val="0"/>
                          <w:color w:val="auto"/>
                        </w:rPr>
                        <w:t>Horário:</w:t>
                      </w:r>
                      <w:r>
                        <w:rPr>
                          <w:rStyle w:val="25"/>
                          <w:rFonts w:ascii="Cambria" w:hAnsi="Cambria"/>
                          <w:i w:val="0"/>
                          <w:iCs w:val="0"/>
                          <w:color w:val="auto"/>
                        </w:rPr>
                        <w:t xml:space="preserve"> 08 horas (Horário de Brasília/DF)</w:t>
                      </w:r>
                    </w:p>
                    <w:p w14:paraId="7952F775">
                      <w:pPr>
                        <w:pStyle w:val="12"/>
                        <w:spacing w:before="0" w:beforeAutospacing="0" w:after="0" w:afterAutospacing="0" w:line="360" w:lineRule="auto"/>
                        <w:ind w:right="-2"/>
                        <w:jc w:val="center"/>
                        <w:rPr>
                          <w:rFonts w:ascii="Cambria" w:hAnsi="Cambria"/>
                          <w:b/>
                          <w:i/>
                          <w:iCs/>
                          <w14:shadow w14:blurRad="50800" w14:dist="38100" w14:dir="2700000" w14:sx="100000" w14:sy="100000" w14:kx="0" w14:ky="0" w14:algn="tl">
                            <w14:srgbClr w14:val="000000">
                              <w14:alpha w14:val="60000"/>
                            </w14:srgbClr>
                          </w14:shadow>
                        </w:rPr>
                      </w:pPr>
                      <w:bookmarkStart w:id="76" w:name="_Hlk112158177"/>
                      <w:bookmarkStart w:id="77" w:name="_Hlk112158176"/>
                      <w:r>
                        <w:rPr>
                          <w:rStyle w:val="25"/>
                          <w:rFonts w:ascii="Cambria" w:hAnsi="Cambria"/>
                          <w:b/>
                          <w:i w:val="0"/>
                          <w:iCs w:val="0"/>
                          <w:color w:val="auto"/>
                        </w:rPr>
                        <w:t>Endereço Eletrônico:</w:t>
                      </w:r>
                      <w:r>
                        <w:rPr>
                          <w:rStyle w:val="25"/>
                          <w:rFonts w:ascii="Cambria" w:hAnsi="Cambria"/>
                          <w:i w:val="0"/>
                          <w:iCs w:val="0"/>
                          <w:color w:val="auto"/>
                        </w:rPr>
                        <w:t xml:space="preserve"> </w:t>
                      </w:r>
                      <w:r>
                        <w:fldChar w:fldCharType="begin"/>
                      </w:r>
                      <w:r>
                        <w:instrText xml:space="preserve"> HYPERLINK "http://www.bnc.org.br" </w:instrText>
                      </w:r>
                      <w:r>
                        <w:fldChar w:fldCharType="separate"/>
                      </w:r>
                      <w:r>
                        <w:rPr>
                          <w:rStyle w:val="9"/>
                          <w:rFonts w:ascii="Cambria" w:hAnsi="Cambria"/>
                          <w:color w:val="auto"/>
                          <w:u w:val="none"/>
                          <w14:shadow w14:blurRad="50800" w14:dist="38100" w14:dir="2700000" w14:sx="100000" w14:sy="100000" w14:kx="0" w14:ky="0" w14:algn="tl">
                            <w14:srgbClr w14:val="000000">
                              <w14:alpha w14:val="60000"/>
                            </w14:srgbClr>
                          </w14:shadow>
                        </w:rPr>
                        <w:t>www.bnc.org.br</w:t>
                      </w:r>
                      <w:r>
                        <w:rPr>
                          <w:rStyle w:val="9"/>
                          <w:rFonts w:ascii="Cambria" w:hAnsi="Cambria"/>
                          <w:color w:val="auto"/>
                          <w:u w:val="none"/>
                          <w14:shadow w14:blurRad="50800" w14:dist="38100" w14:dir="2700000" w14:sx="100000" w14:sy="100000" w14:kx="0" w14:ky="0" w14:algn="tl">
                            <w14:srgbClr w14:val="000000">
                              <w14:alpha w14:val="60000"/>
                            </w14:srgbClr>
                          </w14:shadow>
                        </w:rPr>
                        <w:fldChar w:fldCharType="end"/>
                      </w:r>
                      <w:r>
                        <w:rPr>
                          <w:rFonts w:ascii="Cambria" w:hAnsi="Cambria"/>
                          <w:i/>
                          <w:iCs/>
                          <w14:shadow w14:blurRad="50800" w14:dist="38100" w14:dir="2700000" w14:sx="100000" w14:sy="100000" w14:kx="0" w14:ky="0" w14:algn="tl">
                            <w14:srgbClr w14:val="000000">
                              <w14:alpha w14:val="60000"/>
                            </w14:srgbClr>
                          </w14:shadow>
                        </w:rPr>
                        <w:t xml:space="preserve"> </w:t>
                      </w:r>
                      <w:bookmarkEnd w:id="76"/>
                      <w:bookmarkEnd w:id="77"/>
                    </w:p>
                  </w:txbxContent>
                </v:textbox>
              </v:shape>
            </w:pict>
          </mc:Fallback>
        </mc:AlternateContent>
      </w:r>
      <w:r>
        <w:rPr>
          <w:rFonts w:ascii="Cambria" w:hAnsi="Cambria"/>
          <w:sz w:val="22"/>
          <w:szCs w:val="22"/>
        </w:rPr>
        <w:t xml:space="preserve">O </w:t>
      </w:r>
      <w:r>
        <w:rPr>
          <w:rFonts w:ascii="Cambria" w:hAnsi="Cambria"/>
          <w:b/>
          <w:sz w:val="22"/>
          <w:szCs w:val="22"/>
        </w:rPr>
        <w:t xml:space="preserve">FUNDO MUNICIPAL DE SAÚDE DE </w:t>
      </w:r>
      <w:bookmarkStart w:id="78" w:name="_GoBack"/>
      <w:r>
        <w:rPr>
          <w:rFonts w:ascii="Cambria" w:hAnsi="Cambria"/>
          <w:b/>
          <w:sz w:val="22"/>
          <w:szCs w:val="22"/>
        </w:rPr>
        <w:t>PIRACANJUBA</w:t>
      </w:r>
      <w:bookmarkEnd w:id="78"/>
      <w:r>
        <w:rPr>
          <w:rFonts w:ascii="Cambria" w:hAnsi="Cambria"/>
          <w:sz w:val="22"/>
          <w:szCs w:val="22"/>
        </w:rPr>
        <w:t xml:space="preserve">, Estado de Goiás, Pessoa Jurídica de Direito Público Interno, com sede na </w:t>
      </w:r>
      <w:r>
        <w:rPr>
          <w:rFonts w:ascii="Cambria" w:hAnsi="Cambria" w:cs="Segoe UI"/>
          <w:sz w:val="22"/>
          <w:szCs w:val="22"/>
        </w:rPr>
        <w:t>Rua Cônego Olinto, s/n, Centro – Piracanjuba/GO</w:t>
      </w:r>
      <w:r>
        <w:rPr>
          <w:rFonts w:ascii="Cambria" w:hAnsi="Cambria"/>
          <w:sz w:val="22"/>
          <w:szCs w:val="22"/>
        </w:rPr>
        <w:t xml:space="preserve">, inscrito no CNPJ sob o nº 01.753.396/0001-00, por intermédio da Agente de Contratação, usando a competência atribuída pelo Decreto Municipal nº 18, de 08 de janeiro de 2024, torna público para o conhecimento dos interessados que fará realizar licitação na modalidade </w:t>
      </w:r>
      <w:r>
        <w:rPr>
          <w:rFonts w:ascii="Cambria" w:hAnsi="Cambria"/>
          <w:b/>
          <w:sz w:val="22"/>
          <w:szCs w:val="22"/>
        </w:rPr>
        <w:t xml:space="preserve">PREGÃO ELETRÔNICO Nº 53/2024 </w:t>
      </w:r>
      <w:r>
        <w:rPr>
          <w:rFonts w:ascii="Cambria" w:hAnsi="Cambria"/>
          <w:bCs/>
          <w:sz w:val="22"/>
          <w:szCs w:val="22"/>
        </w:rPr>
        <w:t>– Sistema de Registro de Preços,</w:t>
      </w:r>
      <w:r>
        <w:rPr>
          <w:rFonts w:ascii="Cambria" w:hAnsi="Cambria"/>
          <w:sz w:val="22"/>
          <w:szCs w:val="22"/>
        </w:rPr>
        <w:t xml:space="preserve"> do </w:t>
      </w:r>
      <w:r>
        <w:rPr>
          <w:rFonts w:ascii="Cambria" w:hAnsi="Cambria" w:cs="Arial"/>
          <w:sz w:val="22"/>
          <w:szCs w:val="22"/>
        </w:rPr>
        <w:t xml:space="preserve">tipo Menor Preço por Item, objetivando a </w:t>
      </w:r>
      <w:r>
        <w:rPr>
          <w:rFonts w:ascii="Cambria" w:hAnsi="Cambria"/>
          <w:sz w:val="22"/>
          <w:szCs w:val="22"/>
        </w:rPr>
        <w:t>aquisição eventual e sob demanda de medicamentos, materiais medico hospitalares e laboratoriais, os quais foram fracassados ou desertos de outras licitações (Pregão Eletrônico nº 10/2024, Pregão Eletrônico nº 18/2024, Pregão Eletrônico nº 31/2024 e Pregão Eletrônico nº 35/2024), afim de atender as demandas das Unidades ligadas à Secretaria Municipal de Saúde de Piracanjuba/GO</w:t>
      </w:r>
      <w:r>
        <w:rPr>
          <w:rFonts w:ascii="Cambria" w:hAnsi="Cambria" w:cs="Arial"/>
          <w:sz w:val="22"/>
          <w:szCs w:val="22"/>
        </w:rPr>
        <w:t>,</w:t>
      </w:r>
      <w:r>
        <w:rPr>
          <w:rFonts w:ascii="Cambria" w:hAnsi="Cambria"/>
          <w:sz w:val="22"/>
          <w:szCs w:val="22"/>
        </w:rPr>
        <w:t xml:space="preserve"> conforme discriminações e quantidades </w:t>
      </w:r>
      <w:bookmarkEnd w:id="1"/>
      <w:r>
        <w:rPr>
          <w:rFonts w:ascii="Cambria" w:hAnsi="Cambria"/>
          <w:sz w:val="22"/>
          <w:szCs w:val="22"/>
        </w:rPr>
        <w:t xml:space="preserve">descritas no Estudo Técnico Preliminar e Termo de Referência </w:t>
      </w:r>
      <w:bookmarkEnd w:id="2"/>
      <w:r>
        <w:rPr>
          <w:rFonts w:ascii="Cambria" w:hAnsi="Cambria"/>
          <w:sz w:val="22"/>
          <w:szCs w:val="22"/>
        </w:rPr>
        <w:t>anexos desde edital.</w:t>
      </w:r>
      <w:bookmarkEnd w:id="3"/>
    </w:p>
    <w:bookmarkEnd w:id="4"/>
    <w:p w14:paraId="54AA243A">
      <w:pPr>
        <w:pStyle w:val="12"/>
        <w:spacing w:before="240" w:after="240" w:line="360" w:lineRule="auto"/>
        <w:jc w:val="both"/>
        <w:rPr>
          <w:rFonts w:ascii="Cambria" w:hAnsi="Cambria"/>
          <w:sz w:val="22"/>
          <w:szCs w:val="22"/>
        </w:rPr>
      </w:pPr>
    </w:p>
    <w:bookmarkEnd w:id="5"/>
    <w:p w14:paraId="34C27C8B">
      <w:pPr>
        <w:pStyle w:val="12"/>
        <w:spacing w:before="240" w:after="240" w:line="360" w:lineRule="auto"/>
        <w:jc w:val="both"/>
        <w:rPr>
          <w:rFonts w:ascii="Cambria" w:hAnsi="Cambria"/>
          <w:sz w:val="22"/>
          <w:szCs w:val="22"/>
        </w:rPr>
      </w:pPr>
    </w:p>
    <w:p w14:paraId="2430B89D">
      <w:pPr>
        <w:pStyle w:val="12"/>
        <w:spacing w:before="240" w:after="240" w:line="360" w:lineRule="auto"/>
        <w:jc w:val="both"/>
        <w:rPr>
          <w:rFonts w:ascii="Cambria" w:hAnsi="Cambria"/>
          <w:sz w:val="22"/>
          <w:szCs w:val="22"/>
        </w:rPr>
      </w:pPr>
    </w:p>
    <w:p w14:paraId="6DBADAC3">
      <w:pPr>
        <w:pStyle w:val="12"/>
        <w:spacing w:before="240" w:after="240" w:line="360" w:lineRule="auto"/>
        <w:jc w:val="both"/>
        <w:rPr>
          <w:rFonts w:ascii="Cambria" w:hAnsi="Cambria"/>
          <w:sz w:val="22"/>
          <w:szCs w:val="22"/>
        </w:rPr>
      </w:pPr>
      <w:r>
        <w:rPr>
          <w:rFonts w:ascii="Cambria" w:hAnsi="Cambria"/>
          <w:sz w:val="22"/>
          <w:szCs w:val="22"/>
        </w:rPr>
        <w:t>O presente certame reger-se-á pela Lei Federal nº. 14.133, de 01 de abril de 2021, Lei Complementar nº 123, de 14 de dezembro de 2006, Lei Complementar nº 147, de 07 de agosto de 2014, Decreto Municipal nº 17, de 08 de janeiro de 2024, Decreto Municipal nº 18, de 08 de janeiro de 2024, Decreto Municipal nº 21, de 08 de janeiro de 2024 e demais legislações pertinentes.</w:t>
      </w:r>
    </w:p>
    <w:p w14:paraId="34676F2A">
      <w:pPr>
        <w:pStyle w:val="12"/>
        <w:spacing w:before="240" w:after="240" w:line="360" w:lineRule="auto"/>
        <w:jc w:val="both"/>
        <w:rPr>
          <w:rFonts w:ascii="Cambria" w:hAnsi="Cambria"/>
          <w:sz w:val="22"/>
          <w:szCs w:val="22"/>
        </w:rPr>
      </w:pPr>
      <w:r>
        <w:rPr>
          <w:rFonts w:ascii="Cambria" w:hAnsi="Cambria"/>
          <w:bCs/>
          <w:sz w:val="22"/>
          <w:szCs w:val="22"/>
        </w:rPr>
        <w:t>O caderno de licitações composto de EDITAL e ANEXOS</w:t>
      </w:r>
      <w:r>
        <w:rPr>
          <w:rFonts w:ascii="Cambria" w:hAnsi="Cambria"/>
          <w:sz w:val="22"/>
          <w:szCs w:val="22"/>
        </w:rPr>
        <w:t xml:space="preserve"> poderá ser adquirido através do link “licitações” da</w:t>
      </w:r>
      <w:r>
        <w:rPr>
          <w:rFonts w:ascii="Cambria" w:hAnsi="Cambria"/>
          <w:i/>
          <w:sz w:val="22"/>
          <w:szCs w:val="22"/>
        </w:rPr>
        <w:t xml:space="preserve"> web site </w:t>
      </w:r>
      <w:r>
        <w:rPr>
          <w:rFonts w:ascii="Cambria" w:hAnsi="Cambria"/>
          <w:sz w:val="22"/>
          <w:szCs w:val="22"/>
        </w:rPr>
        <w:t>oficial do Município &lt;</w:t>
      </w:r>
      <w:r>
        <w:fldChar w:fldCharType="begin"/>
      </w:r>
      <w:r>
        <w:instrText xml:space="preserve"> HYPERLINK "http://www.piracanjuba.go.gov.br" </w:instrText>
      </w:r>
      <w:r>
        <w:fldChar w:fldCharType="separate"/>
      </w:r>
      <w:r>
        <w:rPr>
          <w:rStyle w:val="9"/>
          <w:rFonts w:ascii="Cambria" w:hAnsi="Cambria"/>
          <w:color w:val="auto"/>
          <w:sz w:val="22"/>
          <w:szCs w:val="22"/>
          <w:u w:val="none"/>
          <w14:shadow w14:blurRad="50800" w14:dist="38100" w14:dir="2700000" w14:sx="100000" w14:sy="100000" w14:kx="0" w14:ky="0" w14:algn="tl">
            <w14:srgbClr w14:val="000000">
              <w14:alpha w14:val="60000"/>
            </w14:srgbClr>
          </w14:shadow>
        </w:rPr>
        <w:t>http://www.piracanjuba.go.gov.br</w:t>
      </w:r>
      <w:r>
        <w:rPr>
          <w:rStyle w:val="9"/>
          <w:rFonts w:ascii="Cambria" w:hAnsi="Cambria"/>
          <w:color w:val="auto"/>
          <w:sz w:val="22"/>
          <w:szCs w:val="22"/>
          <w:u w:val="none"/>
          <w14:shadow w14:blurRad="50800" w14:dist="38100" w14:dir="2700000" w14:sx="100000" w14:sy="100000" w14:kx="0" w14:ky="0" w14:algn="tl">
            <w14:srgbClr w14:val="000000">
              <w14:alpha w14:val="60000"/>
            </w14:srgbClr>
          </w14:shadow>
        </w:rPr>
        <w:fldChar w:fldCharType="end"/>
      </w:r>
      <w:r>
        <w:rPr>
          <w:rStyle w:val="9"/>
          <w:rFonts w:ascii="Cambria" w:hAnsi="Cambria"/>
          <w:color w:val="auto"/>
          <w:sz w:val="22"/>
          <w:szCs w:val="22"/>
          <w:u w:val="none"/>
        </w:rPr>
        <w:t>&gt;</w:t>
      </w:r>
      <w:r>
        <w:rPr>
          <w:rFonts w:ascii="Cambria" w:hAnsi="Cambria"/>
          <w:sz w:val="22"/>
          <w:szCs w:val="22"/>
        </w:rPr>
        <w:t xml:space="preserve"> e através do Endereço Eletrônico da Bolsa Nacional de Compras – BNC &lt;</w:t>
      </w:r>
      <w:r>
        <w:fldChar w:fldCharType="begin"/>
      </w:r>
      <w:r>
        <w:instrText xml:space="preserve"> HYPERLINK "http://www.bnc.org.br" </w:instrText>
      </w:r>
      <w:r>
        <w:fldChar w:fldCharType="separate"/>
      </w:r>
      <w:r>
        <w:rPr>
          <w:rStyle w:val="9"/>
          <w:rFonts w:ascii="Cambria" w:hAnsi="Cambria"/>
          <w:color w:val="auto"/>
          <w:sz w:val="22"/>
          <w:szCs w:val="22"/>
          <w:u w:val="none"/>
          <w14:shadow w14:blurRad="50800" w14:dist="38100" w14:dir="2700000" w14:sx="100000" w14:sy="100000" w14:kx="0" w14:ky="0" w14:algn="tl">
            <w14:srgbClr w14:val="000000">
              <w14:alpha w14:val="60000"/>
            </w14:srgbClr>
          </w14:shadow>
        </w:rPr>
        <w:t>www.bnc.org.br</w:t>
      </w:r>
      <w:r>
        <w:rPr>
          <w:rStyle w:val="9"/>
          <w:rFonts w:ascii="Cambria" w:hAnsi="Cambria"/>
          <w:color w:val="auto"/>
          <w:sz w:val="22"/>
          <w:szCs w:val="22"/>
          <w:u w:val="none"/>
          <w14:shadow w14:blurRad="50800" w14:dist="38100" w14:dir="2700000" w14:sx="100000" w14:sy="100000" w14:kx="0" w14:ky="0" w14:algn="tl">
            <w14:srgbClr w14:val="000000">
              <w14:alpha w14:val="60000"/>
            </w14:srgbClr>
          </w14:shadow>
        </w:rPr>
        <w:fldChar w:fldCharType="end"/>
      </w:r>
      <w:r>
        <w:rPr>
          <w:rFonts w:ascii="Cambria" w:hAnsi="Cambria"/>
          <w:sz w:val="22"/>
          <w:szCs w:val="22"/>
        </w:rPr>
        <w:t>&gt;. Quaisquer informações</w:t>
      </w:r>
      <w:r>
        <w:rPr>
          <w:rFonts w:ascii="Cambria" w:hAnsi="Cambria"/>
          <w:b/>
          <w:sz w:val="22"/>
          <w:szCs w:val="22"/>
        </w:rPr>
        <w:t xml:space="preserve"> </w:t>
      </w:r>
      <w:r>
        <w:rPr>
          <w:rFonts w:ascii="Cambria" w:hAnsi="Cambria"/>
          <w:sz w:val="22"/>
          <w:szCs w:val="22"/>
        </w:rPr>
        <w:t xml:space="preserve">adicionais poderão ser obtidas através do e-mail do Departamento de Licitações: </w:t>
      </w:r>
      <w:r>
        <w:fldChar w:fldCharType="begin"/>
      </w:r>
      <w:r>
        <w:instrText xml:space="preserve"> HYPERLINK "mailto:licitacaopiracanjuba@hotmail.com" </w:instrText>
      </w:r>
      <w:r>
        <w:fldChar w:fldCharType="separate"/>
      </w:r>
      <w:r>
        <w:rPr>
          <w:rStyle w:val="9"/>
          <w:rFonts w:ascii="Cambria" w:hAnsi="Cambria"/>
          <w:color w:val="auto"/>
          <w:sz w:val="22"/>
          <w:szCs w:val="22"/>
          <w:u w:val="none"/>
          <w14:shadow w14:blurRad="50800" w14:dist="38100" w14:dir="2700000" w14:sx="100000" w14:sy="100000" w14:kx="0" w14:ky="0" w14:algn="tl">
            <w14:srgbClr w14:val="000000">
              <w14:alpha w14:val="60000"/>
            </w14:srgbClr>
          </w14:shadow>
        </w:rPr>
        <w:t>licitacaopiracanjuba@hotmail.com</w:t>
      </w:r>
      <w:r>
        <w:rPr>
          <w:rStyle w:val="9"/>
          <w:rFonts w:ascii="Cambria" w:hAnsi="Cambria"/>
          <w:color w:val="auto"/>
          <w:sz w:val="22"/>
          <w:szCs w:val="22"/>
          <w:u w:val="none"/>
          <w14:shadow w14:blurRad="50800" w14:dist="38100" w14:dir="2700000" w14:sx="100000" w14:sy="100000" w14:kx="0" w14:ky="0" w14:algn="tl">
            <w14:srgbClr w14:val="000000">
              <w14:alpha w14:val="60000"/>
            </w14:srgbClr>
          </w14:shadow>
        </w:rPr>
        <w:fldChar w:fldCharType="end"/>
      </w:r>
      <w:r>
        <w:rPr>
          <w:rFonts w:ascii="Cambria" w:hAnsi="Cambria"/>
          <w:sz w:val="22"/>
          <w:szCs w:val="22"/>
        </w:rPr>
        <w:t>.</w:t>
      </w:r>
    </w:p>
    <w:p w14:paraId="767DE174">
      <w:pPr>
        <w:pStyle w:val="12"/>
        <w:spacing w:before="240" w:after="240" w:line="360" w:lineRule="auto"/>
        <w:jc w:val="both"/>
        <w:rPr>
          <w:rFonts w:ascii="Cambria" w:hAnsi="Cambria"/>
          <w:sz w:val="22"/>
          <w:szCs w:val="22"/>
        </w:rPr>
      </w:pPr>
    </w:p>
    <w:p w14:paraId="6D786180">
      <w:pPr>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tabs>
          <w:tab w:val="left" w:pos="1701"/>
        </w:tabs>
        <w:spacing w:before="240" w:line="276" w:lineRule="auto"/>
        <w:jc w:val="both"/>
        <w:rPr>
          <w:rFonts w:ascii="Cambria" w:hAnsi="Cambria"/>
          <w:b/>
        </w:rPr>
      </w:pPr>
      <w:r>
        <w:rPr>
          <w:rFonts w:ascii="Cambria" w:hAnsi="Cambria"/>
          <w:b/>
        </w:rPr>
        <w:t>01. DO OBJETO E DEFINIÇÕES</w:t>
      </w:r>
    </w:p>
    <w:p w14:paraId="4ED740F5">
      <w:pPr>
        <w:pStyle w:val="12"/>
        <w:spacing w:before="240" w:line="276" w:lineRule="auto"/>
        <w:jc w:val="both"/>
        <w:rPr>
          <w:rFonts w:ascii="Cambria" w:hAnsi="Cambria"/>
          <w:bCs/>
          <w:sz w:val="22"/>
          <w:szCs w:val="22"/>
        </w:rPr>
      </w:pPr>
      <w:r>
        <w:rPr>
          <w:rFonts w:ascii="Cambria" w:hAnsi="Cambria"/>
          <w:b/>
          <w:bCs/>
          <w:sz w:val="22"/>
          <w:szCs w:val="22"/>
        </w:rPr>
        <w:t>1.1</w:t>
      </w:r>
      <w:r>
        <w:rPr>
          <w:rFonts w:ascii="Cambria" w:hAnsi="Cambria"/>
          <w:bCs/>
          <w:sz w:val="22"/>
          <w:szCs w:val="22"/>
        </w:rPr>
        <w:t xml:space="preserve"> A presente licitação tem por objeto registrar em Ata os preços de itens relacionados no Termo de Referência anexo ao presente Edital, ofertado pelos licitantes vencedores a serem adquiridos pela </w:t>
      </w:r>
      <w:r>
        <w:rPr>
          <w:rFonts w:ascii="Cambria" w:hAnsi="Cambria"/>
          <w:sz w:val="22"/>
          <w:szCs w:val="22"/>
        </w:rPr>
        <w:t>Secretaria Municipal de Saúde de Piracanjuba/GO</w:t>
      </w:r>
      <w:r>
        <w:rPr>
          <w:rFonts w:ascii="Cambria" w:hAnsi="Cambria"/>
          <w:bCs/>
          <w:sz w:val="22"/>
          <w:szCs w:val="22"/>
        </w:rPr>
        <w:t xml:space="preserve"> no período de 12 (doze) meses, mediante requisições expedidas por autoridade competente, conforme a necessidade e interesse público.</w:t>
      </w:r>
    </w:p>
    <w:p w14:paraId="32E3D018">
      <w:pPr>
        <w:pStyle w:val="12"/>
        <w:spacing w:before="240" w:line="276" w:lineRule="auto"/>
        <w:ind w:firstLine="567"/>
        <w:jc w:val="both"/>
        <w:rPr>
          <w:rFonts w:ascii="Cambria" w:hAnsi="Cambria"/>
          <w:sz w:val="22"/>
          <w:szCs w:val="22"/>
        </w:rPr>
      </w:pPr>
      <w:r>
        <w:rPr>
          <w:rFonts w:ascii="Cambria" w:hAnsi="Cambria"/>
          <w:b/>
          <w:bCs/>
          <w:sz w:val="22"/>
          <w:szCs w:val="22"/>
        </w:rPr>
        <w:t xml:space="preserve">I. </w:t>
      </w:r>
      <w:r>
        <w:rPr>
          <w:rFonts w:ascii="Cambria" w:hAnsi="Cambria"/>
          <w:bCs/>
          <w:sz w:val="22"/>
          <w:szCs w:val="22"/>
        </w:rPr>
        <w:t xml:space="preserve">O objeto que se refere o subitem </w:t>
      </w:r>
      <w:r>
        <w:rPr>
          <w:rFonts w:ascii="Cambria" w:hAnsi="Cambria"/>
          <w:b/>
          <w:bCs/>
          <w:sz w:val="22"/>
          <w:szCs w:val="22"/>
        </w:rPr>
        <w:t>1.1</w:t>
      </w:r>
      <w:r>
        <w:rPr>
          <w:rFonts w:ascii="Cambria" w:hAnsi="Cambria"/>
          <w:bCs/>
          <w:sz w:val="22"/>
          <w:szCs w:val="22"/>
        </w:rPr>
        <w:t xml:space="preserve"> é </w:t>
      </w:r>
      <w:r>
        <w:rPr>
          <w:rFonts w:ascii="Cambria" w:hAnsi="Cambria"/>
          <w:sz w:val="22"/>
          <w:szCs w:val="22"/>
        </w:rPr>
        <w:t>o registro</w:t>
      </w:r>
      <w:r>
        <w:rPr>
          <w:rFonts w:ascii="Cambria" w:hAnsi="Cambria" w:eastAsia="Batang" w:cs="Arial"/>
          <w:sz w:val="22"/>
          <w:szCs w:val="22"/>
        </w:rPr>
        <w:t xml:space="preserve"> de empresa apta a fornecer</w:t>
      </w:r>
      <w:r>
        <w:rPr>
          <w:rFonts w:ascii="Cambria" w:hAnsi="Cambria"/>
          <w:sz w:val="22"/>
          <w:szCs w:val="22"/>
        </w:rPr>
        <w:t xml:space="preserve"> eventualmente e sob demanda medicamentos, materiais medico hospitalares e laboratoriais, os quais foram fracassados ou desertos de outras licitações (Pregão Eletrônico nº 10/2024, Pregão Eletrônico nº 18/2024, Pregão Eletrônico nº 31/2024 e Pregão Eletrônico nº 35/2024), afim de atender as demandas das Unidades ligadas à Secretaria Municipal de Saúde de Piracanjuba/GO, conforme discriminações e quantidades descritas no Estudo Técnico Preliminar e Termo de Referência</w:t>
      </w:r>
      <w:r>
        <w:rPr>
          <w:rFonts w:ascii="Cambria" w:hAnsi="Cambria" w:eastAsia="Batang" w:cs="Arial"/>
          <w:sz w:val="22"/>
          <w:szCs w:val="22"/>
        </w:rPr>
        <w:t xml:space="preserve">, anexos </w:t>
      </w:r>
      <w:r>
        <w:rPr>
          <w:rFonts w:ascii="Cambria" w:hAnsi="Cambria"/>
          <w:sz w:val="22"/>
          <w:szCs w:val="22"/>
        </w:rPr>
        <w:t>deste Edital.</w:t>
      </w:r>
    </w:p>
    <w:p w14:paraId="68B3016F">
      <w:pPr>
        <w:pStyle w:val="12"/>
        <w:spacing w:before="240" w:line="276" w:lineRule="auto"/>
        <w:ind w:firstLine="567"/>
        <w:jc w:val="both"/>
        <w:rPr>
          <w:rFonts w:ascii="Cambria" w:hAnsi="Cambria"/>
          <w:bCs/>
          <w:sz w:val="22"/>
          <w:szCs w:val="22"/>
        </w:rPr>
      </w:pPr>
      <w:r>
        <w:rPr>
          <w:rFonts w:ascii="Cambria" w:hAnsi="Cambria"/>
          <w:b/>
          <w:sz w:val="22"/>
          <w:szCs w:val="22"/>
        </w:rPr>
        <w:t>II.</w:t>
      </w:r>
      <w:r>
        <w:rPr>
          <w:rFonts w:ascii="Cambria" w:hAnsi="Cambria"/>
          <w:sz w:val="22"/>
          <w:szCs w:val="22"/>
        </w:rPr>
        <w:t xml:space="preserve"> Em caso de discordância existente entre as especificações do objeto descrito na </w:t>
      </w:r>
      <w:bookmarkStart w:id="6" w:name="_Hlk112158267"/>
      <w:r>
        <w:rPr>
          <w:rFonts w:ascii="Cambria" w:hAnsi="Cambria"/>
          <w:sz w:val="22"/>
          <w:szCs w:val="22"/>
        </w:rPr>
        <w:t>BNC (Bolsa Nacional de Compras)</w:t>
      </w:r>
      <w:bookmarkEnd w:id="6"/>
      <w:r>
        <w:rPr>
          <w:rFonts w:ascii="Cambria" w:hAnsi="Cambria"/>
          <w:sz w:val="22"/>
          <w:szCs w:val="22"/>
        </w:rPr>
        <w:t xml:space="preserve"> e as especificações constantes deste Edital, prevalecerão as especificações contidas no Edital.</w:t>
      </w:r>
    </w:p>
    <w:p w14:paraId="364ADB90">
      <w:pPr>
        <w:pStyle w:val="12"/>
        <w:spacing w:before="240" w:line="276" w:lineRule="auto"/>
        <w:jc w:val="both"/>
        <w:rPr>
          <w:rFonts w:ascii="Cambria" w:hAnsi="Cambria"/>
          <w:sz w:val="22"/>
          <w:szCs w:val="22"/>
        </w:rPr>
      </w:pPr>
      <w:r>
        <w:rPr>
          <w:rFonts w:ascii="Cambria" w:hAnsi="Cambria"/>
          <w:b/>
          <w:sz w:val="22"/>
          <w:szCs w:val="22"/>
        </w:rPr>
        <w:t xml:space="preserve">1.2 </w:t>
      </w:r>
      <w:r>
        <w:rPr>
          <w:rFonts w:ascii="Cambria" w:hAnsi="Cambria"/>
          <w:sz w:val="22"/>
          <w:szCs w:val="22"/>
        </w:rPr>
        <w:t>Os produtos constantes na presente licitação deverão atender as exigências de qualidade observando os padrões e normas baixadas pelos órgãos competentes de controle de qualidade – ABNT, INMETRO, ANVISA etc., atentando-se o proponente, principalmente para as prescrições Lei Federal nº 8.078, de 1990 (Código de Defesa do Consumidor).</w:t>
      </w:r>
    </w:p>
    <w:p w14:paraId="70D5EDCA">
      <w:pPr>
        <w:pStyle w:val="12"/>
        <w:spacing w:before="240" w:line="276" w:lineRule="auto"/>
        <w:jc w:val="both"/>
        <w:rPr>
          <w:rFonts w:ascii="Cambria" w:hAnsi="Cambria"/>
          <w:sz w:val="22"/>
          <w:szCs w:val="22"/>
        </w:rPr>
      </w:pPr>
      <w:r>
        <w:rPr>
          <w:rFonts w:ascii="Cambria" w:hAnsi="Cambria"/>
          <w:b/>
          <w:sz w:val="22"/>
          <w:szCs w:val="22"/>
        </w:rPr>
        <w:t xml:space="preserve">1.3 </w:t>
      </w:r>
      <w:r>
        <w:rPr>
          <w:rFonts w:ascii="Cambria" w:hAnsi="Cambria"/>
          <w:sz w:val="22"/>
          <w:szCs w:val="22"/>
        </w:rPr>
        <w:t>Para fins deste Edital consideram-se:</w:t>
      </w:r>
    </w:p>
    <w:p w14:paraId="5A104D5A">
      <w:pPr>
        <w:tabs>
          <w:tab w:val="left" w:pos="1701"/>
        </w:tabs>
        <w:spacing w:before="240" w:line="276" w:lineRule="auto"/>
        <w:ind w:firstLine="567"/>
        <w:jc w:val="both"/>
        <w:rPr>
          <w:rFonts w:ascii="Cambria" w:hAnsi="Cambria"/>
        </w:rPr>
      </w:pPr>
      <w:r>
        <w:rPr>
          <w:rFonts w:ascii="Cambria" w:hAnsi="Cambria"/>
          <w:b/>
        </w:rPr>
        <w:t>I. Sistema de Registro de Preços:</w:t>
      </w:r>
      <w:r>
        <w:rPr>
          <w:rFonts w:ascii="Cambria" w:hAnsi="Cambria"/>
        </w:rPr>
        <w:t xml:space="preserve"> conjunto de procedimentos para realização, mediante contratação direta ou licitação nas modalidades pregão ou concorrência, de registro formal de preços relativos à prestação de serviços, a obras e a aquisição e locação de bens para contratações futuras.</w:t>
      </w:r>
    </w:p>
    <w:p w14:paraId="3E744FFC">
      <w:pPr>
        <w:tabs>
          <w:tab w:val="left" w:pos="1701"/>
        </w:tabs>
        <w:spacing w:before="240" w:line="276" w:lineRule="auto"/>
        <w:ind w:firstLine="567"/>
        <w:jc w:val="both"/>
        <w:rPr>
          <w:rFonts w:ascii="Cambria" w:hAnsi="Cambria"/>
        </w:rPr>
      </w:pPr>
      <w:r>
        <w:rPr>
          <w:rFonts w:ascii="Cambria" w:hAnsi="Cambria"/>
          <w:b/>
        </w:rPr>
        <w:t>II. Ata de Registro de Preços:</w:t>
      </w:r>
      <w:r>
        <w:rPr>
          <w:rFonts w:ascii="Cambria" w:hAnsi="Cambria"/>
        </w:rPr>
        <w:t xml:space="preserve"> documento vinculativo e obrigacional, com característica de compromisso para futura contratação, no qual são registrados o objeto, os preços, os fornecedores, os órgãos participantes e as condições a serem praticadas, conforma s disposições contidas no edital da licitação, no aviso ou instrumento de contratação direta e nas propostas apresentadas.</w:t>
      </w:r>
    </w:p>
    <w:p w14:paraId="0F2D4BAB">
      <w:pPr>
        <w:tabs>
          <w:tab w:val="left" w:pos="1701"/>
        </w:tabs>
        <w:spacing w:before="240" w:line="276" w:lineRule="auto"/>
        <w:ind w:firstLine="567"/>
        <w:jc w:val="both"/>
        <w:rPr>
          <w:rFonts w:ascii="Cambria" w:hAnsi="Cambria"/>
        </w:rPr>
      </w:pPr>
      <w:r>
        <w:rPr>
          <w:rFonts w:ascii="Cambria" w:hAnsi="Cambria"/>
          <w:b/>
        </w:rPr>
        <w:t>III. Órgão Gerenciador:</w:t>
      </w:r>
      <w:r>
        <w:rPr>
          <w:rFonts w:ascii="Cambria" w:hAnsi="Cambria"/>
        </w:rPr>
        <w:t xml:space="preserve"> órgão da administração pública municipal responsável pela condução do conjunto de procedimentos para registro de preços e pelo gerenciamento da ata de registro de preços.</w:t>
      </w:r>
    </w:p>
    <w:p w14:paraId="57BC9FC8">
      <w:pPr>
        <w:tabs>
          <w:tab w:val="left" w:pos="1701"/>
        </w:tabs>
        <w:spacing w:before="240" w:line="276" w:lineRule="auto"/>
        <w:ind w:firstLine="567"/>
        <w:jc w:val="both"/>
        <w:rPr>
          <w:rFonts w:ascii="Cambria" w:hAnsi="Cambria"/>
        </w:rPr>
      </w:pPr>
      <w:r>
        <w:rPr>
          <w:rFonts w:ascii="Cambria" w:hAnsi="Cambria"/>
          <w:b/>
        </w:rPr>
        <w:t>IV. Órgão ou Entidade Participante:</w:t>
      </w:r>
      <w:r>
        <w:rPr>
          <w:rFonts w:ascii="Cambria" w:hAnsi="Cambria"/>
        </w:rPr>
        <w:t xml:space="preserve"> órgão ou entidade da administração pública que participa dos procedimentos iniciais da contratação para registro de preços e integra a ata de registro de preços.</w:t>
      </w:r>
    </w:p>
    <w:p w14:paraId="3B5CC6B4">
      <w:pPr>
        <w:pStyle w:val="12"/>
        <w:spacing w:before="240" w:line="276" w:lineRule="auto"/>
        <w:ind w:firstLine="567"/>
        <w:jc w:val="both"/>
        <w:rPr>
          <w:rFonts w:ascii="Cambria" w:hAnsi="Cambria"/>
          <w:sz w:val="22"/>
          <w:szCs w:val="22"/>
        </w:rPr>
      </w:pPr>
      <w:r>
        <w:rPr>
          <w:rFonts w:ascii="Cambria" w:hAnsi="Cambria"/>
          <w:b/>
          <w:sz w:val="22"/>
          <w:szCs w:val="22"/>
        </w:rPr>
        <w:t>V. Órgão não participante:</w:t>
      </w:r>
      <w:r>
        <w:rPr>
          <w:rFonts w:ascii="Cambria" w:hAnsi="Cambria"/>
          <w:sz w:val="22"/>
          <w:szCs w:val="22"/>
        </w:rPr>
        <w:t xml:space="preserve"> órgão ou entidade da administração pública que não participa dos procedimentos iniciais da licitação para registro de preços e não integra a ata de registro de preços.</w:t>
      </w:r>
    </w:p>
    <w:p w14:paraId="23225360">
      <w:pPr>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tabs>
          <w:tab w:val="left" w:pos="1670"/>
          <w:tab w:val="left" w:pos="1701"/>
        </w:tabs>
        <w:spacing w:before="240" w:line="276" w:lineRule="auto"/>
        <w:jc w:val="both"/>
        <w:rPr>
          <w:rFonts w:ascii="Cambria" w:hAnsi="Cambria"/>
          <w:b/>
          <w:bCs/>
        </w:rPr>
      </w:pPr>
      <w:r>
        <w:rPr>
          <w:rFonts w:ascii="Cambria" w:hAnsi="Cambria"/>
          <w:b/>
          <w:bCs/>
        </w:rPr>
        <w:t>02. DAS CONDIÇÕES DE PARTICIPAÇÃO</w:t>
      </w:r>
    </w:p>
    <w:p w14:paraId="76E53EC5">
      <w:pPr>
        <w:tabs>
          <w:tab w:val="left" w:pos="1701"/>
          <w:tab w:val="left" w:pos="1843"/>
        </w:tabs>
        <w:spacing w:before="240" w:line="276" w:lineRule="auto"/>
        <w:jc w:val="both"/>
        <w:rPr>
          <w:rFonts w:ascii="Cambria" w:hAnsi="Cambria"/>
          <w:i/>
          <w:iCs/>
          <w14:shadow w14:blurRad="50800" w14:dist="38100" w14:dir="2700000" w14:sx="100000" w14:sy="100000" w14:kx="0" w14:ky="0" w14:algn="tl">
            <w14:srgbClr w14:val="000000">
              <w14:alpha w14:val="60000"/>
            </w14:srgbClr>
          </w14:shadow>
        </w:rPr>
      </w:pPr>
      <w:r>
        <w:rPr>
          <w:rFonts w:ascii="Cambria" w:hAnsi="Cambria"/>
          <w:b/>
          <w:bCs/>
        </w:rPr>
        <w:t xml:space="preserve">2.1 </w:t>
      </w:r>
      <w:r>
        <w:rPr>
          <w:rFonts w:ascii="Cambria" w:hAnsi="Cambria"/>
        </w:rPr>
        <w:t xml:space="preserve">Somente poderão participar desta Licitação Pessoas Jurídicas legalmente constituídas e estabelecidas anteriormente à data de abertura do presente certame com objeto social pertinente e compatível com o certame e que atenderem todas às exigências deste Edital, Anexos e ainda devidamente cadastradas junto à BNC – Bolsa Nacional de Compras, através do site </w:t>
      </w:r>
      <w:r>
        <w:fldChar w:fldCharType="begin"/>
      </w:r>
      <w:r>
        <w:instrText xml:space="preserve"> HYPERLINK "http://www.bnc.org.br" </w:instrText>
      </w:r>
      <w:r>
        <w:fldChar w:fldCharType="separate"/>
      </w:r>
      <w:r>
        <w:rPr>
          <w:rStyle w:val="9"/>
          <w:rFonts w:ascii="Cambria" w:hAnsi="Cambria"/>
          <w:color w:val="auto"/>
          <w:u w:val="none"/>
          <w14:shadow w14:blurRad="50800" w14:dist="38100" w14:dir="2700000" w14:sx="100000" w14:sy="100000" w14:kx="0" w14:ky="0" w14:algn="tl">
            <w14:srgbClr w14:val="000000">
              <w14:alpha w14:val="60000"/>
            </w14:srgbClr>
          </w14:shadow>
        </w:rPr>
        <w:t>www.bnc.org.br</w:t>
      </w:r>
      <w:r>
        <w:rPr>
          <w:rStyle w:val="9"/>
          <w:rFonts w:ascii="Cambria" w:hAnsi="Cambria"/>
          <w:color w:val="auto"/>
          <w:u w:val="none"/>
          <w14:shadow w14:blurRad="50800" w14:dist="38100" w14:dir="2700000" w14:sx="100000" w14:sy="100000" w14:kx="0" w14:ky="0" w14:algn="tl">
            <w14:srgbClr w14:val="000000">
              <w14:alpha w14:val="60000"/>
            </w14:srgbClr>
          </w14:shadow>
        </w:rPr>
        <w:fldChar w:fldCharType="end"/>
      </w:r>
      <w:r>
        <w:rPr>
          <w:rFonts w:ascii="Cambria" w:hAnsi="Cambria"/>
          <w14:shadow w14:blurRad="50800" w14:dist="38100" w14:dir="2700000" w14:sx="100000" w14:sy="100000" w14:kx="0" w14:ky="0" w14:algn="tl">
            <w14:srgbClr w14:val="000000">
              <w14:alpha w14:val="60000"/>
            </w14:srgbClr>
          </w14:shadow>
        </w:rPr>
        <w:t>.</w:t>
      </w:r>
    </w:p>
    <w:p w14:paraId="53A614E9">
      <w:pPr>
        <w:tabs>
          <w:tab w:val="left" w:pos="1701"/>
          <w:tab w:val="left" w:pos="1843"/>
        </w:tabs>
        <w:spacing w:before="240" w:line="276" w:lineRule="auto"/>
        <w:ind w:firstLine="567"/>
        <w:jc w:val="both"/>
        <w:rPr>
          <w:rFonts w:ascii="Cambria" w:hAnsi="Cambria"/>
        </w:rPr>
      </w:pPr>
      <w:r>
        <w:rPr>
          <w:rFonts w:ascii="Cambria" w:hAnsi="Cambria"/>
          <w:b/>
          <w:bCs/>
        </w:rPr>
        <w:t xml:space="preserve">I. </w:t>
      </w:r>
      <w:r>
        <w:rPr>
          <w:rFonts w:ascii="Cambria" w:hAnsi="Cambria"/>
        </w:rPr>
        <w:t>O custo de operacionalização pelo uso da Plataforma de Pregão Eletrônico, a título de remuneração pela utilização dos recursos da tecnologia da informação ficará a cargo do licitante, que poderá escolher entre os Planos de Adesão disponíveis no site detentor da plataforma eletrônica.</w:t>
      </w:r>
    </w:p>
    <w:p w14:paraId="48709215">
      <w:pPr>
        <w:tabs>
          <w:tab w:val="left" w:pos="1701"/>
          <w:tab w:val="left" w:pos="1843"/>
        </w:tabs>
        <w:spacing w:before="240" w:line="276" w:lineRule="auto"/>
        <w:ind w:left="567" w:firstLine="567"/>
        <w:jc w:val="both"/>
        <w:rPr>
          <w:rFonts w:ascii="Cambria" w:hAnsi="Cambria"/>
        </w:rPr>
      </w:pPr>
      <w:r>
        <w:rPr>
          <w:rFonts w:ascii="Cambria" w:hAnsi="Cambria"/>
          <w:b/>
          <w:bCs/>
        </w:rPr>
        <w:t>a)</w:t>
      </w:r>
      <w:r>
        <w:rPr>
          <w:rFonts w:ascii="Cambria" w:hAnsi="Cambria"/>
        </w:rPr>
        <w:t xml:space="preserve"> Correrá por conta das licitantes todos os custos decorrentes da elaboração e apresentação de suas propostas, não sendo devida nenhuma indenização às licitantes pela realização de tais atos.</w:t>
      </w:r>
    </w:p>
    <w:p w14:paraId="133908B8">
      <w:pPr>
        <w:tabs>
          <w:tab w:val="left" w:pos="1701"/>
          <w:tab w:val="left" w:pos="1843"/>
        </w:tabs>
        <w:spacing w:before="240" w:line="276" w:lineRule="auto"/>
        <w:jc w:val="both"/>
        <w:rPr>
          <w:rFonts w:ascii="Cambria" w:hAnsi="Cambria"/>
        </w:rPr>
      </w:pPr>
      <w:r>
        <w:rPr>
          <w:rFonts w:ascii="Cambria" w:hAnsi="Cambria"/>
          <w:b/>
          <w:bCs/>
        </w:rPr>
        <w:t>2.2</w:t>
      </w:r>
      <w:r>
        <w:rPr>
          <w:rFonts w:ascii="Cambria" w:hAnsi="Cambria"/>
        </w:rPr>
        <w:t xml:space="preserve"> Serão garantidos às Microempresas e às Empresas de Pequeno Porte o tratamento diferenciado de que tratam o inciso IV e os §§ 3º e 4º do art. 1º, da Lei Complementar nº 123, de 14 de setembro de 2006, com a redação dada pela Lei Complementar nº 147, de 07 de agosto de 2014.</w:t>
      </w:r>
    </w:p>
    <w:p w14:paraId="0E1036F1">
      <w:pPr>
        <w:tabs>
          <w:tab w:val="left" w:pos="1701"/>
        </w:tabs>
        <w:spacing w:before="240" w:line="276" w:lineRule="auto"/>
        <w:jc w:val="both"/>
        <w:rPr>
          <w:rFonts w:ascii="Cambria" w:hAnsi="Cambria"/>
        </w:rPr>
      </w:pPr>
      <w:r>
        <w:rPr>
          <w:rFonts w:ascii="Cambria" w:hAnsi="Cambria"/>
          <w:b/>
        </w:rPr>
        <w:t>2.3</w:t>
      </w:r>
      <w:r>
        <w:rPr>
          <w:rFonts w:ascii="Cambria" w:hAnsi="Cambria"/>
        </w:rPr>
        <w:t xml:space="preserve"> Para ter acesso ao sistema eletrônico, os interessados em participar deste Pregão deverão dispor de chave de identificação e senha pessoal, informando-se a respeito do funcionamento e regulamento do sistema.</w:t>
      </w:r>
    </w:p>
    <w:p w14:paraId="1F186297">
      <w:pPr>
        <w:tabs>
          <w:tab w:val="left" w:pos="1701"/>
        </w:tabs>
        <w:spacing w:before="240" w:line="276" w:lineRule="auto"/>
        <w:jc w:val="both"/>
        <w:rPr>
          <w:rFonts w:ascii="Cambria" w:hAnsi="Cambria"/>
        </w:rPr>
      </w:pPr>
      <w:r>
        <w:rPr>
          <w:rFonts w:ascii="Cambria" w:hAnsi="Cambria"/>
          <w:b/>
        </w:rPr>
        <w:t xml:space="preserve">2.4 </w:t>
      </w:r>
      <w:r>
        <w:rPr>
          <w:rFonts w:ascii="Cambria" w:hAnsi="Cambria"/>
        </w:rPr>
        <w:t>O uso da senha de acesso pela licitante é de sua responsabilidade exclusiva, incluindo qualquer transação por ela efetuada diretamente, ou por seu representante, não cabendo ao provedor do sistema ou à Prefeitura Municipal de Piracanjuba responsabilidade por eventuais danos decorrentes do uso indevido da senha, ainda que por terceiros.</w:t>
      </w:r>
    </w:p>
    <w:p w14:paraId="058B06B0">
      <w:pPr>
        <w:tabs>
          <w:tab w:val="left" w:pos="1701"/>
        </w:tabs>
        <w:spacing w:before="240" w:line="276" w:lineRule="auto"/>
        <w:jc w:val="both"/>
        <w:rPr>
          <w:rFonts w:ascii="Cambria" w:hAnsi="Cambria"/>
        </w:rPr>
      </w:pPr>
      <w:r>
        <w:rPr>
          <w:rFonts w:ascii="Cambria" w:hAnsi="Cambria"/>
          <w:b/>
        </w:rPr>
        <w:t>2.5</w:t>
      </w:r>
      <w:r>
        <w:rPr>
          <w:rFonts w:ascii="Cambria" w:hAnsi="Cambria"/>
        </w:rPr>
        <w:t xml:space="preserve"> Não poderão disputar licitação ou participar da execução de contrato, direta ou indiretamente:</w:t>
      </w:r>
    </w:p>
    <w:p w14:paraId="418C3A85">
      <w:pPr>
        <w:tabs>
          <w:tab w:val="left" w:pos="1701"/>
        </w:tabs>
        <w:spacing w:before="240" w:line="276" w:lineRule="auto"/>
        <w:ind w:firstLine="567"/>
        <w:jc w:val="both"/>
        <w:rPr>
          <w:rFonts w:ascii="Cambria" w:hAnsi="Cambria"/>
        </w:rPr>
      </w:pPr>
      <w:r>
        <w:rPr>
          <w:rFonts w:ascii="Cambria" w:hAnsi="Cambria"/>
          <w:b/>
        </w:rPr>
        <w:t>I.</w:t>
      </w:r>
      <w:r>
        <w:rPr>
          <w:rFonts w:ascii="Cambria" w:hAnsi="Cambria"/>
        </w:rPr>
        <w:t xml:space="preserve"> Autor do anteprojeto, do projeto básico ou do projeto executivo, pessoa física ou jurídica.</w:t>
      </w:r>
    </w:p>
    <w:p w14:paraId="3BADDD14">
      <w:pPr>
        <w:tabs>
          <w:tab w:val="left" w:pos="1701"/>
        </w:tabs>
        <w:spacing w:before="240" w:line="276" w:lineRule="auto"/>
        <w:ind w:firstLine="567"/>
        <w:jc w:val="both"/>
        <w:rPr>
          <w:rFonts w:ascii="Cambria" w:hAnsi="Cambria"/>
        </w:rPr>
      </w:pPr>
      <w:r>
        <w:rPr>
          <w:rFonts w:ascii="Cambria" w:hAnsi="Cambria"/>
          <w:b/>
          <w:bCs/>
        </w:rPr>
        <w:t>II.</w:t>
      </w:r>
      <w:r>
        <w:rPr>
          <w:rFonts w:ascii="Cambria" w:hAnsi="Cambria"/>
        </w:rPr>
        <w:t xml:space="preserve">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w:t>
      </w:r>
    </w:p>
    <w:p w14:paraId="18071D2A">
      <w:pPr>
        <w:tabs>
          <w:tab w:val="left" w:pos="1701"/>
        </w:tabs>
        <w:spacing w:before="240" w:line="276" w:lineRule="auto"/>
        <w:ind w:firstLine="567"/>
        <w:jc w:val="both"/>
        <w:rPr>
          <w:rFonts w:ascii="Cambria" w:hAnsi="Cambria"/>
        </w:rPr>
      </w:pPr>
      <w:r>
        <w:rPr>
          <w:rFonts w:ascii="Cambria" w:hAnsi="Cambria"/>
          <w:b/>
          <w:bCs/>
        </w:rPr>
        <w:t>III.</w:t>
      </w:r>
      <w:r>
        <w:rPr>
          <w:rFonts w:ascii="Cambria" w:hAnsi="Cambria"/>
        </w:rPr>
        <w:t xml:space="preserve"> Pessoa Física ou Jurídica que se encontre, ao tempo da licitação, impossibilitada de participar da licitação em decorrência de sanção que lhe foi imposta.</w:t>
      </w:r>
    </w:p>
    <w:p w14:paraId="63F68004">
      <w:pPr>
        <w:tabs>
          <w:tab w:val="left" w:pos="1701"/>
        </w:tabs>
        <w:spacing w:before="240" w:line="276" w:lineRule="auto"/>
        <w:ind w:firstLine="567"/>
        <w:jc w:val="both"/>
        <w:rPr>
          <w:rFonts w:ascii="Cambria" w:hAnsi="Cambria"/>
        </w:rPr>
      </w:pPr>
      <w:r>
        <w:rPr>
          <w:rFonts w:ascii="Cambria" w:hAnsi="Cambria"/>
          <w:b/>
          <w:bCs/>
        </w:rPr>
        <w:t>IV.</w:t>
      </w:r>
      <w:r>
        <w:rPr>
          <w:rFonts w:ascii="Cambria" w:hAnsi="Cambria"/>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0299F64B">
      <w:pPr>
        <w:tabs>
          <w:tab w:val="left" w:pos="1701"/>
        </w:tabs>
        <w:spacing w:before="240" w:line="276" w:lineRule="auto"/>
        <w:ind w:firstLine="567"/>
        <w:jc w:val="both"/>
        <w:rPr>
          <w:rFonts w:ascii="Cambria" w:hAnsi="Cambria"/>
        </w:rPr>
      </w:pPr>
      <w:r>
        <w:rPr>
          <w:rFonts w:ascii="Cambria" w:hAnsi="Cambria"/>
          <w:b/>
          <w:bCs/>
        </w:rPr>
        <w:t xml:space="preserve">V. </w:t>
      </w:r>
      <w:r>
        <w:rPr>
          <w:rFonts w:ascii="Cambria" w:hAnsi="Cambria"/>
        </w:rPr>
        <w:t>Empresas controladoras, controladas ou coligadas, nos termos da Lei Federal nº 6.404, de 15 de dezembro de 1976, concorrendo entre si.</w:t>
      </w:r>
    </w:p>
    <w:p w14:paraId="678A50BE">
      <w:pPr>
        <w:tabs>
          <w:tab w:val="left" w:pos="1701"/>
        </w:tabs>
        <w:spacing w:before="240" w:line="276" w:lineRule="auto"/>
        <w:ind w:firstLine="567"/>
        <w:jc w:val="both"/>
        <w:rPr>
          <w:rFonts w:ascii="Cambria" w:hAnsi="Cambria"/>
        </w:rPr>
      </w:pPr>
      <w:r>
        <w:rPr>
          <w:rFonts w:ascii="Cambria" w:hAnsi="Cambria"/>
          <w:b/>
          <w:bCs/>
        </w:rPr>
        <w:t>VI.</w:t>
      </w:r>
      <w:r>
        <w:rPr>
          <w:rFonts w:ascii="Cambria" w:hAnsi="Cambria"/>
        </w:rPr>
        <w:t xml:space="preserve"> Pessoa Física ou Jurídica que, nos últimos 05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40487D64">
      <w:pPr>
        <w:tabs>
          <w:tab w:val="left" w:pos="1701"/>
        </w:tabs>
        <w:spacing w:before="240" w:line="276" w:lineRule="auto"/>
        <w:ind w:firstLine="567"/>
        <w:jc w:val="both"/>
        <w:rPr>
          <w:rFonts w:ascii="Cambria" w:hAnsi="Cambria"/>
        </w:rPr>
      </w:pPr>
      <w:r>
        <w:rPr>
          <w:rFonts w:ascii="Cambria" w:hAnsi="Cambria"/>
          <w:b/>
        </w:rPr>
        <w:t>VII.</w:t>
      </w:r>
      <w:r>
        <w:rPr>
          <w:rFonts w:ascii="Cambria" w:hAnsi="Cambria"/>
        </w:rPr>
        <w:t xml:space="preserve"> Estrangeiras que não funcionem no País;</w:t>
      </w:r>
    </w:p>
    <w:p w14:paraId="37FF332E">
      <w:pPr>
        <w:tabs>
          <w:tab w:val="left" w:pos="1701"/>
        </w:tabs>
        <w:spacing w:before="240" w:line="276" w:lineRule="auto"/>
        <w:jc w:val="both"/>
        <w:rPr>
          <w:rFonts w:ascii="Cambria" w:hAnsi="Cambria"/>
        </w:rPr>
      </w:pPr>
      <w:r>
        <w:rPr>
          <w:rFonts w:ascii="Cambria" w:hAnsi="Cambria"/>
          <w:b/>
        </w:rPr>
        <w:t xml:space="preserve">2.6 </w:t>
      </w:r>
      <w:r>
        <w:rPr>
          <w:rFonts w:ascii="Cambria" w:hAnsi="Cambria"/>
        </w:rPr>
        <w:t>A observância das vedações do subitem 2.5 são de inteira responsabilidade do licitante que, pelo descumprimento se sujeita às penalidades cabíveis.</w:t>
      </w:r>
    </w:p>
    <w:p w14:paraId="167050EE">
      <w:pPr>
        <w:tabs>
          <w:tab w:val="left" w:pos="1701"/>
        </w:tabs>
        <w:spacing w:before="240" w:line="276" w:lineRule="auto"/>
        <w:jc w:val="both"/>
        <w:rPr>
          <w:rFonts w:ascii="Cambria" w:hAnsi="Cambria"/>
        </w:rPr>
      </w:pPr>
      <w:r>
        <w:rPr>
          <w:rFonts w:ascii="Cambria" w:hAnsi="Cambria"/>
          <w:b/>
        </w:rPr>
        <w:t>2.7</w:t>
      </w:r>
      <w:r>
        <w:rPr>
          <w:rFonts w:ascii="Cambria" w:hAnsi="Cambria"/>
        </w:rPr>
        <w:t xml:space="preserve"> A participação neste certame sem prévia impugnação implica em aceitação de todas as condições estabelecidas neste instrumento convocatório.</w:t>
      </w:r>
    </w:p>
    <w:p w14:paraId="6DDD7D25">
      <w:pPr>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tabs>
          <w:tab w:val="left" w:pos="1701"/>
        </w:tabs>
        <w:spacing w:before="240" w:line="276" w:lineRule="auto"/>
        <w:jc w:val="both"/>
        <w:rPr>
          <w:rFonts w:ascii="Cambria" w:hAnsi="Cambria"/>
          <w:b/>
        </w:rPr>
      </w:pPr>
      <w:r>
        <w:rPr>
          <w:rFonts w:ascii="Cambria" w:hAnsi="Cambria"/>
          <w:b/>
        </w:rPr>
        <w:t>03. DOS ESCLARECIMENTOS E IMPUGNAÇÃO AO EDITAL</w:t>
      </w:r>
    </w:p>
    <w:p w14:paraId="6516E79B">
      <w:pPr>
        <w:tabs>
          <w:tab w:val="left" w:pos="1701"/>
        </w:tabs>
        <w:spacing w:before="240" w:line="276" w:lineRule="auto"/>
        <w:jc w:val="both"/>
        <w:rPr>
          <w:rFonts w:ascii="Cambria" w:hAnsi="Cambria"/>
          <w:bCs/>
        </w:rPr>
      </w:pPr>
      <w:r>
        <w:rPr>
          <w:rFonts w:ascii="Cambria" w:hAnsi="Cambria"/>
          <w:b/>
          <w:bCs/>
        </w:rPr>
        <w:t xml:space="preserve">3.1 </w:t>
      </w:r>
      <w:r>
        <w:rPr>
          <w:rFonts w:ascii="Cambria" w:hAnsi="Cambria"/>
          <w:bCs/>
        </w:rPr>
        <w:t>Eventuais solicitações de esclarecimentos e impugnações referentes ao Edital, Técnica ou Jurídica deverão ser dirigidas a Pregoeira</w:t>
      </w:r>
      <w:r>
        <w:rPr>
          <w:rFonts w:ascii="Cambria" w:hAnsi="Cambria"/>
        </w:rPr>
        <w:t xml:space="preserve"> </w:t>
      </w:r>
      <w:r>
        <w:rPr>
          <w:rFonts w:ascii="Cambria" w:hAnsi="Cambria"/>
          <w:bCs/>
        </w:rPr>
        <w:t xml:space="preserve">Oficial para o endereço eletrônico </w:t>
      </w:r>
      <w:r>
        <w:fldChar w:fldCharType="begin"/>
      </w:r>
      <w:r>
        <w:instrText xml:space="preserve"> HYPERLINK "mailto:licitacaopiracanjuba@hotmail.com" </w:instrText>
      </w:r>
      <w:r>
        <w:fldChar w:fldCharType="separate"/>
      </w:r>
      <w:r>
        <w:rPr>
          <w:rStyle w:val="9"/>
          <w:rFonts w:ascii="Cambria" w:hAnsi="Cambria"/>
          <w:bCs/>
          <w:color w:val="auto"/>
          <w:u w:val="none"/>
          <w14:shadow w14:blurRad="50800" w14:dist="38100" w14:dir="2700000" w14:sx="100000" w14:sy="100000" w14:kx="0" w14:ky="0" w14:algn="tl">
            <w14:srgbClr w14:val="000000">
              <w14:alpha w14:val="60000"/>
            </w14:srgbClr>
          </w14:shadow>
        </w:rPr>
        <w:t>licitacaopiracanjuba@hotmail.com</w:t>
      </w:r>
      <w:r>
        <w:rPr>
          <w:rStyle w:val="9"/>
          <w:rFonts w:ascii="Cambria" w:hAnsi="Cambria"/>
          <w:bCs/>
          <w:color w:val="auto"/>
          <w:u w:val="none"/>
          <w14:shadow w14:blurRad="50800" w14:dist="38100" w14:dir="2700000" w14:sx="100000" w14:sy="100000" w14:kx="0" w14:ky="0" w14:algn="tl">
            <w14:srgbClr w14:val="000000">
              <w14:alpha w14:val="60000"/>
            </w14:srgbClr>
          </w14:shadow>
        </w:rPr>
        <w:fldChar w:fldCharType="end"/>
      </w:r>
      <w:r>
        <w:rPr>
          <w:rFonts w:ascii="Cambria" w:hAnsi="Cambria"/>
          <w:bCs/>
        </w:rPr>
        <w:t xml:space="preserve">, ou através </w:t>
      </w:r>
      <w:r>
        <w:rPr>
          <w:rFonts w:ascii="Cambria" w:hAnsi="Cambria"/>
        </w:rPr>
        <w:t xml:space="preserve">provedor </w:t>
      </w:r>
      <w:r>
        <w:fldChar w:fldCharType="begin"/>
      </w:r>
      <w:r>
        <w:instrText xml:space="preserve"> HYPERLINK "http://www.bnc.org.br" </w:instrText>
      </w:r>
      <w:r>
        <w:fldChar w:fldCharType="separate"/>
      </w:r>
      <w:r>
        <w:rPr>
          <w:rStyle w:val="9"/>
          <w:rFonts w:ascii="Cambria" w:hAnsi="Cambria"/>
          <w:color w:val="auto"/>
          <w:u w:val="none"/>
          <w14:shadow w14:blurRad="50800" w14:dist="38100" w14:dir="2700000" w14:sx="100000" w14:sy="100000" w14:kx="0" w14:ky="0" w14:algn="tl">
            <w14:srgbClr w14:val="000000">
              <w14:alpha w14:val="60000"/>
            </w14:srgbClr>
          </w14:shadow>
        </w:rPr>
        <w:t>www.bnc.org.br</w:t>
      </w:r>
      <w:r>
        <w:rPr>
          <w:rStyle w:val="9"/>
          <w:rFonts w:ascii="Cambria" w:hAnsi="Cambria"/>
          <w:color w:val="auto"/>
          <w:u w:val="none"/>
          <w14:shadow w14:blurRad="50800" w14:dist="38100" w14:dir="2700000" w14:sx="100000" w14:sy="100000" w14:kx="0" w14:ky="0" w14:algn="tl">
            <w14:srgbClr w14:val="000000">
              <w14:alpha w14:val="60000"/>
            </w14:srgbClr>
          </w14:shadow>
        </w:rPr>
        <w:fldChar w:fldCharType="end"/>
      </w:r>
      <w:r>
        <w:rPr>
          <w:rStyle w:val="9"/>
          <w:rFonts w:ascii="Cambria" w:hAnsi="Cambria"/>
          <w:color w:val="auto"/>
          <w:u w:val="none"/>
          <w14:shadow w14:blurRad="50800" w14:dist="38100" w14:dir="2700000" w14:sx="100000" w14:sy="100000" w14:kx="0" w14:ky="0" w14:algn="tl">
            <w14:srgbClr w14:val="000000">
              <w14:alpha w14:val="60000"/>
            </w14:srgbClr>
          </w14:shadow>
        </w:rPr>
        <w:t xml:space="preserve"> </w:t>
      </w:r>
      <w:r>
        <w:rPr>
          <w:rFonts w:ascii="Cambria" w:hAnsi="Cambria"/>
          <w:bCs/>
        </w:rPr>
        <w:t>em até 03 (três) dias úteis anteriores à data fixada para abertura da sessão eletrônica, com devida identificação da solicitante (Razão Social, CNPJ, Endereço, Telefone, E-mail).</w:t>
      </w:r>
    </w:p>
    <w:p w14:paraId="3AC00631">
      <w:pPr>
        <w:tabs>
          <w:tab w:val="left" w:pos="1701"/>
        </w:tabs>
        <w:spacing w:before="240" w:line="276" w:lineRule="auto"/>
        <w:jc w:val="both"/>
        <w:rPr>
          <w:rFonts w:ascii="Cambria" w:hAnsi="Cambria"/>
          <w:bCs/>
        </w:rPr>
      </w:pPr>
      <w:r>
        <w:rPr>
          <w:rFonts w:ascii="Cambria" w:hAnsi="Cambria"/>
          <w:b/>
          <w:bCs/>
        </w:rPr>
        <w:t xml:space="preserve">3.2 </w:t>
      </w:r>
      <w:r>
        <w:rPr>
          <w:rFonts w:ascii="Cambria" w:hAnsi="Cambria"/>
          <w:bCs/>
        </w:rPr>
        <w:t xml:space="preserve">As respostas aos pedidos de esclarecimentos e impugnações serão divulgadas no site Oficial da Prefeitura de Piracanjuba/GO </w:t>
      </w:r>
      <w:r>
        <w:rPr>
          <w:rFonts w:ascii="Cambria" w:hAnsi="Cambria"/>
        </w:rPr>
        <w:t xml:space="preserve">e no provedor </w:t>
      </w:r>
      <w:r>
        <w:fldChar w:fldCharType="begin"/>
      </w:r>
      <w:r>
        <w:instrText xml:space="preserve"> HYPERLINK "http://www.bnc.org.br" </w:instrText>
      </w:r>
      <w:r>
        <w:fldChar w:fldCharType="separate"/>
      </w:r>
      <w:r>
        <w:rPr>
          <w:rStyle w:val="9"/>
          <w:rFonts w:ascii="Cambria" w:hAnsi="Cambria"/>
          <w:color w:val="auto"/>
          <w:u w:val="none"/>
          <w14:shadow w14:blurRad="50800" w14:dist="38100" w14:dir="2700000" w14:sx="100000" w14:sy="100000" w14:kx="0" w14:ky="0" w14:algn="tl">
            <w14:srgbClr w14:val="000000">
              <w14:alpha w14:val="60000"/>
            </w14:srgbClr>
          </w14:shadow>
        </w:rPr>
        <w:t>www.bnc.org.br</w:t>
      </w:r>
      <w:r>
        <w:rPr>
          <w:rStyle w:val="9"/>
          <w:rFonts w:ascii="Cambria" w:hAnsi="Cambria"/>
          <w:color w:val="auto"/>
          <w:u w:val="none"/>
          <w14:shadow w14:blurRad="50800" w14:dist="38100" w14:dir="2700000" w14:sx="100000" w14:sy="100000" w14:kx="0" w14:ky="0" w14:algn="tl">
            <w14:srgbClr w14:val="000000">
              <w14:alpha w14:val="60000"/>
            </w14:srgbClr>
          </w14:shadow>
        </w:rPr>
        <w:fldChar w:fldCharType="end"/>
      </w:r>
      <w:r>
        <w:rPr>
          <w:rFonts w:ascii="Cambria" w:hAnsi="Cambria"/>
          <w14:shadow w14:blurRad="50800" w14:dist="38100" w14:dir="2700000" w14:sx="100000" w14:sy="100000" w14:kx="0" w14:ky="0" w14:algn="tl">
            <w14:srgbClr w14:val="000000">
              <w14:alpha w14:val="60000"/>
            </w14:srgbClr>
          </w14:shadow>
        </w:rPr>
        <w:t>.</w:t>
      </w:r>
    </w:p>
    <w:p w14:paraId="73BA5A51">
      <w:pPr>
        <w:tabs>
          <w:tab w:val="left" w:pos="1701"/>
        </w:tabs>
        <w:spacing w:before="240" w:line="276" w:lineRule="auto"/>
        <w:jc w:val="both"/>
        <w:rPr>
          <w:rFonts w:ascii="Cambria" w:hAnsi="Cambria"/>
          <w:bCs/>
        </w:rPr>
      </w:pPr>
      <w:r>
        <w:rPr>
          <w:rFonts w:ascii="Cambria" w:hAnsi="Cambria"/>
          <w:b/>
          <w:bCs/>
        </w:rPr>
        <w:t>3.3</w:t>
      </w:r>
      <w:r>
        <w:rPr>
          <w:rFonts w:ascii="Cambria" w:hAnsi="Cambria"/>
          <w:bCs/>
        </w:rPr>
        <w:t xml:space="preserve"> Decairão do direito de impugnar os termos do Edital do Pregão a licitante que não o fizer em até o terceiro dia útil à data fixada para a abertura da sessão pública, nos termos do art. 164 da Lei Federal nº 14.333, de 2021.</w:t>
      </w:r>
    </w:p>
    <w:p w14:paraId="4F27D16E">
      <w:pPr>
        <w:tabs>
          <w:tab w:val="left" w:pos="1701"/>
        </w:tabs>
        <w:spacing w:before="240" w:line="276" w:lineRule="auto"/>
        <w:jc w:val="both"/>
        <w:rPr>
          <w:rFonts w:ascii="Cambria" w:hAnsi="Cambria"/>
          <w:bCs/>
        </w:rPr>
      </w:pPr>
      <w:r>
        <w:rPr>
          <w:rFonts w:ascii="Cambria" w:hAnsi="Cambria"/>
          <w:b/>
          <w:bCs/>
        </w:rPr>
        <w:t xml:space="preserve">3.4 </w:t>
      </w:r>
      <w:r>
        <w:rPr>
          <w:rFonts w:ascii="Cambria" w:hAnsi="Cambria"/>
          <w:bCs/>
        </w:rPr>
        <w:t>Caberá à Pregoeira, auxiliada pelos responsáveis pela elaboração do Estudo Técnico Preliminar e Termo de Referência, além</w:t>
      </w:r>
      <w:r>
        <w:rPr>
          <w:rFonts w:ascii="Cambria" w:hAnsi="Cambria"/>
        </w:rPr>
        <w:t xml:space="preserve"> da Assessoria Jurídica </w:t>
      </w:r>
      <w:r>
        <w:rPr>
          <w:rFonts w:ascii="Cambria" w:hAnsi="Cambria"/>
          <w:bCs/>
        </w:rPr>
        <w:t>decidir sobre eventuais impugnações, bem como responder as questões formuladas pelos licitantes.</w:t>
      </w:r>
    </w:p>
    <w:p w14:paraId="459A5A7A">
      <w:pPr>
        <w:tabs>
          <w:tab w:val="left" w:pos="1701"/>
        </w:tabs>
        <w:spacing w:before="240" w:line="276" w:lineRule="auto"/>
        <w:jc w:val="both"/>
        <w:rPr>
          <w:rFonts w:ascii="Cambria" w:hAnsi="Cambria"/>
          <w:bCs/>
        </w:rPr>
      </w:pPr>
      <w:r>
        <w:rPr>
          <w:rFonts w:ascii="Cambria" w:hAnsi="Cambria"/>
          <w:b/>
          <w:bCs/>
        </w:rPr>
        <w:t>3.5</w:t>
      </w:r>
      <w:r>
        <w:rPr>
          <w:rFonts w:ascii="Cambria" w:hAnsi="Cambria"/>
          <w:bCs/>
        </w:rPr>
        <w:t xml:space="preserve"> Acolhida à impugnação contra este Edital será designada nova data para a realização do certame, exceto quando, inquestionavelmente, a alteração não afetar a formulação das propostas.</w:t>
      </w:r>
    </w:p>
    <w:p w14:paraId="4D8DDB47">
      <w:pPr>
        <w:pBdr>
          <w:top w:val="single" w:color="auto" w:sz="4" w:space="1"/>
          <w:left w:val="single" w:color="auto" w:sz="4" w:space="4"/>
          <w:bottom w:val="single" w:color="auto" w:sz="4" w:space="0"/>
          <w:right w:val="single" w:color="auto" w:sz="4" w:space="4"/>
          <w:between w:val="single" w:color="auto" w:sz="4" w:space="1"/>
        </w:pBdr>
        <w:shd w:val="clear" w:color="auto" w:fill="D8D8D8" w:themeFill="background1" w:themeFillShade="D9"/>
        <w:tabs>
          <w:tab w:val="left" w:pos="1701"/>
        </w:tabs>
        <w:spacing w:before="240" w:line="276" w:lineRule="auto"/>
        <w:jc w:val="both"/>
        <w:rPr>
          <w:rFonts w:ascii="Cambria" w:hAnsi="Cambria"/>
          <w:b/>
          <w:bCs/>
        </w:rPr>
      </w:pPr>
      <w:r>
        <w:rPr>
          <w:rFonts w:ascii="Cambria" w:hAnsi="Cambria"/>
          <w:b/>
          <w:bCs/>
        </w:rPr>
        <w:t>04. DO CREDENCIAMENTO</w:t>
      </w:r>
    </w:p>
    <w:p w14:paraId="56220E48">
      <w:pPr>
        <w:tabs>
          <w:tab w:val="left" w:pos="1701"/>
        </w:tabs>
        <w:spacing w:before="240" w:line="276" w:lineRule="auto"/>
        <w:jc w:val="both"/>
        <w:rPr>
          <w:rFonts w:ascii="Cambria" w:hAnsi="Cambria"/>
          <w:bCs/>
        </w:rPr>
      </w:pPr>
      <w:r>
        <w:rPr>
          <w:rFonts w:ascii="Cambria" w:hAnsi="Cambria"/>
          <w:b/>
        </w:rPr>
        <w:t>4.1</w:t>
      </w:r>
      <w:r>
        <w:rPr>
          <w:rFonts w:ascii="Cambria" w:hAnsi="Cambria"/>
          <w:bCs/>
        </w:rPr>
        <w:t xml:space="preserve"> O licitante deverá estar credenciado, de forma direta ou através de empresas associadas à Bolsa Nacional de Compras.</w:t>
      </w:r>
    </w:p>
    <w:p w14:paraId="738AB1AD">
      <w:pPr>
        <w:tabs>
          <w:tab w:val="left" w:pos="1701"/>
        </w:tabs>
        <w:spacing w:before="240" w:line="276" w:lineRule="auto"/>
        <w:jc w:val="both"/>
        <w:rPr>
          <w:rFonts w:ascii="Cambria" w:hAnsi="Cambria"/>
          <w:bCs/>
        </w:rPr>
      </w:pPr>
      <w:r>
        <w:rPr>
          <w:rFonts w:ascii="Cambria" w:hAnsi="Cambria"/>
          <w:b/>
        </w:rPr>
        <w:t>4.2</w:t>
      </w:r>
      <w:r>
        <w:rPr>
          <w:rFonts w:ascii="Cambria" w:hAnsi="Cambria"/>
          <w:bCs/>
        </w:rPr>
        <w:t xml:space="preserve"> O custo de operacionalização e uso do sistema, ficará a cargo do Licitante participante do certame, que pagará a Bolsa Nacional de Compras, provedora do sistema eletrônico, o equivalente ao plano definido pela Bolsa Nacional de Compras e contratado pelo licitante, a título de taxa pela utilização dos recursos de tecnologia da informação, em conformidade com o regulamento operacional da BNC – Bolsa Nacional de Compras.</w:t>
      </w:r>
    </w:p>
    <w:p w14:paraId="2ACF2BAA">
      <w:pPr>
        <w:tabs>
          <w:tab w:val="left" w:pos="1701"/>
        </w:tabs>
        <w:spacing w:before="240" w:line="276" w:lineRule="auto"/>
        <w:jc w:val="both"/>
        <w:rPr>
          <w:rFonts w:ascii="Cambria" w:hAnsi="Cambria"/>
          <w:bCs/>
        </w:rPr>
      </w:pPr>
      <w:r>
        <w:rPr>
          <w:rFonts w:ascii="Cambria" w:hAnsi="Cambria"/>
          <w:b/>
        </w:rPr>
        <w:t>4.3</w:t>
      </w:r>
      <w:r>
        <w:rPr>
          <w:rFonts w:ascii="Cambria" w:hAnsi="Cambria"/>
          <w:bCs/>
        </w:rPr>
        <w:t xml:space="preserve"> O acesso do operador ao pregão, para efeito de encaminhamento de proposta de preços e lances sucessivos de preços, em nome do licitante, somente ser dará mediante prévia definição de senha privativa.</w:t>
      </w:r>
    </w:p>
    <w:p w14:paraId="68CAEF4C">
      <w:pPr>
        <w:tabs>
          <w:tab w:val="left" w:pos="1701"/>
        </w:tabs>
        <w:spacing w:before="240" w:line="276" w:lineRule="auto"/>
        <w:jc w:val="both"/>
        <w:rPr>
          <w:rFonts w:ascii="Cambria" w:hAnsi="Cambria"/>
          <w:bCs/>
        </w:rPr>
      </w:pPr>
      <w:r>
        <w:rPr>
          <w:rFonts w:ascii="Cambria" w:hAnsi="Cambria"/>
          <w:b/>
        </w:rPr>
        <w:t>4.4</w:t>
      </w:r>
      <w:r>
        <w:rPr>
          <w:rFonts w:ascii="Cambria" w:hAnsi="Cambria"/>
          <w:bCs/>
        </w:rPr>
        <w:t xml:space="preserve"> A chave de identificação e a senha dos operadores poderão ser utilizadas em qualquer pregão eletrônico, salvo quando canceladas por solicitação do credenciado ou por iniciativa da Bolsa Nacional de Compras.</w:t>
      </w:r>
    </w:p>
    <w:p w14:paraId="4C4B2EF2">
      <w:pPr>
        <w:tabs>
          <w:tab w:val="left" w:pos="1701"/>
        </w:tabs>
        <w:spacing w:before="240" w:line="276" w:lineRule="auto"/>
        <w:jc w:val="both"/>
        <w:rPr>
          <w:rFonts w:ascii="Cambria" w:hAnsi="Cambria"/>
          <w:bCs/>
        </w:rPr>
      </w:pPr>
      <w:r>
        <w:rPr>
          <w:rFonts w:ascii="Cambria" w:hAnsi="Cambria"/>
          <w:b/>
        </w:rPr>
        <w:t>4.5</w:t>
      </w:r>
      <w:r>
        <w:rPr>
          <w:rFonts w:ascii="Cambria" w:hAnsi="Cambria"/>
          <w:bCs/>
        </w:rPr>
        <w:t xml:space="preserve"> É de exclusiva responsabilidade do usuário o sigilo da senha, bem como seu uso em qualquer transação efetuada diretamente ou por seu representante, não cabendo a Bolsa Nacional de Compras a responsabilidade por eventuais danos decorrentes de uso indevido da senha, ainda que por terceiros.</w:t>
      </w:r>
    </w:p>
    <w:p w14:paraId="7B54C8CF">
      <w:pPr>
        <w:tabs>
          <w:tab w:val="left" w:pos="1701"/>
        </w:tabs>
        <w:spacing w:before="240" w:line="276" w:lineRule="auto"/>
        <w:jc w:val="both"/>
        <w:rPr>
          <w:rFonts w:ascii="Cambria" w:hAnsi="Cambria"/>
          <w:bCs/>
        </w:rPr>
      </w:pPr>
      <w:r>
        <w:rPr>
          <w:rFonts w:ascii="Cambria" w:hAnsi="Cambria"/>
          <w:b/>
        </w:rPr>
        <w:t>4.6</w:t>
      </w:r>
      <w:r>
        <w:rPr>
          <w:rFonts w:ascii="Cambria" w:hAnsi="Cambria"/>
          <w:bCs/>
        </w:rPr>
        <w:t xml:space="preserve"> O credenciamento do fornecedor e de seu representante legal junto ao sistema eletrônico implica a responsabilidade legal pelos atos praticados e a presunção de capacidade técnica para realização de transações ao pregão eletrônico.</w:t>
      </w:r>
    </w:p>
    <w:p w14:paraId="353ECF89">
      <w:pPr>
        <w:tabs>
          <w:tab w:val="left" w:pos="1701"/>
        </w:tabs>
        <w:spacing w:before="240" w:line="276" w:lineRule="auto"/>
        <w:jc w:val="both"/>
        <w:rPr>
          <w:rFonts w:ascii="Cambria" w:hAnsi="Cambria"/>
          <w:b/>
        </w:rPr>
      </w:pPr>
      <w:r>
        <w:rPr>
          <w:rFonts w:ascii="Cambria" w:hAnsi="Cambria"/>
          <w:b/>
        </w:rPr>
        <w:t xml:space="preserve">4.7 </w:t>
      </w:r>
      <w:r>
        <w:rPr>
          <w:rFonts w:ascii="Cambria" w:hAnsi="Cambria"/>
          <w:bCs/>
        </w:rPr>
        <w:t>Durante a sessão eletrônica, a comunicação entre a Pregoeira e as licitantes ocorrerá exclusivamente mediante troca de mensagens, em campo próprio do sistema eletrônico.</w:t>
      </w:r>
    </w:p>
    <w:p w14:paraId="15F77A9B">
      <w:pPr>
        <w:tabs>
          <w:tab w:val="left" w:pos="1701"/>
        </w:tabs>
        <w:spacing w:before="240" w:line="276" w:lineRule="auto"/>
        <w:jc w:val="both"/>
        <w:rPr>
          <w:rFonts w:ascii="Cambria" w:hAnsi="Cambria"/>
          <w:bCs/>
        </w:rPr>
      </w:pPr>
      <w:r>
        <w:rPr>
          <w:rFonts w:ascii="Cambria" w:hAnsi="Cambria"/>
          <w:b/>
        </w:rPr>
        <w:t>4.8</w:t>
      </w:r>
      <w:r>
        <w:rPr>
          <w:rFonts w:ascii="Cambria" w:hAnsi="Cambria"/>
          <w:bCs/>
        </w:rPr>
        <w:t xml:space="preserve"> Cabe à licitante acompanhar as operações no sistema eletrônico durante a sessão pública do Pregão ficando responsável pelo ônus decorrente da perda de negócios diante da inobservância de qualquer mensagem emitida pelo sistema ou de sua conexão.</w:t>
      </w:r>
    </w:p>
    <w:p w14:paraId="7EA8B7AA">
      <w:pPr>
        <w:pBdr>
          <w:top w:val="single" w:color="auto" w:sz="4" w:space="1"/>
          <w:left w:val="single" w:color="auto" w:sz="4" w:space="4"/>
          <w:bottom w:val="single" w:color="auto" w:sz="4" w:space="0"/>
          <w:right w:val="single" w:color="auto" w:sz="4" w:space="4"/>
          <w:between w:val="single" w:color="auto" w:sz="4" w:space="1"/>
        </w:pBdr>
        <w:shd w:val="clear" w:color="auto" w:fill="D8D8D8" w:themeFill="background1" w:themeFillShade="D9"/>
        <w:tabs>
          <w:tab w:val="left" w:pos="1701"/>
        </w:tabs>
        <w:spacing w:before="240" w:line="276" w:lineRule="auto"/>
        <w:jc w:val="both"/>
        <w:rPr>
          <w:rFonts w:ascii="Cambria" w:hAnsi="Cambria"/>
          <w:b/>
          <w:bCs/>
        </w:rPr>
      </w:pPr>
      <w:r>
        <w:rPr>
          <w:rFonts w:ascii="Cambria" w:hAnsi="Cambria"/>
          <w:b/>
          <w:bCs/>
        </w:rPr>
        <w:t>05. DO ENVIO DA PROPOSTA E HABILITAÇÃO</w:t>
      </w:r>
    </w:p>
    <w:p w14:paraId="299AE860">
      <w:pPr>
        <w:spacing w:before="240" w:line="276" w:lineRule="auto"/>
        <w:jc w:val="both"/>
        <w:rPr>
          <w:rFonts w:ascii="Cambria" w:hAnsi="Cambria"/>
        </w:rPr>
      </w:pPr>
      <w:r>
        <w:rPr>
          <w:rFonts w:ascii="Cambria" w:hAnsi="Cambria"/>
          <w:b/>
        </w:rPr>
        <w:t xml:space="preserve">5.1 </w:t>
      </w:r>
      <w:r>
        <w:rPr>
          <w:rFonts w:ascii="Cambria" w:hAnsi="Cambria"/>
        </w:rPr>
        <w:t>A licitante deverá encaminhar (anexar arquivo) e cadastrar sua proposta exclusivamente por meio do sistema eletrônico Bolsa Nacional de Compras - BNC (</w:t>
      </w:r>
      <w:r>
        <w:fldChar w:fldCharType="begin"/>
      </w:r>
      <w:r>
        <w:instrText xml:space="preserve"> HYPERLINK "http://www.bnc.org.br" </w:instrText>
      </w:r>
      <w:r>
        <w:fldChar w:fldCharType="separate"/>
      </w:r>
      <w:r>
        <w:rPr>
          <w:rStyle w:val="9"/>
          <w:rFonts w:ascii="Cambria" w:hAnsi="Cambria"/>
          <w:color w:val="auto"/>
          <w:u w:val="none"/>
          <w14:shadow w14:blurRad="50800" w14:dist="38100" w14:dir="2700000" w14:sx="100000" w14:sy="100000" w14:kx="0" w14:ky="0" w14:algn="tl">
            <w14:srgbClr w14:val="000000">
              <w14:alpha w14:val="60000"/>
            </w14:srgbClr>
          </w14:shadow>
        </w:rPr>
        <w:t>www.bnc.org.b</w:t>
      </w:r>
      <w:r>
        <w:rPr>
          <w:rStyle w:val="9"/>
          <w:rFonts w:ascii="Cambria" w:hAnsi="Cambria"/>
          <w:color w:val="auto"/>
          <w:u w:val="none"/>
        </w:rPr>
        <w:t>r</w:t>
      </w:r>
      <w:r>
        <w:rPr>
          <w:rStyle w:val="9"/>
          <w:rFonts w:ascii="Cambria" w:hAnsi="Cambria"/>
          <w:color w:val="auto"/>
          <w:u w:val="none"/>
        </w:rPr>
        <w:fldChar w:fldCharType="end"/>
      </w:r>
      <w:r>
        <w:rPr>
          <w:rStyle w:val="9"/>
          <w:rFonts w:ascii="Cambria" w:hAnsi="Cambria"/>
          <w:color w:val="auto"/>
          <w:u w:val="none"/>
        </w:rPr>
        <w:t>)</w:t>
      </w:r>
      <w:r>
        <w:rPr>
          <w:rFonts w:ascii="Cambria" w:hAnsi="Cambria"/>
        </w:rPr>
        <w:t xml:space="preserve"> de até a data e horário marcados para a abertura da sessão eletrônica, quando então encerrar-se-á automaticamente a fase de recebimento de propostas, conforme art. 28 do Decreto Municipal nº 18, de 2024.</w:t>
      </w:r>
    </w:p>
    <w:p w14:paraId="36D168D7">
      <w:pPr>
        <w:spacing w:before="240" w:line="276" w:lineRule="auto"/>
        <w:jc w:val="both"/>
        <w:rPr>
          <w:rFonts w:ascii="Cambria" w:hAnsi="Cambria"/>
        </w:rPr>
      </w:pPr>
      <w:r>
        <w:rPr>
          <w:rFonts w:ascii="Cambria" w:hAnsi="Cambria"/>
          <w:b/>
        </w:rPr>
        <w:t>5.2</w:t>
      </w:r>
      <w:r>
        <w:rPr>
          <w:rFonts w:ascii="Cambria" w:hAnsi="Cambria"/>
        </w:rPr>
        <w:t xml:space="preserve"> As propostas ficarão disponíveis no sistema eletrônico.</w:t>
      </w:r>
    </w:p>
    <w:p w14:paraId="1AAFE244">
      <w:pPr>
        <w:spacing w:before="240" w:line="276" w:lineRule="auto"/>
        <w:ind w:firstLine="567"/>
        <w:jc w:val="both"/>
        <w:rPr>
          <w:rFonts w:ascii="Cambria" w:hAnsi="Cambria"/>
        </w:rPr>
      </w:pPr>
      <w:r>
        <w:rPr>
          <w:rFonts w:ascii="Cambria" w:hAnsi="Cambria"/>
          <w:b/>
        </w:rPr>
        <w:t xml:space="preserve">I. </w:t>
      </w:r>
      <w:r>
        <w:rPr>
          <w:rFonts w:ascii="Cambria" w:hAnsi="Cambria"/>
        </w:rPr>
        <w:t>Qualquer elemento que possa identificar à licitante importa na desclassificação da proposta sem prejuízo das sanções previstas nesse Edital.</w:t>
      </w:r>
    </w:p>
    <w:p w14:paraId="6887FC3B">
      <w:pPr>
        <w:spacing w:before="240" w:line="276" w:lineRule="auto"/>
        <w:ind w:left="567" w:firstLine="567"/>
        <w:jc w:val="both"/>
        <w:rPr>
          <w:rFonts w:ascii="Cambria" w:hAnsi="Cambria"/>
        </w:rPr>
      </w:pPr>
      <w:r>
        <w:rPr>
          <w:rFonts w:ascii="Cambria" w:hAnsi="Cambria"/>
          <w:b/>
        </w:rPr>
        <w:t>a)</w:t>
      </w:r>
      <w:r>
        <w:rPr>
          <w:rFonts w:ascii="Cambria" w:hAnsi="Cambria"/>
        </w:rPr>
        <w:t xml:space="preserve"> Tal identificação não deve constar no Cadastro da Proposta no sistema. No arquivo da proposta anexada ao sistema deve conter dados de identificação da Licitante. </w:t>
      </w:r>
    </w:p>
    <w:p w14:paraId="43E43FBF">
      <w:pPr>
        <w:tabs>
          <w:tab w:val="left" w:pos="1701"/>
        </w:tabs>
        <w:spacing w:before="240" w:after="240" w:line="276" w:lineRule="auto"/>
        <w:ind w:left="567" w:firstLine="567"/>
        <w:jc w:val="both"/>
        <w:rPr>
          <w:rFonts w:ascii="Cambria" w:hAnsi="Cambria"/>
        </w:rPr>
      </w:pPr>
      <w:r>
        <w:rPr>
          <w:rFonts w:ascii="Cambria" w:hAnsi="Cambria"/>
          <w:b/>
        </w:rPr>
        <w:t xml:space="preserve">b) </w:t>
      </w:r>
      <w:r>
        <w:rPr>
          <w:rFonts w:ascii="Cambria" w:hAnsi="Cambria"/>
        </w:rPr>
        <w:t>A empresa proponente deverá especificar na proposta de preços cada produto, material ou insumo, marca, especificação detalhada dos materiais ofertados e demais elementos indispensáveis a sua caracterização e atender ao disposto no art. 31, da Lei nº 8.078, de 1990 – Código de Defesa do Consumidor.</w:t>
      </w:r>
    </w:p>
    <w:p w14:paraId="266E53D6">
      <w:pPr>
        <w:spacing w:before="240" w:line="276" w:lineRule="auto"/>
        <w:ind w:firstLine="567"/>
        <w:jc w:val="both"/>
        <w:rPr>
          <w:rFonts w:ascii="Cambria" w:hAnsi="Cambria"/>
        </w:rPr>
      </w:pPr>
      <w:r>
        <w:rPr>
          <w:rFonts w:ascii="Cambria" w:hAnsi="Cambria"/>
          <w:b/>
        </w:rPr>
        <w:t>II.</w:t>
      </w:r>
      <w:r>
        <w:rPr>
          <w:rFonts w:ascii="Cambria" w:hAnsi="Cambria"/>
        </w:rPr>
        <w:t xml:space="preserve"> Até a abertura da sessão eletrônica, a licitante poderá retirar ou substituir a proposta anteriormente encaminhada.</w:t>
      </w:r>
    </w:p>
    <w:p w14:paraId="18CD421A">
      <w:pPr>
        <w:spacing w:before="240" w:line="276" w:lineRule="auto"/>
        <w:jc w:val="both"/>
        <w:rPr>
          <w:rFonts w:ascii="Cambria" w:hAnsi="Cambria"/>
        </w:rPr>
      </w:pPr>
      <w:r>
        <w:rPr>
          <w:rFonts w:ascii="Cambria" w:hAnsi="Cambria"/>
          <w:b/>
        </w:rPr>
        <w:t>5.3</w:t>
      </w:r>
      <w:r>
        <w:rPr>
          <w:rFonts w:ascii="Cambria" w:hAnsi="Cambria"/>
        </w:rPr>
        <w:t xml:space="preserve"> As propostas deverão validade de 60 (sessenta) dias, contados da data de abertura da sessão eletrônica estabelecida no preâmbulo deste Edital.</w:t>
      </w:r>
    </w:p>
    <w:p w14:paraId="156D9698">
      <w:pPr>
        <w:pBdr>
          <w:top w:val="single" w:color="auto" w:sz="4" w:space="1"/>
          <w:left w:val="single" w:color="auto" w:sz="4" w:space="4"/>
          <w:bottom w:val="single" w:color="auto" w:sz="4" w:space="0"/>
          <w:right w:val="single" w:color="auto" w:sz="4" w:space="4"/>
          <w:between w:val="single" w:color="auto" w:sz="4" w:space="1"/>
        </w:pBdr>
        <w:shd w:val="clear" w:color="auto" w:fill="D8D8D8" w:themeFill="background1" w:themeFillShade="D9"/>
        <w:tabs>
          <w:tab w:val="left" w:pos="1701"/>
        </w:tabs>
        <w:spacing w:before="240" w:line="276" w:lineRule="auto"/>
        <w:jc w:val="both"/>
        <w:rPr>
          <w:rFonts w:ascii="Cambria" w:hAnsi="Cambria"/>
          <w:b/>
          <w:bCs/>
        </w:rPr>
      </w:pPr>
      <w:r>
        <w:rPr>
          <w:rFonts w:ascii="Cambria" w:hAnsi="Cambria"/>
          <w:b/>
          <w:bCs/>
        </w:rPr>
        <w:t>06. DA ABERTURA DA SESSÃO ELETRÔNICA</w:t>
      </w:r>
    </w:p>
    <w:p w14:paraId="28371312">
      <w:pPr>
        <w:spacing w:before="240" w:line="276" w:lineRule="auto"/>
        <w:jc w:val="both"/>
        <w:rPr>
          <w:rFonts w:ascii="Cambria" w:hAnsi="Cambria"/>
        </w:rPr>
      </w:pPr>
      <w:r>
        <w:rPr>
          <w:rFonts w:ascii="Cambria" w:hAnsi="Cambria"/>
          <w:b/>
        </w:rPr>
        <w:t>6.1</w:t>
      </w:r>
      <w:r>
        <w:rPr>
          <w:rFonts w:ascii="Cambria" w:hAnsi="Cambria"/>
        </w:rPr>
        <w:t xml:space="preserve"> A abertura da sessão eletrônica deste Pregão, conduzida pela Pregoeira, ocorrerá na data e horas indicadas no preâmbulo deste Edital, no provedor </w:t>
      </w:r>
      <w:r>
        <w:fldChar w:fldCharType="begin"/>
      </w:r>
      <w:r>
        <w:instrText xml:space="preserve"> HYPERLINK "http://www.bnc.org.br" </w:instrText>
      </w:r>
      <w:r>
        <w:fldChar w:fldCharType="separate"/>
      </w:r>
      <w:r>
        <w:rPr>
          <w:rStyle w:val="9"/>
          <w:rFonts w:ascii="Cambria" w:hAnsi="Cambria"/>
          <w:color w:val="auto"/>
          <w:u w:val="none"/>
          <w14:shadow w14:blurRad="50800" w14:dist="38100" w14:dir="2700000" w14:sx="100000" w14:sy="100000" w14:kx="0" w14:ky="0" w14:algn="tl">
            <w14:srgbClr w14:val="000000">
              <w14:alpha w14:val="60000"/>
            </w14:srgbClr>
          </w14:shadow>
        </w:rPr>
        <w:t>www.bnc.org.br</w:t>
      </w:r>
      <w:r>
        <w:rPr>
          <w:rStyle w:val="9"/>
          <w:rFonts w:ascii="Cambria" w:hAnsi="Cambria"/>
          <w:color w:val="auto"/>
          <w:u w:val="none"/>
          <w14:shadow w14:blurRad="50800" w14:dist="38100" w14:dir="2700000" w14:sx="100000" w14:sy="100000" w14:kx="0" w14:ky="0" w14:algn="tl">
            <w14:srgbClr w14:val="000000">
              <w14:alpha w14:val="60000"/>
            </w14:srgbClr>
          </w14:shadow>
        </w:rPr>
        <w:fldChar w:fldCharType="end"/>
      </w:r>
      <w:r>
        <w:rPr>
          <w:rFonts w:ascii="Cambria" w:hAnsi="Cambria"/>
        </w:rPr>
        <w:t>.</w:t>
      </w:r>
    </w:p>
    <w:p w14:paraId="3410A8BA">
      <w:pPr>
        <w:spacing w:before="240" w:line="276" w:lineRule="auto"/>
        <w:jc w:val="both"/>
        <w:rPr>
          <w:rFonts w:ascii="Cambria" w:hAnsi="Cambria"/>
        </w:rPr>
      </w:pPr>
      <w:r>
        <w:rPr>
          <w:rFonts w:ascii="Cambria" w:hAnsi="Cambria"/>
          <w:b/>
          <w:bCs/>
        </w:rPr>
        <w:t>6.2</w:t>
      </w:r>
      <w:r>
        <w:rPr>
          <w:rFonts w:ascii="Cambria" w:hAnsi="Cambria"/>
        </w:rPr>
        <w:t xml:space="preserve"> A verificação da conformidade da proposta será feita exclusivamente na fase de julgamento da proposta, em relação à proposta mais bem classificada.</w:t>
      </w:r>
    </w:p>
    <w:p w14:paraId="23FB3BCE">
      <w:pPr>
        <w:spacing w:before="240" w:line="276" w:lineRule="auto"/>
        <w:jc w:val="both"/>
        <w:rPr>
          <w:rFonts w:ascii="Cambria" w:hAnsi="Cambria"/>
        </w:rPr>
      </w:pPr>
      <w:r>
        <w:rPr>
          <w:rFonts w:ascii="Cambria" w:hAnsi="Cambria"/>
          <w:b/>
          <w:bCs/>
        </w:rPr>
        <w:t>6.3</w:t>
      </w:r>
      <w:r>
        <w:rPr>
          <w:rFonts w:ascii="Cambria" w:hAnsi="Cambria"/>
        </w:rPr>
        <w:t xml:space="preserve"> O sistema ordenará, automaticamente as propostas para participação da etapa de lances.</w:t>
      </w:r>
    </w:p>
    <w:p w14:paraId="3DC9CF6D">
      <w:pPr>
        <w:spacing w:before="240" w:line="276" w:lineRule="auto"/>
        <w:jc w:val="both"/>
        <w:rPr>
          <w:rFonts w:ascii="Cambria" w:hAnsi="Cambria"/>
          <w:u w:val="thick" w:color="0000FF"/>
        </w:rPr>
      </w:pPr>
      <w:r>
        <w:rPr>
          <w:rFonts w:ascii="Cambria" w:hAnsi="Cambria"/>
          <w:b/>
          <w:bCs/>
        </w:rPr>
        <w:t>6.4</w:t>
      </w:r>
      <w:r>
        <w:rPr>
          <w:rFonts w:ascii="Cambria" w:hAnsi="Cambria"/>
        </w:rPr>
        <w:t xml:space="preserve"> A etapa de lances será realizada exclusivamente por meio do sistema eletrônico para os autores das propostas classificadas.</w:t>
      </w:r>
    </w:p>
    <w:p w14:paraId="63E368D0">
      <w:pPr>
        <w:spacing w:before="240" w:line="276" w:lineRule="auto"/>
        <w:jc w:val="both"/>
        <w:rPr>
          <w:rFonts w:ascii="Cambria" w:hAnsi="Cambria"/>
          <w:b/>
        </w:rPr>
      </w:pPr>
      <w:r>
        <w:rPr>
          <w:rFonts w:ascii="Cambria" w:hAnsi="Cambria"/>
          <w:b/>
        </w:rPr>
        <w:t>6.5</w:t>
      </w:r>
      <w:r>
        <w:rPr>
          <w:rFonts w:ascii="Cambria" w:hAnsi="Cambria"/>
        </w:rPr>
        <w:t xml:space="preserve"> Durante a sessão eletrônica a comunicação entre a pregoeira e as licitantes ocorrerá exclusivamente mediante troca de mensagens em campo próprio do sistema eletrônico</w:t>
      </w:r>
      <w:r>
        <w:rPr>
          <w:rFonts w:ascii="Cambria" w:hAnsi="Cambria"/>
          <w:b/>
        </w:rPr>
        <w:t>.</w:t>
      </w:r>
    </w:p>
    <w:p w14:paraId="2638D426">
      <w:pPr>
        <w:spacing w:before="240" w:line="276" w:lineRule="auto"/>
        <w:jc w:val="both"/>
        <w:rPr>
          <w:rFonts w:ascii="Cambria" w:hAnsi="Cambria"/>
        </w:rPr>
      </w:pPr>
      <w:r>
        <w:rPr>
          <w:rFonts w:ascii="Cambria" w:hAnsi="Cambria"/>
          <w:b/>
        </w:rPr>
        <w:t>6.6</w:t>
      </w:r>
      <w:r>
        <w:rPr>
          <w:rFonts w:ascii="Cambria" w:hAnsi="Cambria"/>
        </w:rPr>
        <w:t xml:space="preserve"> Cabe à licitante acompanhar as operações no sistema eletrônico durante a sessão eletrônica do Pregão, ficando responsável pelo ônus decorrente da perda de negócios diante da inobservância de qualquer mensagem emitida pelo sistema ou de sua desconexão.</w:t>
      </w:r>
    </w:p>
    <w:p w14:paraId="0C4707DF">
      <w:pPr>
        <w:pBdr>
          <w:top w:val="single" w:color="auto" w:sz="4" w:space="1"/>
          <w:left w:val="single" w:color="auto" w:sz="4" w:space="4"/>
          <w:bottom w:val="single" w:color="auto" w:sz="4" w:space="0"/>
          <w:right w:val="single" w:color="auto" w:sz="4" w:space="4"/>
          <w:between w:val="single" w:color="auto" w:sz="4" w:space="1"/>
        </w:pBdr>
        <w:shd w:val="clear" w:color="auto" w:fill="D8D8D8" w:themeFill="background1" w:themeFillShade="D9"/>
        <w:tabs>
          <w:tab w:val="left" w:pos="1701"/>
        </w:tabs>
        <w:spacing w:before="240" w:line="276" w:lineRule="auto"/>
        <w:jc w:val="both"/>
        <w:rPr>
          <w:rFonts w:ascii="Cambria" w:hAnsi="Cambria"/>
          <w:b/>
          <w:bCs/>
        </w:rPr>
      </w:pPr>
      <w:r>
        <w:rPr>
          <w:rFonts w:ascii="Cambria" w:hAnsi="Cambria"/>
          <w:b/>
          <w:bCs/>
        </w:rPr>
        <w:t>07. DA FORMULAÇÃO DE LANCES</w:t>
      </w:r>
    </w:p>
    <w:p w14:paraId="1C05B0D5">
      <w:pPr>
        <w:spacing w:before="240" w:line="276" w:lineRule="auto"/>
        <w:jc w:val="both"/>
        <w:rPr>
          <w:rFonts w:ascii="Cambria" w:hAnsi="Cambria"/>
        </w:rPr>
      </w:pPr>
      <w:r>
        <w:rPr>
          <w:rFonts w:ascii="Cambria" w:hAnsi="Cambria"/>
          <w:b/>
        </w:rPr>
        <w:t xml:space="preserve">7.1 </w:t>
      </w:r>
      <w:r>
        <w:rPr>
          <w:rFonts w:ascii="Cambria" w:hAnsi="Cambria"/>
        </w:rPr>
        <w:t>Aberta a etapa competitiva, as licitantes classificadas poderão encaminhar lances sucessivos, exclusivamente por meio do sistema eletrônico, sendo imediatamente informadas do horário e valor consignados no registro de cada lance.</w:t>
      </w:r>
    </w:p>
    <w:p w14:paraId="215DA569">
      <w:pPr>
        <w:spacing w:before="240" w:line="276" w:lineRule="auto"/>
        <w:jc w:val="both"/>
        <w:rPr>
          <w:rFonts w:ascii="Cambria" w:hAnsi="Cambria"/>
        </w:rPr>
      </w:pPr>
      <w:r>
        <w:rPr>
          <w:rFonts w:ascii="Cambria" w:hAnsi="Cambria"/>
          <w:b/>
          <w:bCs/>
        </w:rPr>
        <w:t>7.2</w:t>
      </w:r>
      <w:r>
        <w:rPr>
          <w:rFonts w:ascii="Cambria" w:hAnsi="Cambria"/>
        </w:rPr>
        <w:t xml:space="preserve"> A sessão do pregão será realizada na sala de disputa, onde poderão ser realizados de forme simultânea até 50 (cinquenta) itens/lotes, em razão do quantitativo de itens/lotes licitados, proporcionando agilidade ao processo, devendo o licitante, neste caso, efetuar lances simultâneos para os itens/lotes em disputa em que houver enviado proposta.</w:t>
      </w:r>
    </w:p>
    <w:p w14:paraId="209F724E">
      <w:pPr>
        <w:spacing w:before="240" w:line="276" w:lineRule="auto"/>
        <w:jc w:val="both"/>
        <w:rPr>
          <w:rFonts w:ascii="Cambria" w:hAnsi="Cambria"/>
        </w:rPr>
      </w:pPr>
      <w:r>
        <w:rPr>
          <w:rFonts w:ascii="Cambria" w:hAnsi="Cambria"/>
          <w:b/>
        </w:rPr>
        <w:t>7.3</w:t>
      </w:r>
      <w:r>
        <w:rPr>
          <w:rFonts w:ascii="Cambria" w:hAnsi="Cambria"/>
        </w:rPr>
        <w:t xml:space="preserve"> A licitante somente poderá oferecer lance inferior ao último por ela ofertado e registrado no sistema.</w:t>
      </w:r>
    </w:p>
    <w:p w14:paraId="42F790D2">
      <w:pPr>
        <w:spacing w:before="240" w:line="276" w:lineRule="auto"/>
        <w:jc w:val="both"/>
        <w:rPr>
          <w:rFonts w:ascii="Cambria" w:hAnsi="Cambria"/>
        </w:rPr>
      </w:pPr>
      <w:r>
        <w:rPr>
          <w:rFonts w:ascii="Cambria" w:hAnsi="Cambria"/>
          <w:b/>
          <w:bCs/>
        </w:rPr>
        <w:t>7.4</w:t>
      </w:r>
      <w:r>
        <w:rPr>
          <w:rFonts w:ascii="Cambria" w:hAnsi="Cambria"/>
        </w:rPr>
        <w:t xml:space="preserve"> Não serão aceitos dois ou mais lances de mesmo valor, prevalecendo aquele que for recebido e registrado em primeiro lugar.</w:t>
      </w:r>
    </w:p>
    <w:p w14:paraId="2367EAE0">
      <w:pPr>
        <w:spacing w:before="240" w:line="276" w:lineRule="auto"/>
        <w:jc w:val="both"/>
        <w:rPr>
          <w:rFonts w:ascii="Cambria" w:hAnsi="Cambria"/>
        </w:rPr>
      </w:pPr>
      <w:r>
        <w:rPr>
          <w:rFonts w:ascii="Cambria" w:hAnsi="Cambria"/>
          <w:b/>
          <w:bCs/>
        </w:rPr>
        <w:t>7.5</w:t>
      </w:r>
      <w:r>
        <w:rPr>
          <w:rFonts w:ascii="Cambria" w:hAnsi="Cambria"/>
        </w:rPr>
        <w:t xml:space="preserve"> Não poderá haver desistência dos lances ofertados, a não ser em situação devidamente justificada e aceita pela Pregoeira, sujeitando-se a licitante às penalidades previstas neste edital.</w:t>
      </w:r>
    </w:p>
    <w:p w14:paraId="1FF0E6EA">
      <w:pPr>
        <w:spacing w:before="240" w:line="276" w:lineRule="auto"/>
        <w:jc w:val="both"/>
        <w:rPr>
          <w:rFonts w:ascii="Cambria" w:hAnsi="Cambria"/>
        </w:rPr>
      </w:pPr>
      <w:r>
        <w:rPr>
          <w:rFonts w:ascii="Cambria" w:hAnsi="Cambria"/>
          <w:b/>
        </w:rPr>
        <w:t>7.6</w:t>
      </w:r>
      <w:r>
        <w:rPr>
          <w:rFonts w:ascii="Cambria" w:hAnsi="Cambria"/>
        </w:rPr>
        <w:t xml:space="preserve"> Durante o transcurso da sessão, as licitantes serão informadas, em tempo real, do valor do menor lance registrado, mantendo-se em sigilo a identificação da ofertante.</w:t>
      </w:r>
    </w:p>
    <w:p w14:paraId="1E2D4690">
      <w:pPr>
        <w:spacing w:before="240" w:line="276" w:lineRule="auto"/>
        <w:jc w:val="both"/>
        <w:rPr>
          <w:rFonts w:ascii="Cambria" w:hAnsi="Cambria"/>
        </w:rPr>
      </w:pPr>
      <w:r>
        <w:rPr>
          <w:rFonts w:ascii="Cambria" w:hAnsi="Cambria"/>
          <w:b/>
        </w:rPr>
        <w:t>7.7</w:t>
      </w:r>
      <w:r>
        <w:rPr>
          <w:rFonts w:ascii="Cambria" w:hAnsi="Cambria"/>
        </w:rPr>
        <w:t xml:space="preserve"> Os lances apresentados e levados em consideração para efeito de julgamento serão de exclusiva e total responsabilidade da licitante, não lhe cabendo o direito de pleitear qualquer alteração.</w:t>
      </w:r>
    </w:p>
    <w:p w14:paraId="6534DA1F">
      <w:pPr>
        <w:spacing w:before="240" w:line="276" w:lineRule="auto"/>
        <w:jc w:val="both"/>
        <w:rPr>
          <w:rFonts w:ascii="Cambria" w:hAnsi="Cambria"/>
        </w:rPr>
      </w:pPr>
      <w:r>
        <w:rPr>
          <w:rFonts w:ascii="Cambria" w:hAnsi="Cambria"/>
          <w:b/>
        </w:rPr>
        <w:t>7.8</w:t>
      </w:r>
      <w:r>
        <w:rPr>
          <w:rFonts w:ascii="Cambria" w:hAnsi="Cambria"/>
        </w:rPr>
        <w:t xml:space="preserve"> Neste Pregão o </w:t>
      </w:r>
      <w:r>
        <w:rPr>
          <w:rFonts w:ascii="Cambria" w:hAnsi="Cambria"/>
          <w:b/>
        </w:rPr>
        <w:t>modo de disputa adotado é o ABERTO</w:t>
      </w:r>
      <w:r>
        <w:rPr>
          <w:rFonts w:ascii="Cambria" w:hAnsi="Cambria"/>
        </w:rPr>
        <w:t>, assim definido no art. 56, inciso I da Lei Federal nº 14.133, de 2021.</w:t>
      </w:r>
    </w:p>
    <w:p w14:paraId="37A0CC3A">
      <w:pPr>
        <w:spacing w:before="240" w:line="276" w:lineRule="auto"/>
        <w:ind w:firstLine="567"/>
        <w:jc w:val="both"/>
        <w:rPr>
          <w:rFonts w:ascii="Cambria" w:hAnsi="Cambria"/>
        </w:rPr>
      </w:pPr>
      <w:r>
        <w:rPr>
          <w:rFonts w:ascii="Cambria" w:hAnsi="Cambria"/>
          <w:b/>
        </w:rPr>
        <w:t xml:space="preserve">I. </w:t>
      </w:r>
      <w:r>
        <w:rPr>
          <w:rFonts w:ascii="Cambria" w:hAnsi="Cambria"/>
        </w:rPr>
        <w:t>A etapa de lances na sessão eletrônica durará 10 (dez) minutos, e após isso, será prorrogada automaticamente pelo sistema eletrônico quando houver lance ofertado nos últimos 02 (dois) minutos do período de duração da sessão pública.</w:t>
      </w:r>
    </w:p>
    <w:p w14:paraId="2800F0CF">
      <w:pPr>
        <w:spacing w:before="240" w:line="276" w:lineRule="auto"/>
        <w:ind w:firstLine="567"/>
        <w:jc w:val="both"/>
        <w:rPr>
          <w:rFonts w:ascii="Cambria" w:hAnsi="Cambria"/>
        </w:rPr>
      </w:pPr>
      <w:r>
        <w:rPr>
          <w:rFonts w:ascii="Cambria" w:hAnsi="Cambria"/>
          <w:b/>
          <w:bCs/>
        </w:rPr>
        <w:t>II.</w:t>
      </w:r>
      <w:r>
        <w:rPr>
          <w:rFonts w:ascii="Cambria" w:hAnsi="Cambria"/>
        </w:rPr>
        <w:t xml:space="preserve"> A prorrogação automática da etapa de lances, que se trata o inciso anterior, será de 02 (dois) minutos e ocorrerá sucessivamente sempre que houver lances enviados nesse período de prorrogação, inclusive no caso de lances intermediários.</w:t>
      </w:r>
    </w:p>
    <w:p w14:paraId="6072B949">
      <w:pPr>
        <w:spacing w:before="240" w:line="276" w:lineRule="auto"/>
        <w:ind w:firstLine="567"/>
        <w:jc w:val="both"/>
        <w:rPr>
          <w:rFonts w:ascii="Cambria" w:hAnsi="Cambria"/>
        </w:rPr>
      </w:pPr>
      <w:r>
        <w:rPr>
          <w:rFonts w:ascii="Cambria" w:hAnsi="Cambria"/>
          <w:b/>
          <w:bCs/>
        </w:rPr>
        <w:t>III.</w:t>
      </w:r>
      <w:r>
        <w:rPr>
          <w:rFonts w:ascii="Cambria" w:hAnsi="Cambria"/>
        </w:rPr>
        <w:t xml:space="preserve"> Não havendo novos lances na forma estabelecida neste subitem, a etapa de disputa encerrar-se-á automaticamente.</w:t>
      </w:r>
    </w:p>
    <w:p w14:paraId="2EC7954D">
      <w:pPr>
        <w:tabs>
          <w:tab w:val="left" w:pos="1985"/>
        </w:tabs>
        <w:spacing w:before="240" w:line="276" w:lineRule="auto"/>
        <w:ind w:firstLine="567"/>
        <w:jc w:val="both"/>
        <w:rPr>
          <w:rFonts w:ascii="Cambria" w:hAnsi="Cambria"/>
        </w:rPr>
      </w:pPr>
      <w:r>
        <w:rPr>
          <w:rFonts w:ascii="Cambria" w:hAnsi="Cambria"/>
          <w:b/>
        </w:rPr>
        <w:t>IV.</w:t>
      </w:r>
      <w:r>
        <w:rPr>
          <w:rFonts w:ascii="Cambria" w:hAnsi="Cambria"/>
        </w:rPr>
        <w:t xml:space="preserve"> O intervalo de diferença entre os lances deverá ser de, no mínimo R$ 0,01 (Um centavo), tanto em relação aos lances intermediários, quanto em relação do lance que cobrir a melhor oferta.</w:t>
      </w:r>
    </w:p>
    <w:p w14:paraId="51046A82">
      <w:pPr>
        <w:widowControl w:val="0"/>
        <w:tabs>
          <w:tab w:val="left" w:pos="850"/>
          <w:tab w:val="left" w:pos="1211"/>
          <w:tab w:val="left" w:pos="1985"/>
        </w:tabs>
        <w:spacing w:before="240" w:line="276" w:lineRule="auto"/>
        <w:jc w:val="both"/>
        <w:rPr>
          <w:rFonts w:ascii="Cambria" w:hAnsi="Cambria"/>
        </w:rPr>
      </w:pPr>
      <w:r>
        <w:rPr>
          <w:rFonts w:ascii="Cambria" w:hAnsi="Cambria"/>
          <w:b/>
        </w:rPr>
        <w:t>7.9</w:t>
      </w:r>
      <w:r>
        <w:rPr>
          <w:rFonts w:ascii="Cambria" w:hAnsi="Cambria"/>
        </w:rPr>
        <w:t xml:space="preserve"> Na hipótese de o sistema eletrônico desconectar para a Pregoeira no decorrer da etapa de envio de lances da sessão eletrônica e permanecer acessível aos licitantes, os lances continuarão sendo recebidos, sem prejuízo dos atos realizados.</w:t>
      </w:r>
    </w:p>
    <w:p w14:paraId="5BF040B3">
      <w:pPr>
        <w:widowControl w:val="0"/>
        <w:tabs>
          <w:tab w:val="left" w:pos="850"/>
          <w:tab w:val="left" w:pos="1211"/>
          <w:tab w:val="left" w:pos="1985"/>
        </w:tabs>
        <w:spacing w:before="240" w:line="276" w:lineRule="auto"/>
        <w:jc w:val="both"/>
        <w:rPr>
          <w:rFonts w:ascii="Cambria" w:hAnsi="Cambria"/>
        </w:rPr>
      </w:pPr>
      <w:r>
        <w:rPr>
          <w:rFonts w:ascii="Cambria" w:hAnsi="Cambria"/>
          <w:b/>
        </w:rPr>
        <w:t>7.10</w:t>
      </w:r>
      <w:r>
        <w:rPr>
          <w:rFonts w:ascii="Cambria" w:hAnsi="Cambria"/>
        </w:rPr>
        <w:t xml:space="preserve"> Encerrada a etapa de envio de lances da sessão pública, a Pregoeira deverá encaminhar pelo sistema eletrônico contraproposta à licitante que tenha apresentado o melhor preço, para que seja obtida a melhor proposta, vedada a negociação em condições diferentes das previstas neste Edital.</w:t>
      </w:r>
    </w:p>
    <w:p w14:paraId="2AEF08BE">
      <w:pPr>
        <w:widowControl w:val="0"/>
        <w:tabs>
          <w:tab w:val="left" w:pos="850"/>
          <w:tab w:val="left" w:pos="1211"/>
          <w:tab w:val="left" w:pos="1985"/>
        </w:tabs>
        <w:spacing w:before="240" w:line="276" w:lineRule="auto"/>
        <w:ind w:firstLine="567"/>
        <w:jc w:val="both"/>
        <w:rPr>
          <w:rFonts w:ascii="Cambria" w:hAnsi="Cambria"/>
        </w:rPr>
      </w:pPr>
      <w:r>
        <w:rPr>
          <w:rFonts w:ascii="Cambria" w:hAnsi="Cambria"/>
          <w:b/>
        </w:rPr>
        <w:t>I.</w:t>
      </w:r>
      <w:r>
        <w:rPr>
          <w:rFonts w:ascii="Cambria" w:hAnsi="Cambria"/>
        </w:rPr>
        <w:t xml:space="preserve"> A negociação será realizada por meio do sistema, podendo ser acompanhada pelas demais licitantes.</w:t>
      </w:r>
    </w:p>
    <w:p w14:paraId="2F2F2236">
      <w:pPr>
        <w:pBdr>
          <w:top w:val="single" w:color="auto" w:sz="4" w:space="1"/>
          <w:left w:val="single" w:color="auto" w:sz="4" w:space="4"/>
          <w:bottom w:val="single" w:color="auto" w:sz="4" w:space="0"/>
          <w:right w:val="single" w:color="auto" w:sz="4" w:space="4"/>
          <w:between w:val="single" w:color="auto" w:sz="4" w:space="1"/>
        </w:pBdr>
        <w:shd w:val="clear" w:color="auto" w:fill="D8D8D8" w:themeFill="background1" w:themeFillShade="D9"/>
        <w:tabs>
          <w:tab w:val="left" w:pos="1701"/>
          <w:tab w:val="left" w:pos="1985"/>
        </w:tabs>
        <w:spacing w:before="240" w:line="276" w:lineRule="auto"/>
        <w:jc w:val="both"/>
        <w:rPr>
          <w:rFonts w:ascii="Cambria" w:hAnsi="Cambria"/>
          <w:b/>
          <w:bCs/>
        </w:rPr>
      </w:pPr>
      <w:r>
        <w:rPr>
          <w:rFonts w:ascii="Cambria" w:hAnsi="Cambria"/>
          <w:b/>
          <w:bCs/>
        </w:rPr>
        <w:t>08. DO JULGAMENTO DAS PROPOSTAS</w:t>
      </w:r>
    </w:p>
    <w:p w14:paraId="3E404C81">
      <w:pPr>
        <w:widowControl w:val="0"/>
        <w:tabs>
          <w:tab w:val="left" w:pos="850"/>
          <w:tab w:val="left" w:pos="1211"/>
          <w:tab w:val="left" w:pos="1985"/>
        </w:tabs>
        <w:spacing w:before="240" w:line="276" w:lineRule="auto"/>
        <w:jc w:val="both"/>
        <w:rPr>
          <w:rFonts w:ascii="Cambria" w:hAnsi="Cambria"/>
          <w:bCs/>
        </w:rPr>
      </w:pPr>
      <w:r>
        <w:rPr>
          <w:rFonts w:ascii="Cambria" w:hAnsi="Cambria"/>
          <w:b/>
        </w:rPr>
        <w:t>8.1</w:t>
      </w:r>
      <w:r>
        <w:rPr>
          <w:rFonts w:ascii="Cambria" w:hAnsi="Cambria"/>
        </w:rPr>
        <w:t xml:space="preserve"> </w:t>
      </w:r>
      <w:r>
        <w:rPr>
          <w:rFonts w:ascii="Cambria" w:hAnsi="Cambria"/>
          <w:bCs/>
        </w:rPr>
        <w:t>No julgamento das propostas considerar-se-á vencedora aquela que, tendo sido aceita, estiver de acordo com os termos deste Edital e seus anexos e ofertar o menor preço para o fornecimento do objeto nas condições previstas no Estudo Técnico Preliminar e Termo de Referência.</w:t>
      </w:r>
    </w:p>
    <w:p w14:paraId="4B29F735">
      <w:pPr>
        <w:widowControl w:val="0"/>
        <w:tabs>
          <w:tab w:val="left" w:pos="850"/>
          <w:tab w:val="left" w:pos="1211"/>
        </w:tabs>
        <w:spacing w:before="240" w:line="276" w:lineRule="auto"/>
        <w:jc w:val="both"/>
        <w:rPr>
          <w:rFonts w:ascii="Cambria" w:hAnsi="Cambria"/>
        </w:rPr>
      </w:pPr>
      <w:r>
        <w:rPr>
          <w:rFonts w:ascii="Cambria" w:hAnsi="Cambria"/>
          <w:b/>
        </w:rPr>
        <w:t>8.2</w:t>
      </w:r>
      <w:r>
        <w:rPr>
          <w:rFonts w:ascii="Cambria" w:hAnsi="Cambria"/>
        </w:rPr>
        <w:t xml:space="preserve"> A Pregoeira examinará a proposta melhor classificada quanto à compatibilidade do preço ofertado com o valor estimado e à compatibilidade da proposta com as especificações técnicas do objeto.</w:t>
      </w:r>
    </w:p>
    <w:p w14:paraId="23FD7FBA">
      <w:pPr>
        <w:widowControl w:val="0"/>
        <w:tabs>
          <w:tab w:val="left" w:pos="850"/>
          <w:tab w:val="left" w:pos="1211"/>
        </w:tabs>
        <w:spacing w:before="240" w:line="276" w:lineRule="auto"/>
        <w:ind w:firstLine="567"/>
        <w:jc w:val="both"/>
        <w:rPr>
          <w:rFonts w:ascii="Cambria" w:hAnsi="Cambria"/>
        </w:rPr>
      </w:pPr>
      <w:r>
        <w:rPr>
          <w:rFonts w:ascii="Cambria" w:hAnsi="Cambria"/>
          <w:b/>
        </w:rPr>
        <w:t>I.</w:t>
      </w:r>
      <w:r>
        <w:rPr>
          <w:rFonts w:ascii="Cambria" w:hAnsi="Cambria"/>
        </w:rPr>
        <w:t xml:space="preserve"> A Pregoeira poderá solicitar parecer de técnicos pertencentes ao quadro de pessoal da Prefeitura Municipal de Piracanjuba ou, ainda de pessoas físicas ou jurídicas estranhas a ele, para orientar sua decisão.</w:t>
      </w:r>
    </w:p>
    <w:p w14:paraId="4F19C362">
      <w:pPr>
        <w:widowControl w:val="0"/>
        <w:tabs>
          <w:tab w:val="left" w:pos="850"/>
          <w:tab w:val="left" w:pos="1211"/>
        </w:tabs>
        <w:spacing w:before="240" w:line="276" w:lineRule="auto"/>
        <w:ind w:firstLine="567"/>
        <w:jc w:val="both"/>
        <w:rPr>
          <w:rFonts w:ascii="Cambria" w:hAnsi="Cambria"/>
        </w:rPr>
      </w:pPr>
      <w:r>
        <w:rPr>
          <w:rFonts w:ascii="Cambria" w:hAnsi="Cambria"/>
          <w:b/>
        </w:rPr>
        <w:t>II.</w:t>
      </w:r>
      <w:r>
        <w:rPr>
          <w:rFonts w:ascii="Cambria" w:hAnsi="Cambria"/>
        </w:rPr>
        <w:t xml:space="preserve"> Não se considerará qualquer oferta de vantagem não prevista neste Edital, inclusive financiamentos subsidiados ou a fundo perdido.</w:t>
      </w:r>
    </w:p>
    <w:p w14:paraId="2A696503">
      <w:pPr>
        <w:widowControl w:val="0"/>
        <w:tabs>
          <w:tab w:val="left" w:pos="850"/>
          <w:tab w:val="left" w:pos="1211"/>
        </w:tabs>
        <w:spacing w:before="240" w:line="276" w:lineRule="auto"/>
        <w:ind w:firstLine="567"/>
        <w:jc w:val="both"/>
        <w:rPr>
          <w:rFonts w:ascii="Cambria" w:hAnsi="Cambria"/>
        </w:rPr>
      </w:pPr>
      <w:r>
        <w:rPr>
          <w:rFonts w:ascii="Cambria" w:hAnsi="Cambria"/>
          <w:b/>
        </w:rPr>
        <w:t>III.</w:t>
      </w:r>
      <w:r>
        <w:rPr>
          <w:rFonts w:ascii="Cambria" w:hAnsi="Cambria"/>
        </w:rPr>
        <w:t xml:space="preserve"> Não se admitirá proposta que apresente valores simbólicos, irrisórios ou de valor zero, incompatíveis com os preços de mercado, exceto quando se referirem a materiais e instalações de propriedade da licitante, para os quais ela renuncie à parcela ou à totalidade de remuneração.</w:t>
      </w:r>
    </w:p>
    <w:p w14:paraId="2854F8D6">
      <w:pPr>
        <w:widowControl w:val="0"/>
        <w:tabs>
          <w:tab w:val="left" w:pos="850"/>
          <w:tab w:val="left" w:pos="1211"/>
        </w:tabs>
        <w:spacing w:before="240" w:line="276" w:lineRule="auto"/>
        <w:ind w:firstLine="567"/>
        <w:jc w:val="both"/>
        <w:rPr>
          <w:rFonts w:ascii="Cambria" w:hAnsi="Cambria"/>
        </w:rPr>
      </w:pPr>
      <w:r>
        <w:rPr>
          <w:rFonts w:ascii="Cambria" w:hAnsi="Cambria"/>
          <w:b/>
        </w:rPr>
        <w:t>IV.</w:t>
      </w:r>
      <w:r>
        <w:rPr>
          <w:rFonts w:ascii="Cambria" w:hAnsi="Cambria"/>
        </w:rPr>
        <w:t xml:space="preserve"> Não serão aceitas propostas com valores superiores aos estimados ou com preços manifestadamente inexequíveis.</w:t>
      </w:r>
    </w:p>
    <w:p w14:paraId="0FE6822E">
      <w:pPr>
        <w:widowControl w:val="0"/>
        <w:tabs>
          <w:tab w:val="left" w:pos="850"/>
          <w:tab w:val="left" w:pos="1211"/>
        </w:tabs>
        <w:spacing w:before="240" w:line="276" w:lineRule="auto"/>
        <w:ind w:left="567" w:firstLine="567"/>
        <w:jc w:val="both"/>
        <w:rPr>
          <w:rFonts w:ascii="Cambria" w:hAnsi="Cambria"/>
        </w:rPr>
      </w:pPr>
      <w:r>
        <w:rPr>
          <w:rFonts w:ascii="Cambria" w:hAnsi="Cambria"/>
          <w:b/>
        </w:rPr>
        <w:t>a)</w:t>
      </w:r>
      <w:r>
        <w:rPr>
          <w:rFonts w:ascii="Cambria" w:hAnsi="Cambria"/>
        </w:rPr>
        <w:t xml:space="preserve"> No caso de bens e serviços em geral, é indício de inexequibilidade das propostas valores inferiores a 50% (Cinquenta por cento) do valor orçado pela Administração.</w:t>
      </w:r>
    </w:p>
    <w:p w14:paraId="24A7AC14">
      <w:pPr>
        <w:widowControl w:val="0"/>
        <w:tabs>
          <w:tab w:val="left" w:pos="850"/>
          <w:tab w:val="left" w:pos="1211"/>
        </w:tabs>
        <w:spacing w:before="240" w:line="276" w:lineRule="auto"/>
        <w:ind w:left="567" w:firstLine="567"/>
        <w:jc w:val="both"/>
        <w:rPr>
          <w:rFonts w:ascii="Cambria" w:hAnsi="Cambria"/>
        </w:rPr>
      </w:pPr>
      <w:r>
        <w:rPr>
          <w:rFonts w:ascii="Cambria" w:hAnsi="Cambria"/>
          <w:b/>
          <w:bCs/>
        </w:rPr>
        <w:t>b)</w:t>
      </w:r>
      <w:r>
        <w:rPr>
          <w:rFonts w:ascii="Cambria" w:hAnsi="Cambria"/>
        </w:rPr>
        <w:t xml:space="preserve"> A inexequibilidade, na hipótese que se trata a alínea anterior somente será identificada após diligência da Pregoeira, que comprove:</w:t>
      </w:r>
    </w:p>
    <w:p w14:paraId="40E7DFB5">
      <w:pPr>
        <w:widowControl w:val="0"/>
        <w:tabs>
          <w:tab w:val="left" w:pos="850"/>
          <w:tab w:val="left" w:pos="1211"/>
        </w:tabs>
        <w:spacing w:before="240" w:line="276" w:lineRule="auto"/>
        <w:ind w:left="851" w:firstLine="567"/>
        <w:jc w:val="both"/>
        <w:rPr>
          <w:rFonts w:ascii="Cambria" w:hAnsi="Cambria"/>
        </w:rPr>
      </w:pPr>
      <w:r>
        <w:rPr>
          <w:rFonts w:ascii="Cambria" w:hAnsi="Cambria"/>
          <w:b/>
          <w:bCs/>
        </w:rPr>
        <w:t>1.</w:t>
      </w:r>
      <w:r>
        <w:rPr>
          <w:rFonts w:ascii="Cambria" w:hAnsi="Cambria"/>
        </w:rPr>
        <w:t xml:space="preserve"> Que o custo do licitante ultrapassa o valor da proposta.</w:t>
      </w:r>
    </w:p>
    <w:p w14:paraId="04173CFE">
      <w:pPr>
        <w:widowControl w:val="0"/>
        <w:tabs>
          <w:tab w:val="left" w:pos="850"/>
          <w:tab w:val="left" w:pos="1211"/>
        </w:tabs>
        <w:spacing w:before="240" w:line="276" w:lineRule="auto"/>
        <w:ind w:left="851" w:firstLine="567"/>
        <w:jc w:val="both"/>
        <w:rPr>
          <w:rFonts w:ascii="Cambria" w:hAnsi="Cambria"/>
        </w:rPr>
      </w:pPr>
      <w:r>
        <w:rPr>
          <w:rFonts w:ascii="Cambria" w:hAnsi="Cambria"/>
          <w:b/>
          <w:bCs/>
        </w:rPr>
        <w:t>2.</w:t>
      </w:r>
      <w:r>
        <w:rPr>
          <w:rFonts w:ascii="Cambria" w:hAnsi="Cambria"/>
        </w:rPr>
        <w:t xml:space="preserve"> Inexistirem custos de oportunidade capazes de justificar o vulto da oferta.</w:t>
      </w:r>
    </w:p>
    <w:p w14:paraId="5100C844">
      <w:pPr>
        <w:widowControl w:val="0"/>
        <w:tabs>
          <w:tab w:val="left" w:pos="850"/>
          <w:tab w:val="left" w:pos="1211"/>
        </w:tabs>
        <w:spacing w:before="240" w:line="276" w:lineRule="auto"/>
        <w:jc w:val="both"/>
        <w:rPr>
          <w:rFonts w:ascii="Cambria" w:hAnsi="Cambria"/>
          <w:bCs/>
        </w:rPr>
      </w:pPr>
      <w:r>
        <w:rPr>
          <w:rFonts w:ascii="Cambria" w:hAnsi="Cambria"/>
          <w:b/>
        </w:rPr>
        <w:t xml:space="preserve">8.3 </w:t>
      </w:r>
      <w:r>
        <w:rPr>
          <w:rFonts w:ascii="Cambria" w:hAnsi="Cambria"/>
          <w:bCs/>
        </w:rPr>
        <w:t>A Pregoeira irá convocar a licitante melhor classificada para enviar os documentos em formato digital, por meio da funcionalidade disponível no sistema.</w:t>
      </w:r>
    </w:p>
    <w:p w14:paraId="09D121D7">
      <w:pPr>
        <w:widowControl w:val="0"/>
        <w:tabs>
          <w:tab w:val="left" w:pos="850"/>
          <w:tab w:val="left" w:pos="1211"/>
        </w:tabs>
        <w:spacing w:before="240" w:line="276" w:lineRule="auto"/>
        <w:ind w:firstLine="567"/>
        <w:jc w:val="both"/>
        <w:rPr>
          <w:rFonts w:ascii="Cambria" w:hAnsi="Cambria"/>
          <w:bCs/>
        </w:rPr>
      </w:pPr>
      <w:r>
        <w:rPr>
          <w:rFonts w:ascii="Cambria" w:hAnsi="Cambria"/>
          <w:b/>
        </w:rPr>
        <w:t xml:space="preserve">I. </w:t>
      </w:r>
      <w:r>
        <w:rPr>
          <w:rFonts w:ascii="Cambria" w:hAnsi="Cambria"/>
          <w:bCs/>
        </w:rPr>
        <w:t>O prazo para envio dos documentos será de 02 (duas) horas, contados a partir da convocação formal realizada pela Pregoeira através do sistema eletrônico.</w:t>
      </w:r>
    </w:p>
    <w:p w14:paraId="723AF14C">
      <w:pPr>
        <w:widowControl w:val="0"/>
        <w:tabs>
          <w:tab w:val="left" w:pos="850"/>
          <w:tab w:val="left" w:pos="1211"/>
        </w:tabs>
        <w:spacing w:before="240" w:line="276" w:lineRule="auto"/>
        <w:ind w:firstLine="567"/>
        <w:jc w:val="both"/>
        <w:rPr>
          <w:rFonts w:ascii="Cambria" w:hAnsi="Cambria"/>
          <w:bCs/>
        </w:rPr>
      </w:pPr>
      <w:r>
        <w:rPr>
          <w:rFonts w:ascii="Cambria" w:hAnsi="Cambria"/>
          <w:b/>
        </w:rPr>
        <w:t xml:space="preserve">II. </w:t>
      </w:r>
      <w:r>
        <w:rPr>
          <w:rFonts w:ascii="Cambria" w:hAnsi="Cambria"/>
          <w:bCs/>
        </w:rPr>
        <w:t>Se a empresa convocada não apresentar a proposta final dentro do prazo estipulado a mesma será automaticamente desclassificada para os itens que possam ser os próximos classificados.</w:t>
      </w:r>
    </w:p>
    <w:p w14:paraId="21AD5A75">
      <w:pPr>
        <w:widowControl w:val="0"/>
        <w:tabs>
          <w:tab w:val="left" w:pos="850"/>
          <w:tab w:val="left" w:pos="1211"/>
        </w:tabs>
        <w:spacing w:before="240" w:line="276" w:lineRule="auto"/>
        <w:jc w:val="both"/>
        <w:rPr>
          <w:rStyle w:val="9"/>
          <w:rFonts w:ascii="Cambria" w:hAnsi="Cambria"/>
          <w:color w:val="auto"/>
          <w:u w:val="none"/>
        </w:rPr>
      </w:pPr>
      <w:r>
        <w:rPr>
          <w:rFonts w:ascii="Cambria" w:hAnsi="Cambria"/>
          <w:b/>
        </w:rPr>
        <w:t xml:space="preserve">8.4 </w:t>
      </w:r>
      <w:r>
        <w:rPr>
          <w:rFonts w:ascii="Cambria" w:hAnsi="Cambria"/>
          <w:bCs/>
        </w:rPr>
        <w:t>A licitante que abandonar o certame, deixando de enviar a documentação indicada neste edital na plataforma BNC (</w:t>
      </w:r>
      <w:r>
        <w:fldChar w:fldCharType="begin"/>
      </w:r>
      <w:r>
        <w:instrText xml:space="preserve"> HYPERLINK "http://www.bnc.org.br" </w:instrText>
      </w:r>
      <w:r>
        <w:fldChar w:fldCharType="separate"/>
      </w:r>
      <w:r>
        <w:rPr>
          <w:rStyle w:val="9"/>
          <w:rFonts w:ascii="Cambria" w:hAnsi="Cambria"/>
          <w:color w:val="auto"/>
          <w:u w:val="none"/>
          <w14:shadow w14:blurRad="50800" w14:dist="38100" w14:dir="2700000" w14:sx="100000" w14:sy="100000" w14:kx="0" w14:ky="0" w14:algn="tl">
            <w14:srgbClr w14:val="000000">
              <w14:alpha w14:val="60000"/>
            </w14:srgbClr>
          </w14:shadow>
        </w:rPr>
        <w:t>www.bnc.org.br</w:t>
      </w:r>
      <w:r>
        <w:rPr>
          <w:rStyle w:val="9"/>
          <w:rFonts w:ascii="Cambria" w:hAnsi="Cambria"/>
          <w:color w:val="auto"/>
          <w:u w:val="none"/>
          <w14:shadow w14:blurRad="50800" w14:dist="38100" w14:dir="2700000" w14:sx="100000" w14:sy="100000" w14:kx="0" w14:ky="0" w14:algn="tl">
            <w14:srgbClr w14:val="000000">
              <w14:alpha w14:val="60000"/>
            </w14:srgbClr>
          </w14:shadow>
        </w:rPr>
        <w:fldChar w:fldCharType="end"/>
      </w:r>
      <w:r>
        <w:rPr>
          <w:rStyle w:val="9"/>
          <w:rFonts w:ascii="Cambria" w:hAnsi="Cambria"/>
          <w:color w:val="auto"/>
          <w:u w:val="none"/>
        </w:rPr>
        <w:t xml:space="preserve">) ou através do e-mail </w:t>
      </w:r>
      <w:r>
        <w:rPr>
          <w:rStyle w:val="9"/>
          <w:rFonts w:ascii="Cambria" w:hAnsi="Cambria"/>
          <w:color w:val="auto"/>
          <w:u w:val="none"/>
          <w14:shadow w14:blurRad="50800" w14:dist="38100" w14:dir="2700000" w14:sx="100000" w14:sy="100000" w14:kx="0" w14:ky="0" w14:algn="tl">
            <w14:srgbClr w14:val="000000">
              <w14:alpha w14:val="60000"/>
            </w14:srgbClr>
          </w14:shadow>
        </w:rPr>
        <w:t>licitacaopiracanjuba@hotmail.com</w:t>
      </w:r>
      <w:r>
        <w:rPr>
          <w:rStyle w:val="9"/>
          <w:rFonts w:ascii="Cambria" w:hAnsi="Cambria"/>
          <w:color w:val="auto"/>
          <w:u w:val="none"/>
        </w:rPr>
        <w:t>, se assim solicitado pela Pregoeira, será desclassificada e sujeitar-se-á às sanções previstas neste instrumento convocatório.</w:t>
      </w:r>
    </w:p>
    <w:p w14:paraId="0DE10008">
      <w:pPr>
        <w:widowControl w:val="0"/>
        <w:tabs>
          <w:tab w:val="left" w:pos="850"/>
          <w:tab w:val="left" w:pos="1211"/>
        </w:tabs>
        <w:spacing w:before="240" w:line="276" w:lineRule="auto"/>
        <w:jc w:val="both"/>
        <w:rPr>
          <w:rStyle w:val="9"/>
          <w:rFonts w:ascii="Cambria" w:hAnsi="Cambria"/>
          <w:color w:val="auto"/>
          <w:u w:val="none"/>
        </w:rPr>
      </w:pPr>
      <w:r>
        <w:rPr>
          <w:rStyle w:val="9"/>
          <w:rFonts w:ascii="Cambria" w:hAnsi="Cambria"/>
          <w:b/>
          <w:bCs/>
          <w:color w:val="auto"/>
          <w:u w:val="none"/>
        </w:rPr>
        <w:t>8.5</w:t>
      </w:r>
      <w:r>
        <w:rPr>
          <w:rStyle w:val="9"/>
          <w:rFonts w:ascii="Cambria" w:hAnsi="Cambria"/>
          <w:color w:val="auto"/>
          <w:u w:val="none"/>
        </w:rPr>
        <w:t xml:space="preserve"> Se a proposta não for aceitável, ou se a licitante não atender as exigências de habilitação, a Pregoeira examinará a proposta subsequente e assim sucessivamente, na ordem de classificação, até a seleção da proposta que melhor atenda este Edital.</w:t>
      </w:r>
    </w:p>
    <w:p w14:paraId="1EE77388">
      <w:pPr>
        <w:widowControl w:val="0"/>
        <w:tabs>
          <w:tab w:val="left" w:pos="850"/>
          <w:tab w:val="left" w:pos="1211"/>
        </w:tabs>
        <w:spacing w:before="240" w:line="276" w:lineRule="auto"/>
        <w:jc w:val="both"/>
        <w:rPr>
          <w:rStyle w:val="9"/>
          <w:rFonts w:ascii="Cambria" w:hAnsi="Cambria"/>
          <w:color w:val="auto"/>
          <w:u w:val="none"/>
        </w:rPr>
      </w:pPr>
      <w:r>
        <w:rPr>
          <w:rStyle w:val="9"/>
          <w:rFonts w:ascii="Cambria" w:hAnsi="Cambria"/>
          <w:b/>
          <w:bCs/>
          <w:color w:val="auto"/>
          <w:u w:val="none"/>
        </w:rPr>
        <w:t>8.6</w:t>
      </w:r>
      <w:r>
        <w:rPr>
          <w:rStyle w:val="9"/>
          <w:rFonts w:ascii="Cambria" w:hAnsi="Cambria"/>
          <w:color w:val="auto"/>
          <w:u w:val="none"/>
        </w:rPr>
        <w:t xml:space="preserve"> A apresentação da proposta implica na declaração de conhecimento e aceitação de todas as condições da presente licitação, vinculando a licitante às informações apresentadas, tais como marca, modelo, tipo, fabricante e procedência, entre outras.</w:t>
      </w:r>
    </w:p>
    <w:p w14:paraId="3C512880">
      <w:pPr>
        <w:widowControl w:val="0"/>
        <w:tabs>
          <w:tab w:val="left" w:pos="850"/>
          <w:tab w:val="left" w:pos="1211"/>
        </w:tabs>
        <w:spacing w:before="240" w:line="276" w:lineRule="auto"/>
        <w:jc w:val="both"/>
        <w:rPr>
          <w:rStyle w:val="9"/>
          <w:rFonts w:ascii="Cambria" w:hAnsi="Cambria"/>
          <w:color w:val="auto"/>
          <w:u w:val="none"/>
        </w:rPr>
      </w:pPr>
      <w:r>
        <w:rPr>
          <w:rStyle w:val="9"/>
          <w:rFonts w:ascii="Cambria" w:hAnsi="Cambria"/>
          <w:b/>
          <w:bCs/>
          <w:color w:val="auto"/>
          <w:u w:val="none"/>
        </w:rPr>
        <w:t>8.7</w:t>
      </w:r>
      <w:r>
        <w:rPr>
          <w:rStyle w:val="9"/>
          <w:rFonts w:ascii="Cambria" w:hAnsi="Cambria"/>
          <w:color w:val="auto"/>
          <w:u w:val="none"/>
        </w:rPr>
        <w:t xml:space="preserve"> As licitantes arcarão integralmente com todos os custos decorrentes da elaboração e apresentação de suas propostas, independente do resultado do procedimento licitatório.</w:t>
      </w:r>
    </w:p>
    <w:p w14:paraId="11686160">
      <w:pPr>
        <w:widowControl w:val="0"/>
        <w:tabs>
          <w:tab w:val="left" w:pos="850"/>
          <w:tab w:val="left" w:pos="1211"/>
        </w:tabs>
        <w:spacing w:before="240" w:line="276" w:lineRule="auto"/>
        <w:jc w:val="both"/>
        <w:rPr>
          <w:rStyle w:val="9"/>
          <w:rFonts w:ascii="Cambria" w:hAnsi="Cambria"/>
          <w:color w:val="auto"/>
          <w:u w:val="none"/>
        </w:rPr>
      </w:pPr>
      <w:r>
        <w:rPr>
          <w:rStyle w:val="9"/>
          <w:rFonts w:ascii="Cambria" w:hAnsi="Cambria"/>
          <w:b/>
          <w:bCs/>
          <w:color w:val="auto"/>
          <w:u w:val="none"/>
        </w:rPr>
        <w:t>8.8</w:t>
      </w:r>
      <w:r>
        <w:rPr>
          <w:rStyle w:val="9"/>
          <w:rFonts w:ascii="Cambria" w:hAnsi="Cambria"/>
          <w:color w:val="auto"/>
          <w:u w:val="none"/>
        </w:rPr>
        <w:t xml:space="preserve"> Será desclassificada a proposta que:</w:t>
      </w:r>
    </w:p>
    <w:p w14:paraId="2D191D8F">
      <w:pPr>
        <w:widowControl w:val="0"/>
        <w:tabs>
          <w:tab w:val="left" w:pos="850"/>
          <w:tab w:val="left" w:pos="1211"/>
        </w:tabs>
        <w:spacing w:before="240" w:line="276" w:lineRule="auto"/>
        <w:ind w:firstLine="567"/>
        <w:jc w:val="both"/>
        <w:rPr>
          <w:rFonts w:ascii="Cambria" w:hAnsi="Cambria"/>
          <w:bCs/>
        </w:rPr>
      </w:pPr>
      <w:r>
        <w:rPr>
          <w:rFonts w:ascii="Cambria" w:hAnsi="Cambria"/>
          <w:b/>
        </w:rPr>
        <w:t>I.</w:t>
      </w:r>
      <w:r>
        <w:rPr>
          <w:rFonts w:ascii="Cambria" w:hAnsi="Cambria"/>
          <w:bCs/>
        </w:rPr>
        <w:t xml:space="preserve"> Não atenda as exigências deste ato convocatório e ou contiver vícios insanáveis.</w:t>
      </w:r>
    </w:p>
    <w:p w14:paraId="7E2B7DB8">
      <w:pPr>
        <w:widowControl w:val="0"/>
        <w:tabs>
          <w:tab w:val="left" w:pos="850"/>
          <w:tab w:val="left" w:pos="1211"/>
        </w:tabs>
        <w:spacing w:before="240" w:line="276" w:lineRule="auto"/>
        <w:ind w:firstLine="567"/>
        <w:jc w:val="both"/>
        <w:rPr>
          <w:rFonts w:ascii="Cambria" w:hAnsi="Cambria"/>
          <w:bCs/>
        </w:rPr>
      </w:pPr>
      <w:r>
        <w:rPr>
          <w:rFonts w:ascii="Cambria" w:hAnsi="Cambria"/>
          <w:b/>
        </w:rPr>
        <w:t>II.</w:t>
      </w:r>
      <w:r>
        <w:rPr>
          <w:rFonts w:ascii="Cambria" w:hAnsi="Cambria"/>
          <w:bCs/>
        </w:rPr>
        <w:t xml:space="preserve"> Não obedecer às especificações técnicas contidas no Edital.</w:t>
      </w:r>
    </w:p>
    <w:p w14:paraId="1CFFBE50">
      <w:pPr>
        <w:widowControl w:val="0"/>
        <w:tabs>
          <w:tab w:val="left" w:pos="850"/>
          <w:tab w:val="left" w:pos="1211"/>
        </w:tabs>
        <w:spacing w:before="240" w:line="276" w:lineRule="auto"/>
        <w:ind w:firstLine="567"/>
        <w:jc w:val="both"/>
        <w:rPr>
          <w:rFonts w:ascii="Cambria" w:hAnsi="Cambria"/>
          <w:bCs/>
        </w:rPr>
      </w:pPr>
      <w:r>
        <w:rPr>
          <w:rFonts w:ascii="Cambria" w:hAnsi="Cambria"/>
          <w:b/>
        </w:rPr>
        <w:t>III.</w:t>
      </w:r>
      <w:r>
        <w:rPr>
          <w:rFonts w:ascii="Cambria" w:hAnsi="Cambria"/>
          <w:bCs/>
        </w:rPr>
        <w:t xml:space="preserve"> Esteja o valor, acima do estimado previsto no Edital.</w:t>
      </w:r>
    </w:p>
    <w:p w14:paraId="016C3F16">
      <w:pPr>
        <w:widowControl w:val="0"/>
        <w:tabs>
          <w:tab w:val="left" w:pos="850"/>
          <w:tab w:val="left" w:pos="1211"/>
        </w:tabs>
        <w:spacing w:before="240" w:line="276" w:lineRule="auto"/>
        <w:ind w:firstLine="567"/>
        <w:jc w:val="both"/>
        <w:rPr>
          <w:rFonts w:ascii="Cambria" w:hAnsi="Cambria"/>
          <w:bCs/>
        </w:rPr>
      </w:pPr>
      <w:r>
        <w:rPr>
          <w:rFonts w:ascii="Cambria" w:hAnsi="Cambria"/>
          <w:b/>
        </w:rPr>
        <w:t>IV.</w:t>
      </w:r>
      <w:r>
        <w:rPr>
          <w:rFonts w:ascii="Cambria" w:hAnsi="Cambria"/>
          <w:bCs/>
        </w:rPr>
        <w:t xml:space="preserve"> Apresente qualquer oferta de vantagem não prevista neste Edital, bem como preço ou vantagem baseada nas ofertas dos demais licitantes, e ainda financiamentos subsidiados ou a fundo perdido.</w:t>
      </w:r>
    </w:p>
    <w:p w14:paraId="671BAC65">
      <w:pPr>
        <w:widowControl w:val="0"/>
        <w:tabs>
          <w:tab w:val="left" w:pos="850"/>
          <w:tab w:val="left" w:pos="1211"/>
        </w:tabs>
        <w:spacing w:before="240" w:line="276" w:lineRule="auto"/>
        <w:jc w:val="both"/>
        <w:rPr>
          <w:rFonts w:ascii="Cambria" w:hAnsi="Cambria"/>
          <w:bCs/>
        </w:rPr>
      </w:pPr>
      <w:r>
        <w:rPr>
          <w:rFonts w:ascii="Cambria" w:hAnsi="Cambria"/>
          <w:b/>
        </w:rPr>
        <w:t>8.9</w:t>
      </w:r>
      <w:r>
        <w:rPr>
          <w:rFonts w:ascii="Cambria" w:hAnsi="Cambria"/>
          <w:bCs/>
        </w:rPr>
        <w:t xml:space="preserve"> A desclassificação das propostas será sempre fundamentada e registrada no sistema, com possibilidade de acompanhamento “</w:t>
      </w:r>
      <w:r>
        <w:rPr>
          <w:rFonts w:ascii="Cambria" w:hAnsi="Cambria"/>
          <w:bCs/>
          <w:i/>
          <w:iCs/>
        </w:rPr>
        <w:t>on-line</w:t>
      </w:r>
      <w:r>
        <w:rPr>
          <w:rFonts w:ascii="Cambria" w:hAnsi="Cambria"/>
          <w:bCs/>
        </w:rPr>
        <w:t>” pelos licitantes.</w:t>
      </w:r>
    </w:p>
    <w:p w14:paraId="7206D7D7">
      <w:pPr>
        <w:widowControl w:val="0"/>
        <w:tabs>
          <w:tab w:val="left" w:pos="850"/>
          <w:tab w:val="left" w:pos="1211"/>
        </w:tabs>
        <w:spacing w:before="240" w:line="276" w:lineRule="auto"/>
        <w:jc w:val="both"/>
        <w:rPr>
          <w:rFonts w:ascii="Cambria" w:hAnsi="Cambria"/>
          <w:bCs/>
        </w:rPr>
      </w:pPr>
      <w:r>
        <w:rPr>
          <w:rFonts w:ascii="Cambria" w:hAnsi="Cambria"/>
          <w:b/>
        </w:rPr>
        <w:t>8.10</w:t>
      </w:r>
      <w:r>
        <w:rPr>
          <w:rFonts w:ascii="Cambria" w:hAnsi="Cambria"/>
          <w:bCs/>
        </w:rPr>
        <w:t xml:space="preserve"> Erros no preenchimento da proposta não constituem motivo para sua desclassificação, esta poderá ser adequada pelo licitante, desde que não haja majoração do preço final.</w:t>
      </w:r>
    </w:p>
    <w:p w14:paraId="27B9EC8D">
      <w:pPr>
        <w:widowControl w:val="0"/>
        <w:tabs>
          <w:tab w:val="left" w:pos="850"/>
          <w:tab w:val="left" w:pos="1211"/>
        </w:tabs>
        <w:spacing w:before="240" w:line="276" w:lineRule="auto"/>
        <w:jc w:val="both"/>
        <w:rPr>
          <w:rFonts w:ascii="Cambria" w:hAnsi="Cambria"/>
          <w:bCs/>
        </w:rPr>
      </w:pPr>
      <w:r>
        <w:rPr>
          <w:rFonts w:ascii="Cambria" w:hAnsi="Cambria"/>
          <w:b/>
        </w:rPr>
        <w:t>8.11</w:t>
      </w:r>
      <w:r>
        <w:rPr>
          <w:rFonts w:ascii="Cambria" w:hAnsi="Cambria"/>
          <w:bCs/>
        </w:rPr>
        <w:t xml:space="preserve"> Ocorrendo divergência entre os valores unitários e o valor total prevalecerá o primeiro.</w:t>
      </w:r>
    </w:p>
    <w:p w14:paraId="7A904E59">
      <w:pPr>
        <w:widowControl w:val="0"/>
        <w:tabs>
          <w:tab w:val="left" w:pos="850"/>
          <w:tab w:val="left" w:pos="1211"/>
        </w:tabs>
        <w:spacing w:before="240" w:line="276" w:lineRule="auto"/>
        <w:jc w:val="both"/>
        <w:rPr>
          <w:rFonts w:ascii="Cambria" w:hAnsi="Cambria"/>
          <w:bCs/>
        </w:rPr>
      </w:pPr>
      <w:r>
        <w:rPr>
          <w:rFonts w:ascii="Cambria" w:hAnsi="Cambria"/>
          <w:b/>
        </w:rPr>
        <w:t>8.12</w:t>
      </w:r>
      <w:r>
        <w:rPr>
          <w:rFonts w:ascii="Cambria" w:hAnsi="Cambria"/>
          <w:bCs/>
        </w:rPr>
        <w:t xml:space="preserve"> A critério da Pregoeira poderão ser relevados erros ou omissões formais de que não resultem prejuízo para o entendimento das propostas.</w:t>
      </w:r>
    </w:p>
    <w:p w14:paraId="15CE1322">
      <w:pPr>
        <w:widowControl w:val="0"/>
        <w:tabs>
          <w:tab w:val="left" w:pos="850"/>
          <w:tab w:val="left" w:pos="1211"/>
        </w:tabs>
        <w:spacing w:before="240" w:line="276" w:lineRule="auto"/>
        <w:jc w:val="both"/>
        <w:rPr>
          <w:rFonts w:ascii="Cambria" w:hAnsi="Cambria"/>
          <w:bCs/>
        </w:rPr>
      </w:pPr>
      <w:r>
        <w:rPr>
          <w:rFonts w:ascii="Cambria" w:hAnsi="Cambria"/>
          <w:b/>
        </w:rPr>
        <w:t>8.13</w:t>
      </w:r>
      <w:r>
        <w:rPr>
          <w:rFonts w:ascii="Cambria" w:hAnsi="Cambria"/>
          <w:bCs/>
        </w:rPr>
        <w:t xml:space="preserve"> Sendo aceitável a oferta, será verificado o atendimento das condições habilitatórias da licitante que a tiver formulado, com base na documentação e proposta apresentada.</w:t>
      </w:r>
    </w:p>
    <w:p w14:paraId="6B3CEBC9">
      <w:pPr>
        <w:widowControl w:val="0"/>
        <w:tabs>
          <w:tab w:val="left" w:pos="850"/>
          <w:tab w:val="left" w:pos="1211"/>
        </w:tabs>
        <w:spacing w:before="240" w:line="276" w:lineRule="auto"/>
        <w:jc w:val="both"/>
        <w:rPr>
          <w:rFonts w:ascii="Cambria" w:hAnsi="Cambria"/>
          <w:bCs/>
        </w:rPr>
      </w:pPr>
      <w:r>
        <w:rPr>
          <w:rFonts w:ascii="Cambria" w:hAnsi="Cambria"/>
          <w:b/>
        </w:rPr>
        <w:t>8.14</w:t>
      </w:r>
      <w:r>
        <w:rPr>
          <w:rFonts w:ascii="Cambria" w:hAnsi="Cambria"/>
          <w:bCs/>
        </w:rPr>
        <w:t xml:space="preserve"> Se a proposta não for aceitável, se o licitante deixar de enviar a proposta, ou ainda, se não atender as exigências habilitatórias, a Pregoeira examinará a proposta subsequente e, assim sucessivamente, na ordem de classificação, até a apuração de uma proposta que atenda a este Edital.</w:t>
      </w:r>
    </w:p>
    <w:p w14:paraId="2DD733EB">
      <w:pPr>
        <w:widowControl w:val="0"/>
        <w:tabs>
          <w:tab w:val="left" w:pos="850"/>
          <w:tab w:val="left" w:pos="1211"/>
        </w:tabs>
        <w:spacing w:before="240" w:line="276" w:lineRule="auto"/>
        <w:ind w:firstLine="567"/>
        <w:jc w:val="both"/>
        <w:rPr>
          <w:rFonts w:ascii="Cambria" w:hAnsi="Cambria"/>
          <w:bCs/>
        </w:rPr>
      </w:pPr>
      <w:r>
        <w:rPr>
          <w:rFonts w:ascii="Cambria" w:hAnsi="Cambria"/>
          <w:b/>
        </w:rPr>
        <w:t>I.</w:t>
      </w:r>
      <w:r>
        <w:rPr>
          <w:rFonts w:ascii="Cambria" w:hAnsi="Cambria"/>
          <w:bCs/>
        </w:rPr>
        <w:t xml:space="preserve"> No caso previsto no subitem 8.14, a Pregoeira deverá negociar com a licitante, para que seja obtido melhor preço.</w:t>
      </w:r>
    </w:p>
    <w:p w14:paraId="69200CB3">
      <w:pPr>
        <w:widowControl w:val="0"/>
        <w:tabs>
          <w:tab w:val="left" w:pos="850"/>
          <w:tab w:val="left" w:pos="1211"/>
        </w:tabs>
        <w:spacing w:before="240" w:line="276" w:lineRule="auto"/>
        <w:jc w:val="both"/>
        <w:rPr>
          <w:rFonts w:ascii="Cambria" w:hAnsi="Cambria"/>
        </w:rPr>
      </w:pPr>
      <w:r>
        <w:rPr>
          <w:rFonts w:ascii="Cambria" w:hAnsi="Cambria"/>
          <w:b/>
        </w:rPr>
        <w:t>8.15</w:t>
      </w:r>
      <w:r>
        <w:rPr>
          <w:rFonts w:ascii="Cambria" w:hAnsi="Cambria"/>
        </w:rPr>
        <w:t xml:space="preserve"> Constatado o atendimento às exigências fixadas neste Edital, à licitante terá a sua proposta aceita.</w:t>
      </w:r>
    </w:p>
    <w:p w14:paraId="0D9429FE">
      <w:pPr>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tabs>
          <w:tab w:val="left" w:pos="1701"/>
        </w:tabs>
        <w:spacing w:before="240" w:line="276" w:lineRule="auto"/>
        <w:jc w:val="both"/>
        <w:rPr>
          <w:rFonts w:ascii="Cambria" w:hAnsi="Cambria"/>
          <w:b/>
          <w:bCs/>
        </w:rPr>
      </w:pPr>
      <w:r>
        <w:rPr>
          <w:rFonts w:ascii="Cambria" w:hAnsi="Cambria"/>
          <w:b/>
          <w:bCs/>
        </w:rPr>
        <w:t xml:space="preserve">09. DA HABILITAÇÃO </w:t>
      </w:r>
    </w:p>
    <w:p w14:paraId="081B9C2A">
      <w:pPr>
        <w:widowControl w:val="0"/>
        <w:tabs>
          <w:tab w:val="left" w:pos="850"/>
          <w:tab w:val="left" w:pos="1211"/>
        </w:tabs>
        <w:spacing w:before="240" w:line="276" w:lineRule="auto"/>
        <w:jc w:val="both"/>
        <w:rPr>
          <w:rFonts w:ascii="Cambria" w:hAnsi="Cambria"/>
        </w:rPr>
      </w:pPr>
      <w:r>
        <w:rPr>
          <w:rFonts w:ascii="Cambria" w:hAnsi="Cambria"/>
          <w:b/>
        </w:rPr>
        <w:t>9.1</w:t>
      </w:r>
      <w:r>
        <w:rPr>
          <w:rFonts w:ascii="Cambria" w:hAnsi="Cambria"/>
        </w:rPr>
        <w:t xml:space="preserve"> Será exigida a apresentação dos documentos de habilitação apenas da licitante vencedora.</w:t>
      </w:r>
    </w:p>
    <w:p w14:paraId="2642B527">
      <w:pPr>
        <w:widowControl w:val="0"/>
        <w:tabs>
          <w:tab w:val="left" w:pos="850"/>
          <w:tab w:val="left" w:pos="1211"/>
        </w:tabs>
        <w:spacing w:before="240" w:line="276" w:lineRule="auto"/>
        <w:jc w:val="both"/>
        <w:rPr>
          <w:rFonts w:ascii="Cambria" w:hAnsi="Cambria"/>
          <w:b/>
        </w:rPr>
      </w:pPr>
      <w:r>
        <w:rPr>
          <w:rFonts w:ascii="Cambria" w:hAnsi="Cambria"/>
          <w:b/>
        </w:rPr>
        <w:t>9.2 Para fins de habilitação a licitante deverá apresentar toda documentação exigida neste edital no prazo de 02 (duas) horas, a contar da convocação pela Pregoeira em campo próprio do sistema Bolsa Nacional de Compras – BNC.</w:t>
      </w:r>
    </w:p>
    <w:p w14:paraId="682C4DFE">
      <w:pPr>
        <w:widowControl w:val="0"/>
        <w:tabs>
          <w:tab w:val="left" w:pos="850"/>
          <w:tab w:val="left" w:pos="1211"/>
        </w:tabs>
        <w:spacing w:before="240" w:line="276" w:lineRule="auto"/>
        <w:ind w:firstLine="567"/>
        <w:jc w:val="both"/>
        <w:rPr>
          <w:rFonts w:ascii="Cambria" w:hAnsi="Cambria"/>
        </w:rPr>
      </w:pPr>
      <w:r>
        <w:rPr>
          <w:rFonts w:ascii="Cambria" w:hAnsi="Cambria"/>
          <w:b/>
        </w:rPr>
        <w:t>I.</w:t>
      </w:r>
      <w:r>
        <w:rPr>
          <w:rFonts w:ascii="Cambria" w:hAnsi="Cambria"/>
        </w:rPr>
        <w:t xml:space="preserve"> Os documentos de cunho habilitatório já constantes do SICAF poderão deixar de ser juntados pelo licitante desde que estejam e mantenham-se devidamente atualizados no curso do certame e contenham todas as informações exigidas no Edital.</w:t>
      </w:r>
    </w:p>
    <w:p w14:paraId="06B8E54A">
      <w:pPr>
        <w:widowControl w:val="0"/>
        <w:tabs>
          <w:tab w:val="left" w:pos="850"/>
          <w:tab w:val="left" w:pos="1211"/>
        </w:tabs>
        <w:spacing w:before="240" w:line="276" w:lineRule="auto"/>
        <w:ind w:firstLine="567"/>
        <w:jc w:val="both"/>
        <w:rPr>
          <w:rFonts w:ascii="Cambria" w:hAnsi="Cambria"/>
        </w:rPr>
      </w:pPr>
      <w:r>
        <w:rPr>
          <w:rFonts w:ascii="Cambria" w:hAnsi="Cambria"/>
          <w:b/>
        </w:rPr>
        <w:t>II.</w:t>
      </w:r>
      <w:r>
        <w:rPr>
          <w:rFonts w:ascii="Cambria" w:hAnsi="Cambria"/>
        </w:rPr>
        <w:t xml:space="preserve"> A licitante poderá optar por anexar seus documentos de habilitação na Bolsa Nacional de Compras – BNC, de modo a evitar inconvenientes ou inviabilidade de acesso a estes documentos, que possam resultar em sua inabilitação, caso não conste toda documentação no SICAF ou seu cadastro não esteja efetivamente atualizado junto ao mesmo.</w:t>
      </w:r>
    </w:p>
    <w:p w14:paraId="58597685">
      <w:pPr>
        <w:widowControl w:val="0"/>
        <w:tabs>
          <w:tab w:val="left" w:pos="850"/>
          <w:tab w:val="left" w:pos="1211"/>
        </w:tabs>
        <w:spacing w:before="240" w:line="276" w:lineRule="auto"/>
        <w:jc w:val="both"/>
        <w:rPr>
          <w:rFonts w:ascii="Cambria" w:hAnsi="Cambria" w:cs="Arial"/>
        </w:rPr>
      </w:pPr>
      <w:r>
        <w:rPr>
          <w:rFonts w:ascii="Cambria" w:hAnsi="Cambria"/>
          <w:b/>
          <w:bCs/>
        </w:rPr>
        <w:t>9.3</w:t>
      </w:r>
      <w:r>
        <w:rPr>
          <w:rFonts w:ascii="Cambria" w:hAnsi="Cambria"/>
        </w:rPr>
        <w:t xml:space="preserve"> Após a apresentação da documentação de habilitação e expirado o prazo mencionado no subitem 9.2, fica vedada a substituição ou apresentação de novos documentos, salvo diligências, conforme art. 36, </w:t>
      </w:r>
      <w:r>
        <w:rPr>
          <w:rFonts w:ascii="Cambria" w:hAnsi="Cambria" w:cs="Arial"/>
        </w:rPr>
        <w:t>§ 2º, do Decreto Municipal nº 21, de 2024.</w:t>
      </w:r>
    </w:p>
    <w:p w14:paraId="315778BC">
      <w:pPr>
        <w:widowControl w:val="0"/>
        <w:tabs>
          <w:tab w:val="left" w:pos="850"/>
          <w:tab w:val="left" w:pos="1211"/>
        </w:tabs>
        <w:spacing w:before="240" w:line="276" w:lineRule="auto"/>
        <w:jc w:val="both"/>
        <w:rPr>
          <w:rFonts w:ascii="Cambria" w:hAnsi="Cambria"/>
        </w:rPr>
      </w:pPr>
      <w:r>
        <w:rPr>
          <w:rFonts w:ascii="Cambria" w:hAnsi="Cambria"/>
          <w:b/>
          <w:bCs/>
        </w:rPr>
        <w:t>9.4</w:t>
      </w:r>
      <w:r>
        <w:rPr>
          <w:rFonts w:ascii="Cambria" w:hAnsi="Cambria"/>
        </w:rPr>
        <w:t xml:space="preserve"> Não serão aceitos como documentação hábil a suprir exigências deste Edital pedidos de inscrição, protocolos, cartas ou quaisquer outros documentos que visem a substituir os exigidos.</w:t>
      </w:r>
    </w:p>
    <w:p w14:paraId="7632FF26">
      <w:pPr>
        <w:widowControl w:val="0"/>
        <w:tabs>
          <w:tab w:val="left" w:pos="850"/>
          <w:tab w:val="left" w:pos="1211"/>
        </w:tabs>
        <w:spacing w:before="240" w:line="276" w:lineRule="auto"/>
        <w:jc w:val="both"/>
        <w:rPr>
          <w:rFonts w:ascii="Cambria" w:hAnsi="Cambria"/>
        </w:rPr>
      </w:pPr>
      <w:r>
        <w:rPr>
          <w:rFonts w:ascii="Cambria" w:hAnsi="Cambria"/>
          <w:b/>
          <w:bCs/>
        </w:rPr>
        <w:t>9.5</w:t>
      </w:r>
      <w:r>
        <w:rPr>
          <w:rFonts w:ascii="Cambria" w:hAnsi="Cambria"/>
        </w:rPr>
        <w:t xml:space="preserve"> Se os Certificados, Declarações, Registros e Certidões não tiverem prazo de validade declarado no próprio documento, da mesma forma que não conste previsão em legislação específica, os referidos documentos deverão ter sido emitidos há, no máximo 60 (sessenta) dias, contados da data de convocação da Agente de Contratação/Pregoeira para apresentar os documentos de habilitação.</w:t>
      </w:r>
    </w:p>
    <w:p w14:paraId="7E40FD74">
      <w:pPr>
        <w:widowControl w:val="0"/>
        <w:tabs>
          <w:tab w:val="left" w:pos="850"/>
          <w:tab w:val="left" w:pos="1211"/>
        </w:tabs>
        <w:spacing w:before="240" w:line="276" w:lineRule="auto"/>
        <w:jc w:val="both"/>
        <w:rPr>
          <w:rFonts w:ascii="Cambria" w:hAnsi="Cambria"/>
        </w:rPr>
      </w:pPr>
      <w:r>
        <w:rPr>
          <w:rFonts w:ascii="Cambria" w:hAnsi="Cambria"/>
          <w:b/>
        </w:rPr>
        <w:t>9.6</w:t>
      </w:r>
      <w:r>
        <w:rPr>
          <w:rFonts w:ascii="Cambria" w:hAnsi="Cambria"/>
        </w:rPr>
        <w:t xml:space="preserve"> Como condição prévia ao exame da documentação de habilitação do licitante detentor da proposta classificada em primeiro lugar, a Pregoeira verificará eventual descumprimento das condições de participação, especialmente quanto à existência de sanção de impeça a participação no certame ou a futura contratação, mediante a consulta ao SICAF.</w:t>
      </w:r>
    </w:p>
    <w:p w14:paraId="1E48467A">
      <w:pPr>
        <w:widowControl w:val="0"/>
        <w:tabs>
          <w:tab w:val="left" w:pos="850"/>
          <w:tab w:val="left" w:pos="1211"/>
        </w:tabs>
        <w:spacing w:before="240" w:line="276" w:lineRule="auto"/>
        <w:jc w:val="both"/>
        <w:rPr>
          <w:rFonts w:ascii="Cambria" w:hAnsi="Cambria"/>
        </w:rPr>
      </w:pPr>
      <w:r>
        <w:rPr>
          <w:rFonts w:ascii="Cambria" w:hAnsi="Cambria"/>
          <w:b/>
        </w:rPr>
        <w:t xml:space="preserve">9.7 </w:t>
      </w:r>
      <w:r>
        <w:rPr>
          <w:rFonts w:ascii="Cambria" w:hAnsi="Cambria"/>
        </w:rPr>
        <w:t xml:space="preserve">A documentação relativa à </w:t>
      </w:r>
      <w:r>
        <w:rPr>
          <w:rFonts w:ascii="Cambria" w:hAnsi="Cambria"/>
          <w:b/>
        </w:rPr>
        <w:t>Habilitação</w:t>
      </w:r>
      <w:r>
        <w:rPr>
          <w:rFonts w:ascii="Cambria" w:hAnsi="Cambria"/>
        </w:rPr>
        <w:t xml:space="preserve"> deverá ser apresentada em conformidade com a relação descrita a seguir relacionados os quais dizem respeito a:</w:t>
      </w:r>
    </w:p>
    <w:p w14:paraId="55C46932">
      <w:pPr>
        <w:widowControl w:val="0"/>
        <w:tabs>
          <w:tab w:val="left" w:pos="850"/>
          <w:tab w:val="left" w:pos="1211"/>
        </w:tabs>
        <w:spacing w:before="240" w:line="276" w:lineRule="auto"/>
        <w:ind w:firstLine="567"/>
        <w:jc w:val="both"/>
        <w:rPr>
          <w:rFonts w:ascii="Cambria" w:hAnsi="Cambria"/>
          <w:b/>
        </w:rPr>
      </w:pPr>
      <w:r>
        <w:rPr>
          <w:rFonts w:ascii="Cambria" w:hAnsi="Cambria"/>
          <w:b/>
        </w:rPr>
        <w:t>I. HABILITAÇÃO JURÍDICA</w:t>
      </w:r>
    </w:p>
    <w:p w14:paraId="6B0489D0">
      <w:pPr>
        <w:widowControl w:val="0"/>
        <w:tabs>
          <w:tab w:val="left" w:pos="850"/>
          <w:tab w:val="left" w:pos="1211"/>
        </w:tabs>
        <w:spacing w:before="240" w:line="276" w:lineRule="auto"/>
        <w:ind w:left="567" w:firstLine="567"/>
        <w:jc w:val="both"/>
        <w:rPr>
          <w:rFonts w:ascii="Cambria" w:hAnsi="Cambria"/>
        </w:rPr>
      </w:pPr>
      <w:r>
        <w:rPr>
          <w:rFonts w:ascii="Cambria" w:hAnsi="Cambria"/>
          <w:b/>
        </w:rPr>
        <w:t xml:space="preserve">a) </w:t>
      </w:r>
      <w:r>
        <w:rPr>
          <w:rFonts w:ascii="Cambria" w:hAnsi="Cambria"/>
        </w:rPr>
        <w:t xml:space="preserve">Documento oficial de identificação que contenha foto dos </w:t>
      </w:r>
      <w:r>
        <w:rPr>
          <w:rFonts w:ascii="Cambria" w:hAnsi="Cambria"/>
          <w:b/>
        </w:rPr>
        <w:t>Sócios Administradores da Empresa.</w:t>
      </w:r>
    </w:p>
    <w:p w14:paraId="2827EAEC">
      <w:pPr>
        <w:tabs>
          <w:tab w:val="left" w:pos="1701"/>
        </w:tabs>
        <w:spacing w:before="240" w:line="276" w:lineRule="auto"/>
        <w:ind w:left="567" w:firstLine="567"/>
        <w:jc w:val="both"/>
        <w:rPr>
          <w:rFonts w:ascii="Cambria" w:hAnsi="Cambria"/>
        </w:rPr>
      </w:pPr>
      <w:r>
        <w:rPr>
          <w:rFonts w:ascii="Cambria" w:hAnsi="Cambria"/>
          <w:b/>
        </w:rPr>
        <w:t>b)</w:t>
      </w:r>
      <w:r>
        <w:rPr>
          <w:rFonts w:ascii="Cambria" w:hAnsi="Cambria"/>
        </w:rPr>
        <w:t> Certidão de Registro Comercial (no caso de empresa individual); ou</w:t>
      </w:r>
    </w:p>
    <w:p w14:paraId="1E6C2B0A">
      <w:pPr>
        <w:tabs>
          <w:tab w:val="left" w:pos="1701"/>
        </w:tabs>
        <w:spacing w:before="240" w:line="276" w:lineRule="auto"/>
        <w:ind w:left="567" w:firstLine="567"/>
        <w:jc w:val="both"/>
        <w:rPr>
          <w:rFonts w:ascii="Cambria" w:hAnsi="Cambria"/>
        </w:rPr>
      </w:pPr>
      <w:r>
        <w:rPr>
          <w:rFonts w:ascii="Cambria" w:hAnsi="Cambria"/>
          <w:b/>
        </w:rPr>
        <w:t>c)</w:t>
      </w:r>
      <w:r>
        <w:rPr>
          <w:rFonts w:ascii="Cambria" w:hAnsi="Cambria"/>
        </w:rPr>
        <w:t> Ato constitutivo, Estatuto ou Contrato Social em vigor, devidamente registrado, em se tratando de sociedades comerciais e, no caso de sociedades por ações, acompanhado de documentos de eleição de seus administradores, expedido pelo Registro do Comércio ou Junta Comercial;</w:t>
      </w:r>
    </w:p>
    <w:p w14:paraId="36BBE72A">
      <w:pPr>
        <w:tabs>
          <w:tab w:val="left" w:pos="1701"/>
        </w:tabs>
        <w:spacing w:before="240" w:line="276" w:lineRule="auto"/>
        <w:ind w:left="567" w:firstLine="567"/>
        <w:jc w:val="both"/>
        <w:rPr>
          <w:rFonts w:ascii="Cambria" w:hAnsi="Cambria"/>
        </w:rPr>
      </w:pPr>
      <w:r>
        <w:rPr>
          <w:rFonts w:ascii="Cambria" w:hAnsi="Cambria"/>
          <w:b/>
        </w:rPr>
        <w:t>d)</w:t>
      </w:r>
      <w:r>
        <w:rPr>
          <w:rFonts w:ascii="Cambria" w:hAnsi="Cambria"/>
        </w:rPr>
        <w:t> Inscrição do ato constitutivo no caso de sociedades civis, acompanhada de prova de registro de ata de eleição da diretoria em exercício (Registro Civil das Pessoas Jurídicas);</w:t>
      </w:r>
    </w:p>
    <w:p w14:paraId="61A00980">
      <w:pPr>
        <w:widowControl w:val="0"/>
        <w:tabs>
          <w:tab w:val="left" w:pos="850"/>
          <w:tab w:val="left" w:pos="1211"/>
        </w:tabs>
        <w:spacing w:before="240" w:line="276" w:lineRule="auto"/>
        <w:ind w:left="567" w:firstLine="567"/>
        <w:jc w:val="both"/>
        <w:rPr>
          <w:rFonts w:ascii="Cambria" w:hAnsi="Cambria"/>
        </w:rPr>
      </w:pPr>
      <w:r>
        <w:rPr>
          <w:rFonts w:ascii="Cambria" w:hAnsi="Cambria"/>
          <w:b/>
        </w:rPr>
        <w:t>e)</w:t>
      </w:r>
      <w:r>
        <w:rPr>
          <w:rFonts w:ascii="Cambria" w:hAnsi="Cambria"/>
        </w:rPr>
        <w:t> Decreto de autorização, em se tratando de empresa ou sociedade estrangeira em funcionamento no país, e ato de registro ou autorização para funcionamento expedido pelo órgão competente, quando a atividade assim o exigir.</w:t>
      </w:r>
    </w:p>
    <w:p w14:paraId="53996C22">
      <w:pPr>
        <w:tabs>
          <w:tab w:val="left" w:pos="1701"/>
        </w:tabs>
        <w:spacing w:before="240" w:line="276" w:lineRule="auto"/>
        <w:ind w:firstLine="567"/>
        <w:jc w:val="both"/>
        <w:rPr>
          <w:rFonts w:ascii="Cambria" w:hAnsi="Cambria"/>
          <w:b/>
        </w:rPr>
      </w:pPr>
      <w:r>
        <w:rPr>
          <w:rFonts w:ascii="Cambria" w:hAnsi="Cambria"/>
          <w:b/>
        </w:rPr>
        <w:t>II.</w:t>
      </w:r>
      <w:r>
        <w:rPr>
          <w:rFonts w:ascii="Cambria" w:hAnsi="Cambria"/>
        </w:rPr>
        <w:t xml:space="preserve"> </w:t>
      </w:r>
      <w:r>
        <w:rPr>
          <w:rFonts w:ascii="Cambria" w:hAnsi="Cambria"/>
          <w:b/>
        </w:rPr>
        <w:t>REGULARIDADE FISCAL, SOCIAL E TRABALHISTA</w:t>
      </w:r>
    </w:p>
    <w:p w14:paraId="3FD63F20">
      <w:pPr>
        <w:pStyle w:val="22"/>
        <w:spacing w:before="240" w:line="276" w:lineRule="auto"/>
        <w:ind w:left="567" w:firstLine="567"/>
        <w:jc w:val="both"/>
        <w:rPr>
          <w:rFonts w:ascii="Cambria" w:hAnsi="Cambria"/>
        </w:rPr>
      </w:pPr>
      <w:r>
        <w:rPr>
          <w:rFonts w:ascii="Cambria" w:hAnsi="Cambria"/>
          <w:b/>
        </w:rPr>
        <w:t>a)</w:t>
      </w:r>
      <w:r>
        <w:rPr>
          <w:rFonts w:ascii="Cambria" w:hAnsi="Cambria"/>
        </w:rPr>
        <w:t xml:space="preserve"> Prova de inscrição no Cadastro Nacional da Pessoa Jurídica (CNPJ);</w:t>
      </w:r>
    </w:p>
    <w:p w14:paraId="1940823F">
      <w:pPr>
        <w:pStyle w:val="22"/>
        <w:spacing w:before="240" w:line="276" w:lineRule="auto"/>
        <w:ind w:left="567" w:firstLine="567"/>
        <w:jc w:val="both"/>
        <w:rPr>
          <w:rFonts w:ascii="Cambria" w:hAnsi="Cambria"/>
        </w:rPr>
      </w:pPr>
      <w:r>
        <w:rPr>
          <w:rFonts w:ascii="Cambria" w:hAnsi="Cambria"/>
          <w:b/>
        </w:rPr>
        <w:t>b)</w:t>
      </w:r>
      <w:r>
        <w:rPr>
          <w:rFonts w:ascii="Cambria" w:hAnsi="Cambria"/>
        </w:rPr>
        <w:t xml:space="preserve"> Prova de inscrição no cadastro de contribuintes </w:t>
      </w:r>
      <w:r>
        <w:rPr>
          <w:rFonts w:ascii="Cambria" w:hAnsi="Cambria"/>
          <w:b/>
        </w:rPr>
        <w:t>Estadual</w:t>
      </w:r>
      <w:r>
        <w:rPr>
          <w:rFonts w:ascii="Cambria" w:hAnsi="Cambria"/>
        </w:rPr>
        <w:t xml:space="preserve"> </w:t>
      </w:r>
      <w:r>
        <w:rPr>
          <w:rFonts w:ascii="Cambria" w:hAnsi="Cambria"/>
          <w:i/>
          <w:u w:val="single"/>
        </w:rPr>
        <w:t>ou</w:t>
      </w:r>
      <w:r>
        <w:rPr>
          <w:rFonts w:ascii="Cambria" w:hAnsi="Cambria"/>
        </w:rPr>
        <w:t xml:space="preserve"> </w:t>
      </w:r>
      <w:r>
        <w:rPr>
          <w:rFonts w:ascii="Cambria" w:hAnsi="Cambria"/>
          <w:b/>
        </w:rPr>
        <w:t>Municipal</w:t>
      </w:r>
      <w:r>
        <w:rPr>
          <w:rFonts w:ascii="Cambria" w:hAnsi="Cambria"/>
        </w:rPr>
        <w:t>, se houver, relativo ao domicílio ou sede da licitante, pertinente ao seu ramo de atividade e compatível com o objeto licitado;</w:t>
      </w:r>
    </w:p>
    <w:p w14:paraId="5AD179A3">
      <w:pPr>
        <w:pStyle w:val="22"/>
        <w:spacing w:before="240" w:line="276" w:lineRule="auto"/>
        <w:ind w:left="567" w:firstLine="567"/>
        <w:jc w:val="both"/>
        <w:rPr>
          <w:rFonts w:ascii="Cambria" w:hAnsi="Cambria"/>
        </w:rPr>
      </w:pPr>
      <w:r>
        <w:rPr>
          <w:rFonts w:ascii="Cambria" w:hAnsi="Cambria"/>
          <w:b/>
        </w:rPr>
        <w:t>c)</w:t>
      </w:r>
      <w:r>
        <w:rPr>
          <w:rFonts w:ascii="Cambria" w:hAnsi="Cambria"/>
        </w:rPr>
        <w:t xml:space="preserve"> Prova de regularidade com a </w:t>
      </w:r>
      <w:r>
        <w:rPr>
          <w:rFonts w:ascii="Cambria" w:hAnsi="Cambria"/>
          <w:b/>
        </w:rPr>
        <w:t>Fazenda Federal/INSS</w:t>
      </w:r>
      <w:r>
        <w:rPr>
          <w:rFonts w:ascii="Cambria" w:hAnsi="Cambria"/>
        </w:rPr>
        <w:t xml:space="preserve"> (Certidão Negativa de Tributos e Contribuições Federais e Dívida Ativa da União);</w:t>
      </w:r>
    </w:p>
    <w:p w14:paraId="31343862">
      <w:pPr>
        <w:pStyle w:val="22"/>
        <w:spacing w:before="240" w:line="276" w:lineRule="auto"/>
        <w:ind w:left="567" w:firstLine="567"/>
        <w:jc w:val="both"/>
        <w:rPr>
          <w:rFonts w:ascii="Cambria" w:hAnsi="Cambria"/>
        </w:rPr>
      </w:pPr>
      <w:r>
        <w:rPr>
          <w:rFonts w:ascii="Cambria" w:hAnsi="Cambria"/>
          <w:b/>
        </w:rPr>
        <w:t>d)</w:t>
      </w:r>
      <w:r>
        <w:rPr>
          <w:rFonts w:ascii="Cambria" w:hAnsi="Cambria"/>
        </w:rPr>
        <w:t xml:space="preserve"> Prova de regularidade com a </w:t>
      </w:r>
      <w:r>
        <w:rPr>
          <w:rFonts w:ascii="Cambria" w:hAnsi="Cambria"/>
          <w:b/>
        </w:rPr>
        <w:t>Fazenda Estadual</w:t>
      </w:r>
      <w:r>
        <w:rPr>
          <w:rFonts w:ascii="Cambria" w:hAnsi="Cambria"/>
        </w:rPr>
        <w:t xml:space="preserve"> (Certidão Negativa de Débitos relativa ao ICMS);</w:t>
      </w:r>
    </w:p>
    <w:p w14:paraId="3B63DD18">
      <w:pPr>
        <w:pStyle w:val="22"/>
        <w:spacing w:before="240" w:line="276" w:lineRule="auto"/>
        <w:ind w:left="567" w:firstLine="567"/>
        <w:jc w:val="both"/>
        <w:rPr>
          <w:rFonts w:ascii="Cambria" w:hAnsi="Cambria"/>
        </w:rPr>
      </w:pPr>
      <w:r>
        <w:rPr>
          <w:rFonts w:ascii="Cambria" w:hAnsi="Cambria"/>
          <w:b/>
        </w:rPr>
        <w:t>e)</w:t>
      </w:r>
      <w:r>
        <w:rPr>
          <w:rFonts w:ascii="Cambria" w:hAnsi="Cambria"/>
        </w:rPr>
        <w:t xml:space="preserve"> Prova de regularidade com a </w:t>
      </w:r>
      <w:r>
        <w:rPr>
          <w:rFonts w:ascii="Cambria" w:hAnsi="Cambria"/>
          <w:b/>
        </w:rPr>
        <w:t>Fazenda</w:t>
      </w:r>
      <w:r>
        <w:rPr>
          <w:rFonts w:ascii="Cambria" w:hAnsi="Cambria"/>
        </w:rPr>
        <w:t xml:space="preserve"> </w:t>
      </w:r>
      <w:r>
        <w:rPr>
          <w:rFonts w:ascii="Cambria" w:hAnsi="Cambria"/>
          <w:b/>
        </w:rPr>
        <w:t>Municipal</w:t>
      </w:r>
      <w:r>
        <w:rPr>
          <w:rFonts w:ascii="Cambria" w:hAnsi="Cambria"/>
        </w:rPr>
        <w:t xml:space="preserve"> (Certidão Negativa de Débitos) da sede da firma interessada, mediante Certidão Negativa expedida pelo Município, ou outra equivalente na forma da Lei, com prazo de validade em vigor;</w:t>
      </w:r>
    </w:p>
    <w:p w14:paraId="0125C53A">
      <w:pPr>
        <w:pStyle w:val="22"/>
        <w:spacing w:before="240" w:line="276" w:lineRule="auto"/>
        <w:ind w:left="567" w:firstLine="567"/>
        <w:jc w:val="both"/>
        <w:rPr>
          <w:rFonts w:ascii="Cambria" w:hAnsi="Cambria"/>
        </w:rPr>
      </w:pPr>
      <w:r>
        <w:rPr>
          <w:rFonts w:ascii="Cambria" w:hAnsi="Cambria"/>
          <w:b/>
        </w:rPr>
        <w:t>f)</w:t>
      </w:r>
      <w:r>
        <w:rPr>
          <w:rFonts w:ascii="Cambria" w:hAnsi="Cambria"/>
        </w:rPr>
        <w:t xml:space="preserve"> Prova de regularidade relativa ao </w:t>
      </w:r>
      <w:r>
        <w:rPr>
          <w:rFonts w:ascii="Cambria" w:hAnsi="Cambria"/>
          <w:b/>
        </w:rPr>
        <w:t>Fundo de Garantia por Tempo de Serviço</w:t>
      </w:r>
      <w:r>
        <w:rPr>
          <w:rFonts w:ascii="Cambria" w:hAnsi="Cambria"/>
        </w:rPr>
        <w:t xml:space="preserve"> (FGTS), através do Certificado de Regularidade ou do documento denominado "Situação de Regularidade do Empregador", demonstrando situação regular no cumprimento dos encargos sociais instituídos por lei, com prazo de validade em vigor.</w:t>
      </w:r>
    </w:p>
    <w:p w14:paraId="210BFDF1">
      <w:pPr>
        <w:widowControl w:val="0"/>
        <w:tabs>
          <w:tab w:val="left" w:pos="850"/>
          <w:tab w:val="left" w:pos="1211"/>
        </w:tabs>
        <w:spacing w:before="240" w:line="276" w:lineRule="auto"/>
        <w:ind w:left="567" w:firstLine="567"/>
        <w:jc w:val="both"/>
        <w:rPr>
          <w:rFonts w:ascii="Cambria" w:hAnsi="Cambria"/>
        </w:rPr>
      </w:pPr>
      <w:r>
        <w:rPr>
          <w:rFonts w:ascii="Cambria" w:hAnsi="Cambria"/>
          <w:b/>
        </w:rPr>
        <w:t>g)</w:t>
      </w:r>
      <w:r>
        <w:rPr>
          <w:rFonts w:ascii="Cambria" w:hAnsi="Cambria"/>
        </w:rPr>
        <w:t xml:space="preserve"> </w:t>
      </w:r>
      <w:r>
        <w:rPr>
          <w:rFonts w:ascii="Cambria" w:hAnsi="Cambria"/>
          <w:b/>
        </w:rPr>
        <w:t>Certidão Negativa de Débitos Trabalhistas</w:t>
      </w:r>
      <w:r>
        <w:rPr>
          <w:rFonts w:ascii="Cambria" w:hAnsi="Cambria"/>
        </w:rPr>
        <w:t>, ou seja, prova de inexistência de débitos inadimplidos perante a Justiça do Trabalho, mediante a apresentação de certidão negativa, nos termos do Título VII-A da Consolidação das Leis do Trabalho, aprovada pelo Decreto-Lei n</w:t>
      </w:r>
      <w:r>
        <w:rPr>
          <w:rFonts w:ascii="Cambria" w:hAnsi="Cambria"/>
          <w:u w:val="single"/>
          <w:vertAlign w:val="superscript"/>
        </w:rPr>
        <w:t>o</w:t>
      </w:r>
      <w:r>
        <w:rPr>
          <w:rFonts w:ascii="Cambria" w:hAnsi="Cambria"/>
        </w:rPr>
        <w:t xml:space="preserve"> 5.452, de 1</w:t>
      </w:r>
      <w:r>
        <w:rPr>
          <w:rFonts w:ascii="Cambria" w:hAnsi="Cambria"/>
          <w:u w:val="single"/>
          <w:vertAlign w:val="superscript"/>
        </w:rPr>
        <w:t>o</w:t>
      </w:r>
      <w:r>
        <w:rPr>
          <w:rFonts w:ascii="Cambria" w:hAnsi="Cambria"/>
        </w:rPr>
        <w:t xml:space="preserve"> de maio de 1943 e da Lei Federal nº 12.440, de 2011.</w:t>
      </w:r>
    </w:p>
    <w:p w14:paraId="6419BF0C">
      <w:pPr>
        <w:tabs>
          <w:tab w:val="left" w:pos="1701"/>
        </w:tabs>
        <w:spacing w:before="240" w:line="276" w:lineRule="auto"/>
        <w:ind w:firstLine="567"/>
        <w:jc w:val="both"/>
        <w:rPr>
          <w:rFonts w:ascii="Cambria" w:hAnsi="Cambria"/>
        </w:rPr>
      </w:pPr>
      <w:r>
        <w:rPr>
          <w:rFonts w:ascii="Cambria" w:hAnsi="Cambria"/>
          <w:b/>
        </w:rPr>
        <w:t>III. QUALIFICAÇÃO ECONÔMICA - FINANCEIRA</w:t>
      </w:r>
    </w:p>
    <w:p w14:paraId="4AC3130D">
      <w:pPr>
        <w:widowControl w:val="0"/>
        <w:tabs>
          <w:tab w:val="left" w:pos="850"/>
          <w:tab w:val="left" w:pos="1211"/>
        </w:tabs>
        <w:spacing w:before="240" w:line="276" w:lineRule="auto"/>
        <w:ind w:left="567" w:firstLine="567"/>
        <w:jc w:val="both"/>
        <w:rPr>
          <w:rFonts w:ascii="Cambria" w:hAnsi="Cambria"/>
        </w:rPr>
      </w:pPr>
      <w:r>
        <w:rPr>
          <w:rFonts w:ascii="Cambria" w:hAnsi="Cambria"/>
          <w:b/>
        </w:rPr>
        <w:t>a) Certidão Negativa de Feitos sobre Falência</w:t>
      </w:r>
      <w:r>
        <w:rPr>
          <w:rFonts w:ascii="Cambria" w:hAnsi="Cambria"/>
        </w:rPr>
        <w:t>, expedida pelo Cartório Distribuidor da sede da licitante, com data de emissão de, no máximo, 60 (sessenta) dias anteriores à convocação da Agente de Contratação/Pregoeira para apresentar os documentos de habilitação, ou dentro do prazo de validade constante no documento.</w:t>
      </w:r>
    </w:p>
    <w:p w14:paraId="4125E3E8">
      <w:pPr>
        <w:spacing w:before="240" w:line="276" w:lineRule="auto"/>
        <w:ind w:left="567" w:firstLine="567"/>
        <w:jc w:val="both"/>
        <w:rPr>
          <w:rFonts w:ascii="Cambria" w:hAnsi="Cambria" w:eastAsia="Helvetica" w:cs="Arial"/>
        </w:rPr>
      </w:pPr>
      <w:r>
        <w:rPr>
          <w:rFonts w:ascii="Cambria" w:hAnsi="Cambria" w:cs="Arial"/>
          <w:b/>
        </w:rPr>
        <w:t xml:space="preserve">b) Balanço Patrimonial, </w:t>
      </w:r>
      <w:r>
        <w:rPr>
          <w:rFonts w:ascii="Cambria" w:hAnsi="Cambria" w:cs="Arial"/>
          <w:bCs/>
        </w:rPr>
        <w:t>demonstração de resultado de exercício e demais demonstrações contábeis dos 02 (dois) últimos exercícios sociais</w:t>
      </w:r>
      <w:r>
        <w:rPr>
          <w:rFonts w:ascii="Cambria" w:hAnsi="Cambria" w:eastAsia="Helvetica" w:cs="Arial"/>
        </w:rPr>
        <w:t>.</w:t>
      </w:r>
    </w:p>
    <w:p w14:paraId="29FADC40">
      <w:pPr>
        <w:spacing w:before="240" w:line="276" w:lineRule="auto"/>
        <w:ind w:left="1134" w:firstLine="567"/>
        <w:jc w:val="both"/>
        <w:rPr>
          <w:rFonts w:ascii="Cambria" w:hAnsi="Cambria" w:eastAsia="Helvetica" w:cs="Arial"/>
        </w:rPr>
      </w:pPr>
      <w:r>
        <w:rPr>
          <w:rFonts w:ascii="Cambria" w:hAnsi="Cambria" w:eastAsia="Helvetica" w:cs="Arial"/>
          <w:b/>
          <w:bCs/>
        </w:rPr>
        <w:t>1.</w:t>
      </w:r>
      <w:r>
        <w:rPr>
          <w:rFonts w:ascii="Cambria" w:hAnsi="Cambria" w:eastAsia="Helvetica" w:cs="Arial"/>
        </w:rPr>
        <w:t xml:space="preserve"> A boa situação financeira da licitante terá por base a verificação dos índices de Liquidez Geral (LG), Solvência Geral (SG) e Liquidez Corrente (LC), resultantes da aplicação das seguintes formulas, considerando que todos devem ser iguais ou superiores a 1:</w:t>
      </w:r>
    </w:p>
    <w:p w14:paraId="17E05BAB">
      <w:pPr>
        <w:spacing w:before="240" w:line="276" w:lineRule="auto"/>
        <w:ind w:left="1557" w:firstLine="567"/>
        <w:jc w:val="both"/>
        <w:rPr>
          <w:rFonts w:ascii="Cambria" w:hAnsi="Cambria" w:cs="Times New Roman"/>
        </w:rPr>
      </w:pPr>
      <w:r>
        <w:rPr>
          <w:rFonts w:ascii="Cambria" w:hAnsi="Cambria" w:cs="Times New Roman"/>
          <w:b/>
        </w:rPr>
        <w:t>Fórmula:</w:t>
      </w:r>
      <w:r>
        <w:rPr>
          <w:rFonts w:ascii="Cambria" w:hAnsi="Cambria" w:cs="Times New Roman"/>
        </w:rPr>
        <w:t xml:space="preserve"> LG = (AC + RLP) / (PC + ELP)</w:t>
      </w:r>
    </w:p>
    <w:p w14:paraId="15296F7D">
      <w:pPr>
        <w:spacing w:before="240" w:line="276" w:lineRule="auto"/>
        <w:ind w:left="1983" w:firstLine="141"/>
        <w:jc w:val="both"/>
        <w:rPr>
          <w:rFonts w:ascii="Cambria" w:hAnsi="Cambria" w:cs="Times New Roman"/>
        </w:rPr>
      </w:pPr>
      <w:r>
        <w:rPr>
          <w:rFonts w:ascii="Cambria" w:hAnsi="Cambria" w:cs="Times New Roman"/>
          <w:b/>
        </w:rPr>
        <w:t>Fórmula:</w:t>
      </w:r>
      <w:r>
        <w:rPr>
          <w:rFonts w:ascii="Cambria" w:hAnsi="Cambria" w:cs="Times New Roman"/>
        </w:rPr>
        <w:t xml:space="preserve"> LC = AC/ PC</w:t>
      </w:r>
    </w:p>
    <w:p w14:paraId="71A6C302">
      <w:pPr>
        <w:spacing w:before="240" w:line="276" w:lineRule="auto"/>
        <w:ind w:left="1557" w:firstLine="567"/>
        <w:jc w:val="both"/>
        <w:rPr>
          <w:rFonts w:ascii="Cambria" w:hAnsi="Cambria" w:cs="Times New Roman"/>
        </w:rPr>
      </w:pPr>
      <w:r>
        <w:rPr>
          <w:rFonts w:ascii="Cambria" w:hAnsi="Cambria" w:cs="Times New Roman"/>
          <w:b/>
        </w:rPr>
        <w:t>Fórmula:</w:t>
      </w:r>
      <w:r>
        <w:rPr>
          <w:rFonts w:ascii="Cambria" w:hAnsi="Cambria" w:cs="Times New Roman"/>
        </w:rPr>
        <w:t xml:space="preserve"> SG = AT / (PC + ELP).</w:t>
      </w:r>
    </w:p>
    <w:p w14:paraId="25941133">
      <w:pPr>
        <w:spacing w:before="240" w:line="276" w:lineRule="auto"/>
        <w:ind w:left="1701"/>
        <w:jc w:val="both"/>
        <w:rPr>
          <w:rFonts w:ascii="Cambria" w:hAnsi="Cambria" w:cs="Times New Roman"/>
        </w:rPr>
      </w:pPr>
      <w:r>
        <w:rPr>
          <w:rFonts w:ascii="Cambria" w:hAnsi="Cambria" w:cs="Times New Roman"/>
          <w:b/>
        </w:rPr>
        <w:t xml:space="preserve">2. </w:t>
      </w:r>
      <w:r>
        <w:rPr>
          <w:rFonts w:ascii="Cambria" w:hAnsi="Cambria" w:cs="Times New Roman"/>
        </w:rPr>
        <w:t>Os elementos contábeis contidos nas fórmulas acima são assim identificados:</w:t>
      </w:r>
    </w:p>
    <w:p w14:paraId="3C64938A">
      <w:pPr>
        <w:spacing w:before="240" w:line="276" w:lineRule="auto"/>
        <w:ind w:firstLine="2268"/>
        <w:jc w:val="both"/>
        <w:rPr>
          <w:rFonts w:ascii="Cambria" w:hAnsi="Cambria" w:cs="Times New Roman"/>
        </w:rPr>
      </w:pPr>
      <w:r>
        <w:rPr>
          <w:rFonts w:ascii="Cambria" w:hAnsi="Cambria" w:cs="Times New Roman"/>
          <w:b/>
        </w:rPr>
        <w:t>AC =</w:t>
      </w:r>
      <w:r>
        <w:rPr>
          <w:rFonts w:ascii="Cambria" w:hAnsi="Cambria" w:cs="Times New Roman"/>
        </w:rPr>
        <w:t xml:space="preserve"> Ativo Circulante;</w:t>
      </w:r>
    </w:p>
    <w:p w14:paraId="797CEFF1">
      <w:pPr>
        <w:spacing w:before="240" w:line="276" w:lineRule="auto"/>
        <w:ind w:firstLine="2268"/>
        <w:jc w:val="both"/>
        <w:rPr>
          <w:rFonts w:ascii="Cambria" w:hAnsi="Cambria" w:cs="Times New Roman"/>
        </w:rPr>
      </w:pPr>
      <w:r>
        <w:rPr>
          <w:rFonts w:ascii="Cambria" w:hAnsi="Cambria" w:cs="Times New Roman"/>
          <w:b/>
        </w:rPr>
        <w:t>RLP =</w:t>
      </w:r>
      <w:r>
        <w:rPr>
          <w:rFonts w:ascii="Cambria" w:hAnsi="Cambria" w:cs="Times New Roman"/>
        </w:rPr>
        <w:t xml:space="preserve"> Realizável a Longo Prazo;</w:t>
      </w:r>
    </w:p>
    <w:p w14:paraId="490DF673">
      <w:pPr>
        <w:spacing w:before="240" w:line="276" w:lineRule="auto"/>
        <w:ind w:firstLine="2268"/>
        <w:jc w:val="both"/>
        <w:rPr>
          <w:rFonts w:ascii="Cambria" w:hAnsi="Cambria" w:cs="Times New Roman"/>
          <w:b/>
          <w:bCs/>
        </w:rPr>
      </w:pPr>
      <w:r>
        <w:rPr>
          <w:rFonts w:ascii="Cambria" w:hAnsi="Cambria" w:cs="Times New Roman"/>
          <w:b/>
        </w:rPr>
        <w:t xml:space="preserve">AT = </w:t>
      </w:r>
      <w:r>
        <w:rPr>
          <w:rFonts w:ascii="Cambria" w:hAnsi="Cambria" w:cs="Times New Roman"/>
        </w:rPr>
        <w:t>Ativo Total;</w:t>
      </w:r>
    </w:p>
    <w:p w14:paraId="37B46408">
      <w:pPr>
        <w:spacing w:before="240" w:line="276" w:lineRule="auto"/>
        <w:ind w:firstLine="2268"/>
        <w:jc w:val="both"/>
        <w:rPr>
          <w:rFonts w:ascii="Cambria" w:hAnsi="Cambria" w:cs="Times New Roman"/>
          <w:b/>
          <w:bCs/>
        </w:rPr>
      </w:pPr>
      <w:r>
        <w:rPr>
          <w:rFonts w:ascii="Cambria" w:hAnsi="Cambria" w:cs="Times New Roman"/>
          <w:b/>
        </w:rPr>
        <w:t xml:space="preserve">PC = </w:t>
      </w:r>
      <w:r>
        <w:rPr>
          <w:rFonts w:ascii="Cambria" w:hAnsi="Cambria" w:cs="Times New Roman"/>
        </w:rPr>
        <w:t>Passivo Circulante;</w:t>
      </w:r>
    </w:p>
    <w:p w14:paraId="1E6E60F9">
      <w:pPr>
        <w:spacing w:before="240" w:line="276" w:lineRule="auto"/>
        <w:ind w:left="1134" w:firstLine="1134"/>
        <w:jc w:val="both"/>
        <w:rPr>
          <w:rFonts w:ascii="Cambria" w:hAnsi="Cambria" w:eastAsia="Helvetica" w:cs="Times New Roman"/>
        </w:rPr>
      </w:pPr>
      <w:r>
        <w:rPr>
          <w:rFonts w:ascii="Cambria" w:hAnsi="Cambria" w:cs="Times New Roman"/>
          <w:b/>
          <w:bCs/>
        </w:rPr>
        <w:t>ELP =</w:t>
      </w:r>
      <w:r>
        <w:rPr>
          <w:rFonts w:ascii="Cambria" w:hAnsi="Cambria" w:cs="Times New Roman"/>
          <w:bCs/>
        </w:rPr>
        <w:t xml:space="preserve"> Exigível a Longo Prazo</w:t>
      </w:r>
      <w:r>
        <w:rPr>
          <w:rFonts w:ascii="Cambria" w:hAnsi="Cambria" w:eastAsia="Helvetica" w:cs="Times New Roman"/>
        </w:rPr>
        <w:t xml:space="preserve"> </w:t>
      </w:r>
    </w:p>
    <w:p w14:paraId="7D9C6452">
      <w:pPr>
        <w:spacing w:before="240" w:line="276" w:lineRule="auto"/>
        <w:ind w:left="567" w:firstLine="567"/>
        <w:jc w:val="both"/>
        <w:rPr>
          <w:rFonts w:ascii="Cambria" w:hAnsi="Cambria" w:cs="Arial"/>
        </w:rPr>
      </w:pPr>
      <w:r>
        <w:rPr>
          <w:rFonts w:ascii="Cambria" w:hAnsi="Cambria" w:eastAsia="Helvetica" w:cs="Times New Roman"/>
          <w:b/>
          <w:bCs/>
        </w:rPr>
        <w:t xml:space="preserve">c) </w:t>
      </w:r>
      <w:r>
        <w:rPr>
          <w:rFonts w:ascii="Cambria" w:hAnsi="Cambria" w:eastAsia="Helvetica" w:cs="Times New Roman"/>
        </w:rPr>
        <w:t>Os documentos referidos na alínea b, limitar-se-ão ao último exercício no caso de a pessoa jurídica ter sido constituída há menos de 02 (dois) anos.</w:t>
      </w:r>
    </w:p>
    <w:p w14:paraId="38BEBA3B">
      <w:pPr>
        <w:tabs>
          <w:tab w:val="left" w:pos="1701"/>
        </w:tabs>
        <w:spacing w:before="240" w:line="276" w:lineRule="auto"/>
        <w:ind w:firstLine="567"/>
        <w:jc w:val="both"/>
        <w:rPr>
          <w:rFonts w:ascii="Cambria" w:hAnsi="Cambria"/>
        </w:rPr>
      </w:pPr>
      <w:r>
        <w:rPr>
          <w:rFonts w:ascii="Cambria" w:hAnsi="Cambria"/>
          <w:b/>
        </w:rPr>
        <w:t>IV. QUALIFICAÇÃO TÉCNICA</w:t>
      </w:r>
    </w:p>
    <w:p w14:paraId="27651629">
      <w:pPr>
        <w:widowControl w:val="0"/>
        <w:tabs>
          <w:tab w:val="left" w:pos="850"/>
          <w:tab w:val="left" w:pos="1211"/>
        </w:tabs>
        <w:spacing w:before="240" w:line="276" w:lineRule="auto"/>
        <w:ind w:left="567" w:firstLine="567"/>
        <w:jc w:val="both"/>
        <w:rPr>
          <w:rFonts w:ascii="Cambria" w:hAnsi="Cambria" w:eastAsia="Helvetica"/>
        </w:rPr>
      </w:pPr>
      <w:r>
        <w:rPr>
          <w:rFonts w:ascii="Cambria" w:hAnsi="Cambria" w:eastAsia="Helvetica"/>
          <w:b/>
        </w:rPr>
        <w:t>a)</w:t>
      </w:r>
      <w:r>
        <w:rPr>
          <w:rFonts w:ascii="Cambria" w:hAnsi="Cambria" w:eastAsia="Helvetica"/>
        </w:rPr>
        <w:t xml:space="preserve"> A Proponente deverá apresentar Atestado de Capacidade Técnica para comprovação de aptidão para fornecimento do objeto desta licitação, através de atestado fornecido por Pessoa Jurídica de direito público ou privado, para a qual a interessada já tenha fornecido objeto de natureza e quantidade compatíveis com o solicitado nesta licitação.</w:t>
      </w:r>
    </w:p>
    <w:p w14:paraId="4D0BA934">
      <w:pPr>
        <w:widowControl w:val="0"/>
        <w:tabs>
          <w:tab w:val="left" w:pos="850"/>
          <w:tab w:val="left" w:pos="1211"/>
        </w:tabs>
        <w:spacing w:before="240" w:line="276" w:lineRule="auto"/>
        <w:ind w:firstLine="567"/>
        <w:jc w:val="both"/>
        <w:rPr>
          <w:rFonts w:ascii="Cambria" w:hAnsi="Cambria"/>
          <w:b/>
        </w:rPr>
      </w:pPr>
      <w:r>
        <w:rPr>
          <w:rFonts w:ascii="Cambria" w:hAnsi="Cambria"/>
          <w:b/>
        </w:rPr>
        <w:t>V. MICROEMPRESA OU EMPRESA DE PEQUENO PORTE</w:t>
      </w:r>
    </w:p>
    <w:p w14:paraId="53671F75">
      <w:pPr>
        <w:widowControl w:val="0"/>
        <w:tabs>
          <w:tab w:val="left" w:pos="850"/>
          <w:tab w:val="left" w:pos="1211"/>
        </w:tabs>
        <w:spacing w:before="240" w:line="276" w:lineRule="auto"/>
        <w:ind w:left="567" w:firstLine="567"/>
        <w:jc w:val="both"/>
        <w:rPr>
          <w:rFonts w:ascii="Cambria" w:hAnsi="Cambria"/>
        </w:rPr>
      </w:pPr>
      <w:r>
        <w:rPr>
          <w:rFonts w:ascii="Cambria" w:hAnsi="Cambria"/>
          <w:b/>
        </w:rPr>
        <w:t>a)</w:t>
      </w:r>
      <w:r>
        <w:rPr>
          <w:rFonts w:ascii="Cambria" w:hAnsi="Cambria"/>
        </w:rPr>
        <w:t xml:space="preserve"> As licitantes enquadradas como </w:t>
      </w:r>
      <w:r>
        <w:rPr>
          <w:rFonts w:ascii="Cambria" w:hAnsi="Cambria"/>
          <w:b/>
        </w:rPr>
        <w:t>MICROEMPRESA</w:t>
      </w:r>
      <w:r>
        <w:rPr>
          <w:rFonts w:ascii="Cambria" w:hAnsi="Cambria"/>
        </w:rPr>
        <w:t xml:space="preserve"> ou </w:t>
      </w:r>
      <w:r>
        <w:rPr>
          <w:rFonts w:ascii="Cambria" w:hAnsi="Cambria"/>
          <w:b/>
        </w:rPr>
        <w:t>EMPRESA DE PEQUENO PORTE</w:t>
      </w:r>
      <w:r>
        <w:rPr>
          <w:rFonts w:ascii="Cambria" w:hAnsi="Cambria"/>
        </w:rPr>
        <w:t xml:space="preserve"> além de declarar em campo próprio do sistema eletrônico, que atente aos requisitos do art. 3º da Lei Complementar nº 123, de 2006, deverão apresentar ainda os seguintes documentos:</w:t>
      </w:r>
    </w:p>
    <w:p w14:paraId="362EB71A">
      <w:pPr>
        <w:pStyle w:val="22"/>
        <w:spacing w:before="240" w:line="276" w:lineRule="auto"/>
        <w:ind w:left="1134" w:firstLine="567"/>
        <w:jc w:val="both"/>
        <w:rPr>
          <w:rFonts w:ascii="Cambria" w:hAnsi="Cambria"/>
        </w:rPr>
      </w:pPr>
      <w:r>
        <w:rPr>
          <w:rFonts w:ascii="Cambria" w:hAnsi="Cambria"/>
          <w:b/>
        </w:rPr>
        <w:t>01.</w:t>
      </w:r>
      <w:r>
        <w:rPr>
          <w:rFonts w:ascii="Cambria" w:hAnsi="Cambria"/>
        </w:rPr>
        <w:t xml:space="preserve"> Certidão Simplificada emitida pela Junta Comercial de seu Estado, com data de expedição não superior a 60 (sessenta) dias anteriores à convocação da Agente de Contratação/Pregoeira para apresentar os documentos de habilitação.</w:t>
      </w:r>
    </w:p>
    <w:p w14:paraId="393333FE">
      <w:pPr>
        <w:pStyle w:val="22"/>
        <w:spacing w:before="240" w:line="276" w:lineRule="auto"/>
        <w:ind w:left="1134" w:firstLine="567"/>
        <w:jc w:val="both"/>
        <w:rPr>
          <w:rFonts w:ascii="Cambria" w:hAnsi="Cambria"/>
        </w:rPr>
      </w:pPr>
      <w:r>
        <w:rPr>
          <w:rFonts w:ascii="Cambria" w:hAnsi="Cambria"/>
          <w:b/>
          <w:bCs/>
        </w:rPr>
        <w:t>02.</w:t>
      </w:r>
      <w:r>
        <w:rPr>
          <w:rFonts w:ascii="Cambria" w:hAnsi="Cambria"/>
        </w:rPr>
        <w:t xml:space="preserve"> </w:t>
      </w:r>
      <w:r>
        <w:rPr>
          <w:rFonts w:ascii="Cambria" w:hAnsi="Cambria"/>
          <w:bCs/>
        </w:rPr>
        <w:t>Declaração que</w:t>
      </w:r>
      <w:r>
        <w:rPr>
          <w:rFonts w:ascii="Cambria" w:hAnsi="Cambria"/>
        </w:rPr>
        <w:t xml:space="preserve"> se enquadra como Microempresa ou Empresa de Pequeno Porte nos termos do art. 3º da Lei Complementar nº 123, de 14 de dezembro de 2006, estando apta a usufruir os benefícios e vantagens legalmente instituídas por não se enquadrar em nenhuma das vedações legais impostas pelo § 4º do art. 3º da Lei Complementar nº 123, de 2006, com data de expedição não superior a 60 (sessenta) dias anteriores à convocação da Agente de Contratação/Pregoeira para apresentar os documentos de habilitação.</w:t>
      </w:r>
    </w:p>
    <w:p w14:paraId="7C5E5F0D">
      <w:pPr>
        <w:pStyle w:val="22"/>
        <w:spacing w:before="240" w:line="276" w:lineRule="auto"/>
        <w:ind w:firstLine="567"/>
        <w:jc w:val="both"/>
        <w:rPr>
          <w:rFonts w:ascii="Cambria" w:hAnsi="Cambria"/>
          <w:b/>
        </w:rPr>
      </w:pPr>
      <w:r>
        <w:rPr>
          <w:rFonts w:ascii="Cambria" w:hAnsi="Cambria"/>
          <w:b/>
        </w:rPr>
        <w:t>VI. MICRO EMPREENDEDOR INDIVIDUAL (MEI)</w:t>
      </w:r>
    </w:p>
    <w:p w14:paraId="4B717660">
      <w:pPr>
        <w:pStyle w:val="22"/>
        <w:spacing w:before="240" w:line="276" w:lineRule="auto"/>
        <w:ind w:left="567" w:firstLine="567"/>
        <w:jc w:val="both"/>
        <w:rPr>
          <w:rFonts w:ascii="Cambria" w:hAnsi="Cambria"/>
        </w:rPr>
      </w:pPr>
      <w:r>
        <w:rPr>
          <w:rFonts w:ascii="Cambria" w:hAnsi="Cambria"/>
          <w:b/>
        </w:rPr>
        <w:t>a)</w:t>
      </w:r>
      <w:r>
        <w:rPr>
          <w:rFonts w:ascii="Cambria" w:hAnsi="Cambria"/>
        </w:rPr>
        <w:t xml:space="preserve"> Caso a licitante seja </w:t>
      </w:r>
      <w:r>
        <w:rPr>
          <w:rFonts w:ascii="Cambria" w:hAnsi="Cambria"/>
          <w:b/>
        </w:rPr>
        <w:t>MICRO EMPREENDEDOR INDIVIDUAL (MEI)</w:t>
      </w:r>
      <w:r>
        <w:rPr>
          <w:rFonts w:ascii="Cambria" w:hAnsi="Cambria"/>
        </w:rPr>
        <w:t>, deverá apresentar os seguintes documentos:</w:t>
      </w:r>
    </w:p>
    <w:p w14:paraId="5AD71611">
      <w:pPr>
        <w:pStyle w:val="22"/>
        <w:spacing w:before="240" w:line="276" w:lineRule="auto"/>
        <w:ind w:left="1134" w:firstLine="567"/>
        <w:jc w:val="both"/>
        <w:rPr>
          <w:rFonts w:ascii="Cambria" w:hAnsi="Cambria"/>
        </w:rPr>
      </w:pPr>
      <w:r>
        <w:rPr>
          <w:rFonts w:ascii="Cambria" w:hAnsi="Cambria"/>
          <w:b/>
        </w:rPr>
        <w:t>01.</w:t>
      </w:r>
      <w:r>
        <w:rPr>
          <w:rFonts w:ascii="Cambria" w:hAnsi="Cambria"/>
        </w:rPr>
        <w:t xml:space="preserve"> Certificado de Condição de Micro empreendedor Individual.</w:t>
      </w:r>
    </w:p>
    <w:p w14:paraId="0876782D">
      <w:pPr>
        <w:widowControl w:val="0"/>
        <w:tabs>
          <w:tab w:val="left" w:pos="850"/>
          <w:tab w:val="left" w:pos="1211"/>
        </w:tabs>
        <w:spacing w:before="240" w:line="276" w:lineRule="auto"/>
        <w:ind w:left="1134" w:firstLine="567"/>
        <w:jc w:val="both"/>
        <w:rPr>
          <w:rFonts w:ascii="Cambria" w:hAnsi="Cambria"/>
        </w:rPr>
      </w:pPr>
      <w:r>
        <w:rPr>
          <w:rFonts w:ascii="Cambria" w:hAnsi="Cambria"/>
          <w:b/>
        </w:rPr>
        <w:t>02.</w:t>
      </w:r>
      <w:r>
        <w:rPr>
          <w:rFonts w:ascii="Cambria" w:hAnsi="Cambria"/>
        </w:rPr>
        <w:t xml:space="preserve"> Documento que comprove a opção do Simples Nacional.</w:t>
      </w:r>
    </w:p>
    <w:p w14:paraId="43ECFC56">
      <w:pPr>
        <w:widowControl w:val="0"/>
        <w:tabs>
          <w:tab w:val="left" w:pos="850"/>
          <w:tab w:val="left" w:pos="1211"/>
        </w:tabs>
        <w:spacing w:before="240" w:line="276" w:lineRule="auto"/>
        <w:ind w:firstLine="567"/>
        <w:jc w:val="both"/>
        <w:rPr>
          <w:rFonts w:ascii="Cambria" w:hAnsi="Cambria"/>
          <w:b/>
        </w:rPr>
      </w:pPr>
      <w:r>
        <w:rPr>
          <w:rFonts w:ascii="Cambria" w:hAnsi="Cambria"/>
          <w:b/>
        </w:rPr>
        <w:t>VII. DOCUMENTAÇÃO COMPLEMENTAR (Modelo Anexo IV)</w:t>
      </w:r>
    </w:p>
    <w:p w14:paraId="75994C9A">
      <w:pPr>
        <w:spacing w:before="240" w:line="276" w:lineRule="auto"/>
        <w:ind w:left="567" w:firstLine="567"/>
        <w:jc w:val="both"/>
        <w:rPr>
          <w:rFonts w:ascii="Cambria" w:hAnsi="Cambria"/>
          <w:b/>
        </w:rPr>
      </w:pPr>
      <w:r>
        <w:rPr>
          <w:rFonts w:ascii="Cambria" w:hAnsi="Cambria"/>
          <w:b/>
        </w:rPr>
        <w:t>a)</w:t>
      </w:r>
      <w:r>
        <w:rPr>
          <w:rFonts w:ascii="Cambria" w:hAnsi="Cambria"/>
        </w:rPr>
        <w:t xml:space="preserve"> </w:t>
      </w:r>
      <w:r>
        <w:rPr>
          <w:rFonts w:ascii="Cambria" w:hAnsi="Cambria"/>
          <w:b/>
        </w:rPr>
        <w:t>Declaração</w:t>
      </w:r>
      <w:r>
        <w:rPr>
          <w:rFonts w:ascii="Cambria" w:hAnsi="Cambria"/>
        </w:rPr>
        <w:t>, sob pena de inabilitação, que está ciente e concorda com as condições contidas no edital e seus anexos, bem como que a proposta apresentada compreende a integralidade dos custos para atendimento dos direitos trabalhistas assegurados na Constituição Federal, nas leis trabalhistas, nas formas infralegais, nas convenções coletivas de trabalho e nos termos de ajustamento de conduta vigentes na data de sua entrega em definitivo e que cumpre plenamente os requisitos de habilitação definidos neste instrumento convocatório.</w:t>
      </w:r>
    </w:p>
    <w:p w14:paraId="151C963A">
      <w:pPr>
        <w:spacing w:before="240" w:line="276" w:lineRule="auto"/>
        <w:ind w:left="567" w:firstLine="567"/>
        <w:jc w:val="both"/>
        <w:rPr>
          <w:rFonts w:ascii="Cambria" w:hAnsi="Cambria"/>
        </w:rPr>
      </w:pPr>
      <w:r>
        <w:rPr>
          <w:rFonts w:ascii="Cambria" w:hAnsi="Cambria"/>
          <w:b/>
        </w:rPr>
        <w:t>b)</w:t>
      </w:r>
      <w:r>
        <w:rPr>
          <w:rFonts w:ascii="Cambria" w:hAnsi="Cambria"/>
        </w:rPr>
        <w:t xml:space="preserve"> </w:t>
      </w:r>
      <w:r>
        <w:rPr>
          <w:rFonts w:ascii="Cambria" w:hAnsi="Cambria"/>
          <w:b/>
        </w:rPr>
        <w:t>Declaração</w:t>
      </w:r>
      <w:r>
        <w:rPr>
          <w:rFonts w:ascii="Cambria" w:hAnsi="Cambria"/>
        </w:rPr>
        <w:t xml:space="preserve">, sob pena de inabilitação, que </w:t>
      </w:r>
      <w:r>
        <w:rPr>
          <w:rFonts w:ascii="Cambria" w:hAnsi="Cambria" w:eastAsia="Helvetica"/>
        </w:rPr>
        <w:t xml:space="preserve">atende ao disposto no </w:t>
      </w:r>
      <w:r>
        <w:rPr>
          <w:rFonts w:ascii="Cambria" w:hAnsi="Cambria"/>
        </w:rPr>
        <w:t>inciso XXXIII, do Art. 07º da Constituição da República Federativa do Brasil de 1988</w:t>
      </w:r>
      <w:r>
        <w:rPr>
          <w:rFonts w:ascii="Cambria" w:hAnsi="Cambria" w:eastAsia="Helvetica"/>
        </w:rPr>
        <w:t xml:space="preserve">, referente à </w:t>
      </w:r>
      <w:r>
        <w:rPr>
          <w:rFonts w:ascii="Cambria" w:hAnsi="Cambria" w:cs="Arial"/>
          <w:shd w:val="clear" w:color="auto" w:fill="FFFFFF"/>
        </w:rPr>
        <w:t>proibição de trabalho noturno, perigoso ou insalubre a menores de dezoito e de qualquer trabalho a menores de dezesseis anos, salvo na condição de aprendiz, a partir de quatorze anos</w:t>
      </w:r>
      <w:r>
        <w:rPr>
          <w:rFonts w:ascii="Cambria" w:hAnsi="Cambria"/>
        </w:rPr>
        <w:t>.</w:t>
      </w:r>
    </w:p>
    <w:p w14:paraId="0AB793C7">
      <w:pPr>
        <w:spacing w:before="240" w:line="276" w:lineRule="auto"/>
        <w:ind w:left="567" w:firstLine="567"/>
        <w:jc w:val="both"/>
        <w:rPr>
          <w:rFonts w:ascii="Cambria" w:hAnsi="Cambria"/>
        </w:rPr>
      </w:pPr>
      <w:r>
        <w:rPr>
          <w:rFonts w:ascii="Cambria" w:hAnsi="Cambria"/>
          <w:b/>
          <w:bCs/>
        </w:rPr>
        <w:t>c) Declaração</w:t>
      </w:r>
      <w:r>
        <w:rPr>
          <w:rFonts w:ascii="Cambria" w:hAnsi="Cambria"/>
        </w:rPr>
        <w:t>, sob pena de inabilitação, que os preços propostos se encontram incluídos todos os tributos, encargos sociais, frete e quaisquer outros ônus que porventura possam recair sobre o fornecimento do objeto da presente licitação.</w:t>
      </w:r>
    </w:p>
    <w:p w14:paraId="718E78F1">
      <w:pPr>
        <w:spacing w:before="240" w:line="276" w:lineRule="auto"/>
        <w:ind w:left="567" w:firstLine="567"/>
        <w:jc w:val="both"/>
        <w:rPr>
          <w:rFonts w:ascii="Cambria" w:hAnsi="Cambria"/>
        </w:rPr>
      </w:pPr>
      <w:r>
        <w:rPr>
          <w:rFonts w:ascii="Cambria" w:hAnsi="Cambria"/>
          <w:b/>
          <w:bCs/>
        </w:rPr>
        <w:t>d) Declaração</w:t>
      </w:r>
      <w:r>
        <w:rPr>
          <w:rFonts w:ascii="Cambria" w:hAnsi="Cambria"/>
        </w:rPr>
        <w:t>, sob pena de inabilitação, que não foi declarada inidônea para licitar ou contratar com o Poder Público, em qualquer de suas esferas e sob as penas da lei, que até a presente data inexistem fatos impeditivos à sua participação na presente licitação, ciente da obrigatoriedade de declarar ocorrências posteriores.</w:t>
      </w:r>
    </w:p>
    <w:p w14:paraId="78A35A71">
      <w:pPr>
        <w:spacing w:before="240" w:line="276" w:lineRule="auto"/>
        <w:ind w:left="567" w:firstLine="567"/>
        <w:jc w:val="both"/>
        <w:rPr>
          <w:rFonts w:ascii="Cambria" w:hAnsi="Cambria"/>
        </w:rPr>
      </w:pPr>
      <w:r>
        <w:rPr>
          <w:rFonts w:ascii="Cambria" w:hAnsi="Cambria"/>
          <w:b/>
          <w:bCs/>
        </w:rPr>
        <w:t>e) Declaração</w:t>
      </w:r>
      <w:r>
        <w:rPr>
          <w:rFonts w:ascii="Cambria" w:hAnsi="Cambria"/>
        </w:rPr>
        <w:t>, sob pena de inabilitação, que não possui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59D30562">
      <w:pPr>
        <w:spacing w:before="240" w:line="276" w:lineRule="auto"/>
        <w:ind w:left="567" w:firstLine="567"/>
        <w:jc w:val="both"/>
        <w:rPr>
          <w:rFonts w:ascii="Cambria" w:hAnsi="Cambria"/>
          <w:shd w:val="clear" w:color="auto" w:fill="FFFFFF"/>
        </w:rPr>
      </w:pPr>
      <w:r>
        <w:rPr>
          <w:rFonts w:ascii="Cambria" w:hAnsi="Cambria"/>
          <w:b/>
          <w:bCs/>
        </w:rPr>
        <w:t>f)</w:t>
      </w:r>
      <w:r>
        <w:rPr>
          <w:rFonts w:ascii="Cambria" w:hAnsi="Cambria"/>
        </w:rPr>
        <w:t xml:space="preserve"> </w:t>
      </w:r>
      <w:r>
        <w:rPr>
          <w:rFonts w:ascii="Cambria" w:hAnsi="Cambria"/>
          <w:b/>
          <w:bCs/>
        </w:rPr>
        <w:t>Declaração</w:t>
      </w:r>
      <w:r>
        <w:rPr>
          <w:rFonts w:ascii="Cambria" w:hAnsi="Cambria"/>
        </w:rPr>
        <w:t xml:space="preserve">, sob pena de inabilitação, </w:t>
      </w:r>
      <w:r>
        <w:rPr>
          <w:rFonts w:ascii="Cambria" w:hAnsi="Cambria"/>
          <w:shd w:val="clear" w:color="auto" w:fill="FFFFFF"/>
        </w:rPr>
        <w:t xml:space="preserve">que a proposta apresentada </w:t>
      </w:r>
      <w:r>
        <w:rPr>
          <w:rFonts w:ascii="Cambria" w:hAnsi="Cambria"/>
        </w:rPr>
        <w:t xml:space="preserve">para fins de participação nesta licitação </w:t>
      </w:r>
      <w:r>
        <w:rPr>
          <w:rFonts w:ascii="Cambria" w:hAnsi="Cambria"/>
          <w:shd w:val="clear" w:color="auto" w:fill="FFFFFF"/>
        </w:rPr>
        <w:t>foi elaborada de maneira independente e o conteúdo da proposta não foi, no todo ou em parte, direta ou indiretamente, informado, discutido ou recebido de qualquer outro participante potencial. Que não tentou, por qualquer meio ou por qualquer pessoa, influir na decisão de qualquer outro participante potencial, quanto a participar ou não da referida licitação, que o conteúdo da proposta apresentada para participar, não será, no todo ou em parte, direta ou indiretamente, comunicado ou discutido com qualquer outro participante potencial. Que o conteúdo da proposta apresentada não foi, no todo ou em parte, direta ou indiretamente, informado, discutido ou recebido de qualquer integrante de Prefeitura Municipal de Piracanjuba antes da abertura oficial das propostas; e que está plenamente ciente do teor e da extensão desta declaração e que detém plenos poderes e informações para firmá-la.</w:t>
      </w:r>
    </w:p>
    <w:p w14:paraId="3CDB32BA">
      <w:pPr>
        <w:spacing w:before="240" w:line="276" w:lineRule="auto"/>
        <w:ind w:left="567" w:firstLine="567"/>
        <w:jc w:val="both"/>
        <w:rPr>
          <w:rFonts w:ascii="Cambria" w:hAnsi="Cambria"/>
        </w:rPr>
      </w:pPr>
      <w:r>
        <w:rPr>
          <w:rFonts w:ascii="Cambria" w:hAnsi="Cambria"/>
          <w:b/>
          <w:bCs/>
        </w:rPr>
        <w:t>g)</w:t>
      </w:r>
      <w:r>
        <w:rPr>
          <w:rFonts w:ascii="Cambria" w:hAnsi="Cambria"/>
        </w:rPr>
        <w:t xml:space="preserve"> </w:t>
      </w:r>
      <w:r>
        <w:rPr>
          <w:rFonts w:ascii="Cambria" w:hAnsi="Cambria"/>
          <w:b/>
          <w:bCs/>
        </w:rPr>
        <w:t>Declaração</w:t>
      </w:r>
      <w:r>
        <w:rPr>
          <w:rFonts w:ascii="Cambria" w:hAnsi="Cambria"/>
        </w:rPr>
        <w:t>, sob pena de inabilitação, sob as penas da Lei, que se responsabiliza pela autenticidade e veracidade dos documentos e informações apresentadas para participação nesta licitação.</w:t>
      </w:r>
    </w:p>
    <w:p w14:paraId="1D48A241">
      <w:pPr>
        <w:pStyle w:val="22"/>
        <w:spacing w:before="240" w:after="240" w:line="276" w:lineRule="auto"/>
        <w:jc w:val="both"/>
        <w:rPr>
          <w:rFonts w:ascii="Cambria" w:hAnsi="Cambria"/>
        </w:rPr>
      </w:pPr>
      <w:r>
        <w:rPr>
          <w:rFonts w:ascii="Cambria" w:hAnsi="Cambria"/>
          <w:b/>
        </w:rPr>
        <w:t xml:space="preserve">9.8 </w:t>
      </w:r>
      <w:r>
        <w:rPr>
          <w:rFonts w:ascii="Cambria" w:hAnsi="Cambria"/>
        </w:rPr>
        <w:t>A não apresentação dos documentos mencionados nos Incisos V e VI, indicará que a licitante optou por não utilizar os benefícios previstos na Lei Complementar nº 123, de 2006.</w:t>
      </w:r>
    </w:p>
    <w:p w14:paraId="068559EE">
      <w:pPr>
        <w:pStyle w:val="22"/>
        <w:shd w:val="clear" w:color="auto" w:fill="FFFFFF" w:themeFill="background1"/>
        <w:spacing w:before="240" w:after="240" w:line="276" w:lineRule="auto"/>
        <w:jc w:val="both"/>
        <w:rPr>
          <w:rFonts w:ascii="Cambria" w:hAnsi="Cambria"/>
        </w:rPr>
      </w:pPr>
      <w:r>
        <w:rPr>
          <w:rFonts w:ascii="Cambria" w:hAnsi="Cambria"/>
          <w:b/>
        </w:rPr>
        <w:t>9.9</w:t>
      </w:r>
      <w:r>
        <w:rPr>
          <w:rFonts w:ascii="Cambria" w:hAnsi="Cambria"/>
        </w:rPr>
        <w:t xml:space="preserve"> Não poderão se beneficiar do regime diferenciado e favorecido em licitações concedido às Microempresas ou Empresas de Pequeno Porte, licitantes que se enquadrem em qualquer das exclusões relacionadas no art. 3º, da Lei Complementar nº 123, de 2006.</w:t>
      </w:r>
    </w:p>
    <w:p w14:paraId="44D7A96C">
      <w:pPr>
        <w:tabs>
          <w:tab w:val="left" w:pos="1701"/>
        </w:tabs>
        <w:spacing w:before="240" w:line="276" w:lineRule="auto"/>
        <w:jc w:val="both"/>
        <w:rPr>
          <w:rFonts w:ascii="Cambria" w:hAnsi="Cambria"/>
        </w:rPr>
      </w:pPr>
      <w:r>
        <w:rPr>
          <w:rFonts w:ascii="Cambria" w:hAnsi="Cambria"/>
          <w:b/>
        </w:rPr>
        <w:t>9.10</w:t>
      </w:r>
      <w:r>
        <w:rPr>
          <w:rFonts w:ascii="Cambria" w:hAnsi="Cambria"/>
        </w:rPr>
        <w:t xml:space="preserve"> Para efeito de julgamento referente ao regime diferenciado previsto na Lei Complementar nº 123, de 2006, Microempresas, Empresas de Pequeno Porte e Micro empreendedores Individuais possuem os mesmos benefícios neste Edital.</w:t>
      </w:r>
    </w:p>
    <w:p w14:paraId="208B6349">
      <w:pPr>
        <w:tabs>
          <w:tab w:val="left" w:pos="1701"/>
        </w:tabs>
        <w:spacing w:before="240" w:line="276" w:lineRule="auto"/>
        <w:jc w:val="both"/>
        <w:rPr>
          <w:rFonts w:ascii="Cambria" w:hAnsi="Cambria"/>
          <w:b/>
          <w:iCs/>
        </w:rPr>
      </w:pPr>
      <w:r>
        <w:rPr>
          <w:rFonts w:ascii="Cambria" w:hAnsi="Cambria"/>
          <w:b/>
        </w:rPr>
        <w:t>9.11</w:t>
      </w:r>
      <w:r>
        <w:rPr>
          <w:rFonts w:ascii="Cambria" w:hAnsi="Cambria"/>
        </w:rPr>
        <w:t xml:space="preserve"> As Microempresas ou Empresas de Pequeno Porte, assim definidas no art. 3º da Lei Complementar n.º 123, de 2006, deverão apresentar toda a documentação exigida para efeito de comprovação de regularidade fiscal e trabalhista, mesmo que esta apresente alguma restrição </w:t>
      </w:r>
      <w:r>
        <w:rPr>
          <w:rFonts w:ascii="Cambria" w:hAnsi="Cambria"/>
          <w:iCs/>
        </w:rPr>
        <w:t>(art. 43, caput da Lei Complementar nº 123, de 2006).</w:t>
      </w:r>
      <w:r>
        <w:rPr>
          <w:rFonts w:ascii="Cambria" w:hAnsi="Cambria"/>
          <w:b/>
        </w:rPr>
        <w:t xml:space="preserve"> </w:t>
      </w:r>
    </w:p>
    <w:p w14:paraId="1E6CB333">
      <w:pPr>
        <w:tabs>
          <w:tab w:val="left" w:pos="1701"/>
        </w:tabs>
        <w:spacing w:before="240" w:line="276" w:lineRule="auto"/>
        <w:jc w:val="both"/>
        <w:rPr>
          <w:rFonts w:ascii="Cambria" w:hAnsi="Cambria"/>
        </w:rPr>
      </w:pPr>
      <w:r>
        <w:rPr>
          <w:rFonts w:ascii="Cambria" w:hAnsi="Cambria"/>
          <w:b/>
        </w:rPr>
        <w:t>9.12</w:t>
      </w:r>
      <w:r>
        <w:rPr>
          <w:rFonts w:ascii="Cambria" w:hAnsi="Cambria"/>
        </w:rPr>
        <w:t xml:space="preserve"> Havendo alguma restrição na comprovação da regularidade fiscal e trabalhista será assegurado o prazo de 05 (cinco)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w:t>
      </w:r>
    </w:p>
    <w:p w14:paraId="4B237089">
      <w:pPr>
        <w:tabs>
          <w:tab w:val="left" w:pos="1701"/>
        </w:tabs>
        <w:spacing w:before="240" w:line="276" w:lineRule="auto"/>
        <w:ind w:firstLine="567"/>
        <w:jc w:val="both"/>
        <w:rPr>
          <w:rFonts w:ascii="Cambria" w:hAnsi="Cambria"/>
        </w:rPr>
      </w:pPr>
      <w:r>
        <w:rPr>
          <w:rFonts w:ascii="Cambria" w:hAnsi="Cambria"/>
          <w:b/>
        </w:rPr>
        <w:t>I.</w:t>
      </w:r>
      <w:r>
        <w:rPr>
          <w:rFonts w:ascii="Cambria" w:hAnsi="Cambria"/>
        </w:rPr>
        <w:t xml:space="preserve"> A não-regularização da documentação, no prazo previsto no subitem 9.12, implicará decadência do direito à contratação, sendo facultado ao Município de Piracanjuba/GO convocar os licitantes remanescentes, na ordem de classificação, para a assinatura do Contrato de Fornecimento, ou considerar o item como fracassado.</w:t>
      </w:r>
    </w:p>
    <w:p w14:paraId="24D9AC13">
      <w:pPr>
        <w:widowControl w:val="0"/>
        <w:tabs>
          <w:tab w:val="left" w:pos="850"/>
          <w:tab w:val="left" w:pos="1211"/>
        </w:tabs>
        <w:spacing w:before="240" w:line="276" w:lineRule="auto"/>
        <w:jc w:val="both"/>
        <w:rPr>
          <w:rFonts w:ascii="Cambria" w:hAnsi="Cambria"/>
        </w:rPr>
      </w:pPr>
      <w:r>
        <w:rPr>
          <w:rFonts w:ascii="Cambria" w:hAnsi="Cambria"/>
          <w:b/>
        </w:rPr>
        <w:t>9.13</w:t>
      </w:r>
      <w:r>
        <w:rPr>
          <w:rFonts w:ascii="Cambria" w:hAnsi="Cambria"/>
        </w:rPr>
        <w:t xml:space="preserve"> Se o licitante não atender às exigências de habilitação, a Pregoeira examinará a proposta subsequente e assim sucessivamente na ordem de classificação, até a seleção da proposta que melhor atenda a este Edital.</w:t>
      </w:r>
    </w:p>
    <w:p w14:paraId="4DAB2E11">
      <w:pPr>
        <w:widowControl w:val="0"/>
        <w:tabs>
          <w:tab w:val="left" w:pos="850"/>
          <w:tab w:val="left" w:pos="1211"/>
        </w:tabs>
        <w:spacing w:before="240" w:line="276" w:lineRule="auto"/>
        <w:jc w:val="both"/>
        <w:rPr>
          <w:rFonts w:ascii="Cambria" w:hAnsi="Cambria"/>
        </w:rPr>
      </w:pPr>
      <w:r>
        <w:rPr>
          <w:rFonts w:ascii="Cambria" w:hAnsi="Cambria"/>
          <w:b/>
        </w:rPr>
        <w:t>9.14</w:t>
      </w:r>
      <w:r>
        <w:rPr>
          <w:rFonts w:ascii="Cambria" w:hAnsi="Cambria"/>
        </w:rPr>
        <w:t xml:space="preserve"> Constatado o atendimento às exigências fixadas neste Edital o licitante será declarado vencedor.</w:t>
      </w:r>
    </w:p>
    <w:p w14:paraId="1F545CFF">
      <w:pPr>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tabs>
          <w:tab w:val="left" w:pos="1701"/>
        </w:tabs>
        <w:spacing w:before="240" w:line="276" w:lineRule="auto"/>
        <w:jc w:val="both"/>
        <w:rPr>
          <w:rFonts w:ascii="Cambria" w:hAnsi="Cambria"/>
          <w:b/>
          <w:bCs/>
        </w:rPr>
      </w:pPr>
      <w:r>
        <w:rPr>
          <w:rFonts w:ascii="Cambria" w:hAnsi="Cambria"/>
          <w:b/>
          <w:bCs/>
        </w:rPr>
        <w:t>10. DO ENVIO DA PROPOSTA READEQUADA E DOCUMENTOS DE HABILITAÇÃO</w:t>
      </w:r>
    </w:p>
    <w:p w14:paraId="35958E11">
      <w:pPr>
        <w:widowControl w:val="0"/>
        <w:tabs>
          <w:tab w:val="left" w:pos="850"/>
          <w:tab w:val="left" w:pos="1211"/>
          <w:tab w:val="left" w:pos="1985"/>
        </w:tabs>
        <w:spacing w:before="240" w:line="276" w:lineRule="auto"/>
        <w:jc w:val="both"/>
        <w:rPr>
          <w:rFonts w:ascii="Cambria" w:hAnsi="Cambria"/>
        </w:rPr>
      </w:pPr>
      <w:r>
        <w:rPr>
          <w:rFonts w:ascii="Cambria" w:hAnsi="Cambria"/>
          <w:b/>
        </w:rPr>
        <w:t>10.1</w:t>
      </w:r>
      <w:r>
        <w:rPr>
          <w:rFonts w:ascii="Cambria" w:hAnsi="Cambria"/>
        </w:rPr>
        <w:t xml:space="preserve"> </w:t>
      </w:r>
      <w:r>
        <w:rPr>
          <w:rFonts w:ascii="Cambria" w:hAnsi="Cambria"/>
          <w:b/>
        </w:rPr>
        <w:t>A licitante melhor classificada deverá encaminhar a proposta de preço adequada ao último lance, bem como os documentos de habilitação, no prazo de até 02 (duas) horas</w:t>
      </w:r>
      <w:r>
        <w:rPr>
          <w:rFonts w:ascii="Cambria" w:hAnsi="Cambria"/>
        </w:rPr>
        <w:t>, conforme disposto no art. 36, §3º do Decreto Municipal nº 21, de 2024, contado da convocação efetuada pela Pregoeira por meio da opção “</w:t>
      </w:r>
      <w:r>
        <w:rPr>
          <w:rFonts w:ascii="Cambria" w:hAnsi="Cambria"/>
          <w:i/>
          <w:iCs/>
          <w14:shadow w14:blurRad="50800" w14:dist="38100" w14:dir="2700000" w14:sx="100000" w14:sy="100000" w14:kx="0" w14:ky="0" w14:algn="tl">
            <w14:srgbClr w14:val="000000">
              <w14:alpha w14:val="60000"/>
            </w14:srgbClr>
          </w14:shadow>
        </w:rPr>
        <w:t>Documentos Complementares</w:t>
      </w:r>
      <w:r>
        <w:rPr>
          <w:rFonts w:ascii="Cambria" w:hAnsi="Cambria"/>
        </w:rPr>
        <w:t>” na Bolsa Nacional de Compras - BNC.</w:t>
      </w:r>
    </w:p>
    <w:p w14:paraId="4577DF64">
      <w:pPr>
        <w:widowControl w:val="0"/>
        <w:tabs>
          <w:tab w:val="left" w:pos="850"/>
          <w:tab w:val="left" w:pos="1211"/>
          <w:tab w:val="left" w:pos="1985"/>
        </w:tabs>
        <w:spacing w:before="240" w:line="276" w:lineRule="auto"/>
        <w:ind w:firstLine="567"/>
        <w:jc w:val="both"/>
        <w:rPr>
          <w:rFonts w:ascii="Cambria" w:hAnsi="Cambria"/>
        </w:rPr>
      </w:pPr>
      <w:r>
        <w:rPr>
          <w:rFonts w:ascii="Cambria" w:hAnsi="Cambria"/>
          <w:b/>
        </w:rPr>
        <w:t>I.</w:t>
      </w:r>
      <w:r>
        <w:rPr>
          <w:rFonts w:ascii="Cambria" w:hAnsi="Cambria"/>
        </w:rPr>
        <w:t xml:space="preserve"> Caso a licitante não consiga fazer o envio via sistema eletrônico a mesma poderá encaminhar a proposta de preço adequada ao último lance, </w:t>
      </w:r>
      <w:r>
        <w:rPr>
          <w:rFonts w:ascii="Cambria" w:hAnsi="Cambria"/>
          <w:bCs/>
        </w:rPr>
        <w:t>bem como os documentos os documentos de habilitação</w:t>
      </w:r>
      <w:r>
        <w:rPr>
          <w:rFonts w:ascii="Cambria" w:hAnsi="Cambria"/>
        </w:rPr>
        <w:t xml:space="preserve"> para o e-mail </w:t>
      </w:r>
      <w:r>
        <w:rPr>
          <w:rFonts w:ascii="Cambria" w:hAnsi="Cambria"/>
          <w14:shadow w14:blurRad="50800" w14:dist="38100" w14:dir="2700000" w14:sx="100000" w14:sy="100000" w14:kx="0" w14:ky="0" w14:algn="tl">
            <w14:srgbClr w14:val="000000">
              <w14:alpha w14:val="60000"/>
            </w14:srgbClr>
          </w14:shadow>
        </w:rPr>
        <w:t xml:space="preserve">licitacaopiracanjuba@hotmail.com </w:t>
      </w:r>
      <w:r>
        <w:rPr>
          <w:rFonts w:ascii="Cambria" w:hAnsi="Cambria"/>
        </w:rPr>
        <w:t>nos mesmos termos exigidos no subitem 10.1.</w:t>
      </w:r>
    </w:p>
    <w:p w14:paraId="679EE6A6">
      <w:pPr>
        <w:widowControl w:val="0"/>
        <w:tabs>
          <w:tab w:val="left" w:pos="850"/>
          <w:tab w:val="left" w:pos="1211"/>
          <w:tab w:val="left" w:pos="1985"/>
        </w:tabs>
        <w:spacing w:before="240" w:line="276" w:lineRule="auto"/>
        <w:jc w:val="both"/>
        <w:rPr>
          <w:rFonts w:ascii="Cambria" w:hAnsi="Cambria"/>
        </w:rPr>
      </w:pPr>
      <w:r>
        <w:rPr>
          <w:rFonts w:ascii="Cambria" w:hAnsi="Cambria"/>
          <w:b/>
          <w:bCs/>
        </w:rPr>
        <w:t xml:space="preserve">10.2 </w:t>
      </w:r>
      <w:r>
        <w:rPr>
          <w:rFonts w:ascii="Cambria" w:hAnsi="Cambria"/>
        </w:rPr>
        <w:t>A licitante que abandonar o certame, deixando de enviar a proposta e documentos de habilitação será desclassificada/inabilitada e sujeitar-se-á às sanções previstas neste Edital.</w:t>
      </w:r>
    </w:p>
    <w:p w14:paraId="3B1321DC">
      <w:pPr>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tabs>
          <w:tab w:val="left" w:pos="1701"/>
        </w:tabs>
        <w:spacing w:before="240" w:line="276" w:lineRule="auto"/>
        <w:jc w:val="both"/>
        <w:rPr>
          <w:rFonts w:ascii="Cambria" w:hAnsi="Cambria"/>
          <w:b/>
          <w:bCs/>
        </w:rPr>
      </w:pPr>
      <w:r>
        <w:rPr>
          <w:rFonts w:ascii="Cambria" w:hAnsi="Cambria"/>
          <w:b/>
          <w:bCs/>
        </w:rPr>
        <w:t>11. DO RECURSO</w:t>
      </w:r>
    </w:p>
    <w:p w14:paraId="6806CD09">
      <w:pPr>
        <w:widowControl w:val="0"/>
        <w:tabs>
          <w:tab w:val="left" w:pos="850"/>
          <w:tab w:val="left" w:pos="1211"/>
        </w:tabs>
        <w:spacing w:before="240" w:line="276" w:lineRule="auto"/>
        <w:jc w:val="both"/>
        <w:rPr>
          <w:rFonts w:ascii="Cambria" w:hAnsi="Cambria"/>
        </w:rPr>
      </w:pPr>
      <w:r>
        <w:rPr>
          <w:rFonts w:ascii="Cambria" w:hAnsi="Cambria"/>
          <w:b/>
        </w:rPr>
        <w:t>11.1</w:t>
      </w:r>
      <w:r>
        <w:rPr>
          <w:rFonts w:ascii="Cambria" w:hAnsi="Cambria"/>
        </w:rPr>
        <w:t xml:space="preserve"> Declarada a vencedora a Pregoeira abrirá </w:t>
      </w:r>
      <w:r>
        <w:rPr>
          <w:rFonts w:ascii="Cambria" w:hAnsi="Cambria"/>
          <w:b/>
        </w:rPr>
        <w:t>prazo de 15 (quinze) minutos</w:t>
      </w:r>
      <w:r>
        <w:rPr>
          <w:rFonts w:ascii="Cambria" w:hAnsi="Cambria"/>
        </w:rPr>
        <w:t xml:space="preserve"> durante o qual qualquer licitante poderá de forma imediata e motivada em campo próprio do sistema manifestar sua intenção de recurso.</w:t>
      </w:r>
    </w:p>
    <w:p w14:paraId="33FC577F">
      <w:pPr>
        <w:widowControl w:val="0"/>
        <w:tabs>
          <w:tab w:val="left" w:pos="850"/>
          <w:tab w:val="left" w:pos="1211"/>
        </w:tabs>
        <w:spacing w:before="240" w:line="276" w:lineRule="auto"/>
        <w:jc w:val="both"/>
        <w:rPr>
          <w:rFonts w:ascii="Cambria" w:hAnsi="Cambria"/>
        </w:rPr>
      </w:pPr>
      <w:r>
        <w:rPr>
          <w:rFonts w:ascii="Cambria" w:hAnsi="Cambria"/>
          <w:b/>
        </w:rPr>
        <w:t>11.2</w:t>
      </w:r>
      <w:r>
        <w:rPr>
          <w:rFonts w:ascii="Cambria" w:hAnsi="Cambria"/>
        </w:rPr>
        <w:t xml:space="preserve"> A Pregoeira examinará a intenção de recurso, aceitando-a ou, motivadamente, rejeitando-a, em campo próprio do sistema.</w:t>
      </w:r>
    </w:p>
    <w:p w14:paraId="72B568BE">
      <w:pPr>
        <w:widowControl w:val="0"/>
        <w:tabs>
          <w:tab w:val="left" w:pos="850"/>
          <w:tab w:val="left" w:pos="1211"/>
        </w:tabs>
        <w:spacing w:before="240" w:line="276" w:lineRule="auto"/>
        <w:jc w:val="both"/>
        <w:rPr>
          <w:rFonts w:ascii="Cambria" w:hAnsi="Cambria"/>
        </w:rPr>
      </w:pPr>
      <w:r>
        <w:rPr>
          <w:rFonts w:ascii="Cambria" w:hAnsi="Cambria"/>
          <w:b/>
        </w:rPr>
        <w:t>11.3</w:t>
      </w:r>
      <w:r>
        <w:rPr>
          <w:rFonts w:ascii="Cambria" w:hAnsi="Cambria"/>
        </w:rPr>
        <w:t xml:space="preserve"> A licitante que tiver sua intenção de recurso aceita deverá registrar as razões do recurso, em campo próprio do sistema, no prazo de 03 (três) dias, ficando as demais licitantes, desde logo, intimadas a apresentar contrarrazões, também via sistema, em igual prazo, que começará a correr do término do prazo da recorrente.</w:t>
      </w:r>
    </w:p>
    <w:p w14:paraId="324C4032">
      <w:pPr>
        <w:widowControl w:val="0"/>
        <w:tabs>
          <w:tab w:val="left" w:pos="850"/>
          <w:tab w:val="left" w:pos="1211"/>
        </w:tabs>
        <w:spacing w:before="240" w:line="276" w:lineRule="auto"/>
        <w:jc w:val="both"/>
        <w:rPr>
          <w:rFonts w:ascii="Cambria" w:hAnsi="Cambria"/>
        </w:rPr>
      </w:pPr>
      <w:r>
        <w:rPr>
          <w:rFonts w:ascii="Cambria" w:hAnsi="Cambria"/>
          <w:b/>
          <w:bCs/>
        </w:rPr>
        <w:t>11.4</w:t>
      </w:r>
      <w:r>
        <w:rPr>
          <w:rFonts w:ascii="Cambria" w:hAnsi="Cambria"/>
        </w:rPr>
        <w:t xml:space="preserve"> Será assegurado ao licitante vista dos elementos indispensáveis à defesa de seus interesses.</w:t>
      </w:r>
    </w:p>
    <w:p w14:paraId="1CED65BD">
      <w:pPr>
        <w:widowControl w:val="0"/>
        <w:tabs>
          <w:tab w:val="left" w:pos="850"/>
          <w:tab w:val="left" w:pos="1211"/>
        </w:tabs>
        <w:spacing w:before="240" w:line="276" w:lineRule="auto"/>
        <w:jc w:val="both"/>
        <w:rPr>
          <w:rFonts w:ascii="Cambria" w:hAnsi="Cambria"/>
        </w:rPr>
      </w:pPr>
      <w:r>
        <w:rPr>
          <w:rFonts w:ascii="Cambria" w:hAnsi="Cambria"/>
          <w:b/>
        </w:rPr>
        <w:t>11.5</w:t>
      </w:r>
      <w:r>
        <w:rPr>
          <w:rFonts w:ascii="Cambria" w:hAnsi="Cambria"/>
        </w:rPr>
        <w:t xml:space="preserve"> O acolhimento do recurso implicará a invalidação apenas dos atos insuscetíveis de aproveitamento.</w:t>
      </w:r>
    </w:p>
    <w:p w14:paraId="0CB9F03B">
      <w:pPr>
        <w:widowControl w:val="0"/>
        <w:tabs>
          <w:tab w:val="left" w:pos="850"/>
          <w:tab w:val="left" w:pos="1211"/>
        </w:tabs>
        <w:spacing w:before="240" w:line="276" w:lineRule="auto"/>
        <w:jc w:val="both"/>
        <w:rPr>
          <w:rFonts w:ascii="Cambria" w:hAnsi="Cambria"/>
        </w:rPr>
      </w:pPr>
      <w:r>
        <w:rPr>
          <w:rFonts w:ascii="Cambria" w:hAnsi="Cambria"/>
          <w:b/>
          <w:bCs/>
        </w:rPr>
        <w:t>11.6</w:t>
      </w:r>
      <w:r>
        <w:rPr>
          <w:rFonts w:ascii="Cambria" w:hAnsi="Cambria"/>
        </w:rPr>
        <w:t xml:space="preserve"> Os recursos interpostos fora do prazo não serão reconhecidos.</w:t>
      </w:r>
    </w:p>
    <w:p w14:paraId="5A64C72B">
      <w:pPr>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tabs>
          <w:tab w:val="left" w:pos="1701"/>
        </w:tabs>
        <w:spacing w:before="240" w:line="276" w:lineRule="auto"/>
        <w:jc w:val="both"/>
        <w:rPr>
          <w:rFonts w:ascii="Cambria" w:hAnsi="Cambria"/>
          <w:b/>
          <w:bCs/>
        </w:rPr>
      </w:pPr>
      <w:r>
        <w:rPr>
          <w:rFonts w:ascii="Cambria" w:hAnsi="Cambria"/>
          <w:b/>
          <w:bCs/>
        </w:rPr>
        <w:t>12. DA ADJUDICAÇÃO, HOMOLOGAÇÃO E CONTRATAÇÃO</w:t>
      </w:r>
    </w:p>
    <w:p w14:paraId="6739AFB5">
      <w:pPr>
        <w:widowControl w:val="0"/>
        <w:tabs>
          <w:tab w:val="left" w:pos="850"/>
          <w:tab w:val="left" w:pos="1211"/>
        </w:tabs>
        <w:spacing w:before="240" w:line="276" w:lineRule="auto"/>
        <w:jc w:val="both"/>
        <w:rPr>
          <w:rFonts w:ascii="Cambria" w:hAnsi="Cambria"/>
        </w:rPr>
      </w:pPr>
      <w:r>
        <w:rPr>
          <w:rFonts w:ascii="Cambria" w:hAnsi="Cambria"/>
          <w:b/>
        </w:rPr>
        <w:t>12.1</w:t>
      </w:r>
      <w:r>
        <w:rPr>
          <w:rFonts w:ascii="Cambria" w:hAnsi="Cambria"/>
        </w:rPr>
        <w:t xml:space="preserve"> Encerradas as fases de julgamento e habilitação e exauridos os recursos administrativos, o processo licitatório será encaminhado à autoridade superior para adjudicar e homologar a licitação, observado o disposto no art. 71, da Lei Federal nº 14.133, de 2021.</w:t>
      </w:r>
    </w:p>
    <w:p w14:paraId="2B16B2F5">
      <w:pPr>
        <w:widowControl w:val="0"/>
        <w:tabs>
          <w:tab w:val="left" w:pos="850"/>
          <w:tab w:val="left" w:pos="1211"/>
        </w:tabs>
        <w:spacing w:before="240" w:line="276" w:lineRule="auto"/>
        <w:jc w:val="both"/>
        <w:rPr>
          <w:rFonts w:ascii="Cambria" w:hAnsi="Cambria"/>
        </w:rPr>
      </w:pPr>
      <w:r>
        <w:rPr>
          <w:rFonts w:ascii="Cambria" w:hAnsi="Cambria"/>
          <w:b/>
        </w:rPr>
        <w:t>12.2</w:t>
      </w:r>
      <w:r>
        <w:rPr>
          <w:rFonts w:ascii="Cambria" w:hAnsi="Cambria"/>
        </w:rPr>
        <w:t xml:space="preserve"> Integra o presente Edital, sob forma de anexo, a Minuta do Contrato cujas disposições disciplinarão as relações entre contratante e contratada.</w:t>
      </w:r>
    </w:p>
    <w:p w14:paraId="655D2262">
      <w:pPr>
        <w:tabs>
          <w:tab w:val="left" w:pos="1701"/>
        </w:tabs>
        <w:spacing w:before="240" w:line="276" w:lineRule="auto"/>
        <w:jc w:val="both"/>
        <w:rPr>
          <w:rFonts w:ascii="Cambria" w:hAnsi="Cambria"/>
        </w:rPr>
      </w:pPr>
      <w:r>
        <w:rPr>
          <w:rFonts w:ascii="Cambria" w:hAnsi="Cambria"/>
          <w:b/>
        </w:rPr>
        <w:t xml:space="preserve">12.3 </w:t>
      </w:r>
      <w:r>
        <w:rPr>
          <w:rFonts w:ascii="Cambria" w:hAnsi="Cambria"/>
          <w:bCs/>
        </w:rPr>
        <w:t>Uma vez</w:t>
      </w:r>
      <w:r>
        <w:rPr>
          <w:rFonts w:ascii="Cambria" w:hAnsi="Cambria"/>
          <w:b/>
        </w:rPr>
        <w:t xml:space="preserve"> </w:t>
      </w:r>
      <w:r>
        <w:rPr>
          <w:rFonts w:ascii="Cambria" w:hAnsi="Cambria"/>
        </w:rPr>
        <w:t>homologado o resultado do certame pela Autoridade Superior, o prazo para assinatura da Ata de Registro de Preços e/ou Contrato de Fornecimento será de até 02 (dois) dias úteis contados do envio da convocação, podendo ser prorrogado uma vez, desde que solicitado por escrito, antes do término do prazo previsto, e com exposição de motivo justo que poderá ou não ser aceito pela Administração. A Ata de Registro de Preços e/ou Contrato de Fornecimento deverá ser assinado por Representante Legal, Diretor, ou Sócio da Empresa, com apresentação, conforme o caso de procuração ou cédula de identidade.</w:t>
      </w:r>
    </w:p>
    <w:p w14:paraId="40FCFBB8">
      <w:pPr>
        <w:pStyle w:val="22"/>
        <w:spacing w:before="240" w:line="276" w:lineRule="auto"/>
        <w:ind w:firstLine="567"/>
        <w:jc w:val="both"/>
        <w:rPr>
          <w:rFonts w:ascii="Cambria" w:hAnsi="Cambria"/>
        </w:rPr>
      </w:pPr>
      <w:r>
        <w:rPr>
          <w:rFonts w:ascii="Cambria" w:hAnsi="Cambria"/>
          <w:b/>
        </w:rPr>
        <w:t xml:space="preserve">I. </w:t>
      </w:r>
      <w:r>
        <w:rPr>
          <w:rFonts w:ascii="Cambria" w:hAnsi="Cambria"/>
        </w:rPr>
        <w:t>A convocação de que trata o subitem 12.3 do se dará via e-mail cadastrado no sistema eletrônico pela licitante.</w:t>
      </w:r>
    </w:p>
    <w:p w14:paraId="109C80ED">
      <w:pPr>
        <w:pStyle w:val="22"/>
        <w:spacing w:before="240" w:line="276" w:lineRule="auto"/>
        <w:jc w:val="both"/>
        <w:rPr>
          <w:rFonts w:ascii="Cambria" w:hAnsi="Cambria"/>
        </w:rPr>
      </w:pPr>
      <w:r>
        <w:rPr>
          <w:rFonts w:ascii="Cambria" w:hAnsi="Cambria"/>
          <w:b/>
        </w:rPr>
        <w:t>12.4</w:t>
      </w:r>
      <w:r>
        <w:rPr>
          <w:rFonts w:ascii="Cambria" w:hAnsi="Cambria"/>
          <w:bCs/>
        </w:rPr>
        <w:t xml:space="preserve"> A recusa do adjudicatário em assinar a Ata de Registro de preços, dentro do prazo estabelecido no edital, permitirá a convocação dos licitantes que aceitarem fornecer os bens, executar as obras ou serviços, inclusive de engenharia, com preços iguais aos do licitante vencedor, seguindo a ordem de classificação, sem prejuízo da aplicação das sanções previstas em lei e neste edital</w:t>
      </w:r>
      <w:r>
        <w:rPr>
          <w:rFonts w:ascii="Cambria" w:hAnsi="Cambria"/>
        </w:rPr>
        <w:t>.</w:t>
      </w:r>
    </w:p>
    <w:p w14:paraId="08E9299B">
      <w:pPr>
        <w:pStyle w:val="22"/>
        <w:spacing w:before="240" w:line="276" w:lineRule="auto"/>
        <w:jc w:val="both"/>
        <w:rPr>
          <w:rFonts w:ascii="Cambria" w:hAnsi="Cambria"/>
        </w:rPr>
      </w:pPr>
      <w:r>
        <w:rPr>
          <w:rFonts w:ascii="Cambria" w:hAnsi="Cambria"/>
          <w:b/>
          <w:bCs/>
        </w:rPr>
        <w:t>12.5</w:t>
      </w:r>
      <w:r>
        <w:rPr>
          <w:rFonts w:ascii="Cambria" w:hAnsi="Cambria"/>
        </w:rPr>
        <w:t xml:space="preserve"> A recusa injustificada em assinar a Ata de Registro de Preços, ou cuja justificativa não seja aceita pelo Órgão Gerenciador, implicará na instauração de procedimento administrativo autônomo paras, após garantidos o contraditório e a ampla defesa, eventual aplicação de sanções administrativas.</w:t>
      </w:r>
    </w:p>
    <w:p w14:paraId="5AA8C70E">
      <w:pPr>
        <w:pStyle w:val="22"/>
        <w:spacing w:before="240" w:line="276" w:lineRule="auto"/>
        <w:jc w:val="both"/>
        <w:rPr>
          <w:rFonts w:ascii="Cambria" w:hAnsi="Cambria"/>
          <w:bCs/>
        </w:rPr>
      </w:pPr>
      <w:r>
        <w:rPr>
          <w:rFonts w:ascii="Cambria" w:hAnsi="Cambria"/>
          <w:b/>
          <w:bCs/>
        </w:rPr>
        <w:t>12.6</w:t>
      </w:r>
      <w:r>
        <w:rPr>
          <w:rFonts w:ascii="Cambria" w:hAnsi="Cambria"/>
        </w:rPr>
        <w:t xml:space="preserve"> Na hipótese de nenhum dos licitantes aceitar a Ata de Registro de Preços nos termos do subitem 12.4, a administração pública municipal poderá convocar os licitantes remanescentes, na ordem de classificação, para a assinatura da Ata de Registro de Preços nas condições ofertadas por estes, desde que o valor seja igual ou inferior ao orçamento estimado para a contratação, inclusive quando aos preços atualizados, nos termos deste edital.</w:t>
      </w:r>
    </w:p>
    <w:p w14:paraId="07BA922D">
      <w:pPr>
        <w:tabs>
          <w:tab w:val="left" w:pos="1701"/>
        </w:tabs>
        <w:spacing w:before="240" w:line="276" w:lineRule="auto"/>
        <w:jc w:val="both"/>
        <w:rPr>
          <w:rFonts w:ascii="Cambria" w:hAnsi="Cambria"/>
        </w:rPr>
      </w:pPr>
      <w:r>
        <w:rPr>
          <w:rFonts w:ascii="Cambria" w:hAnsi="Cambria"/>
          <w:b/>
        </w:rPr>
        <w:t xml:space="preserve">12.7 </w:t>
      </w:r>
      <w:r>
        <w:rPr>
          <w:rFonts w:ascii="Cambria" w:hAnsi="Cambria"/>
        </w:rPr>
        <w:t>A Ata de Registro de Preços e/ou Contrato de Fornecimento referente ao presente Pregão Eletrônico terá seu extrato publicado no quadro de avisos (Placar) da Prefeitura de Piracanjuba, Jornal de Grande Circulação, e sua integra no Portal Nacional de Contratações Públicas (PNCP) e site Oficial da Prefeitura de Piracanjuba/GO.</w:t>
      </w:r>
    </w:p>
    <w:p w14:paraId="1F51232C">
      <w:pPr>
        <w:tabs>
          <w:tab w:val="left" w:pos="1701"/>
        </w:tabs>
        <w:spacing w:before="240" w:line="276" w:lineRule="auto"/>
        <w:jc w:val="both"/>
        <w:rPr>
          <w:rFonts w:ascii="Cambria" w:hAnsi="Cambria"/>
        </w:rPr>
      </w:pPr>
      <w:r>
        <w:rPr>
          <w:rFonts w:ascii="Cambria" w:hAnsi="Cambria"/>
          <w:b/>
        </w:rPr>
        <w:t xml:space="preserve">12.8 </w:t>
      </w:r>
      <w:r>
        <w:rPr>
          <w:rFonts w:ascii="Cambria" w:hAnsi="Cambria"/>
        </w:rPr>
        <w:t>A Licitante não poderá ceder ou transferir o contrato total ou parcialmente a terceiros.</w:t>
      </w:r>
    </w:p>
    <w:p w14:paraId="07E760E5">
      <w:pPr>
        <w:tabs>
          <w:tab w:val="left" w:pos="1701"/>
        </w:tabs>
        <w:spacing w:before="240" w:line="276" w:lineRule="auto"/>
        <w:jc w:val="both"/>
        <w:rPr>
          <w:rFonts w:ascii="Cambria" w:hAnsi="Cambria"/>
        </w:rPr>
      </w:pPr>
      <w:r>
        <w:rPr>
          <w:rFonts w:ascii="Cambria" w:hAnsi="Cambria"/>
          <w:b/>
          <w:bCs/>
        </w:rPr>
        <w:t>12.9</w:t>
      </w:r>
      <w:r>
        <w:rPr>
          <w:rFonts w:ascii="Cambria" w:hAnsi="Cambria"/>
        </w:rPr>
        <w:t xml:space="preserve"> As contratações decorrentes da Ata de Registro de Preços serão formalizadas, conforme prevê o art. 95, da Lei Federal nº 14.133, de 2021, por:</w:t>
      </w:r>
    </w:p>
    <w:p w14:paraId="5928A741">
      <w:pPr>
        <w:tabs>
          <w:tab w:val="left" w:pos="1701"/>
        </w:tabs>
        <w:spacing w:before="240" w:line="276" w:lineRule="auto"/>
        <w:ind w:firstLine="567"/>
        <w:jc w:val="both"/>
        <w:rPr>
          <w:rFonts w:ascii="Cambria" w:hAnsi="Cambria"/>
        </w:rPr>
      </w:pPr>
      <w:r>
        <w:rPr>
          <w:rFonts w:ascii="Cambria" w:hAnsi="Cambria"/>
          <w:b/>
          <w:bCs/>
        </w:rPr>
        <w:t xml:space="preserve">I. </w:t>
      </w:r>
      <w:r>
        <w:rPr>
          <w:rFonts w:ascii="Cambria" w:hAnsi="Cambria"/>
        </w:rPr>
        <w:t>Instrumento Contratual.</w:t>
      </w:r>
    </w:p>
    <w:p w14:paraId="00C0CD3B">
      <w:pPr>
        <w:tabs>
          <w:tab w:val="left" w:pos="1701"/>
        </w:tabs>
        <w:spacing w:before="240" w:line="276" w:lineRule="auto"/>
        <w:ind w:firstLine="567"/>
        <w:jc w:val="both"/>
        <w:rPr>
          <w:rFonts w:ascii="Cambria" w:hAnsi="Cambria"/>
        </w:rPr>
      </w:pPr>
      <w:r>
        <w:rPr>
          <w:rFonts w:ascii="Cambria" w:hAnsi="Cambria"/>
          <w:b/>
          <w:bCs/>
        </w:rPr>
        <w:t>II.</w:t>
      </w:r>
      <w:r>
        <w:rPr>
          <w:rFonts w:ascii="Cambria" w:hAnsi="Cambria"/>
        </w:rPr>
        <w:t xml:space="preserve"> Nota de Empenho da Despesa.</w:t>
      </w:r>
    </w:p>
    <w:p w14:paraId="6940473F">
      <w:pPr>
        <w:tabs>
          <w:tab w:val="left" w:pos="1701"/>
        </w:tabs>
        <w:spacing w:before="240" w:line="276" w:lineRule="auto"/>
        <w:ind w:firstLine="567"/>
        <w:jc w:val="both"/>
        <w:rPr>
          <w:rFonts w:ascii="Cambria" w:hAnsi="Cambria"/>
        </w:rPr>
      </w:pPr>
      <w:r>
        <w:rPr>
          <w:rFonts w:ascii="Cambria" w:hAnsi="Cambria"/>
          <w:b/>
          <w:bCs/>
        </w:rPr>
        <w:t>III.</w:t>
      </w:r>
      <w:r>
        <w:rPr>
          <w:rFonts w:ascii="Cambria" w:hAnsi="Cambria"/>
        </w:rPr>
        <w:t xml:space="preserve"> Autorização de Compra/ Ordem de Fornecimento.</w:t>
      </w:r>
    </w:p>
    <w:p w14:paraId="5300D036">
      <w:pPr>
        <w:tabs>
          <w:tab w:val="left" w:pos="1701"/>
        </w:tabs>
        <w:spacing w:before="240" w:line="276" w:lineRule="auto"/>
        <w:ind w:firstLine="567"/>
        <w:jc w:val="both"/>
        <w:rPr>
          <w:rFonts w:ascii="Cambria" w:hAnsi="Cambria"/>
        </w:rPr>
      </w:pPr>
      <w:r>
        <w:rPr>
          <w:rFonts w:ascii="Cambria" w:hAnsi="Cambria"/>
          <w:b/>
          <w:bCs/>
        </w:rPr>
        <w:t>IV.</w:t>
      </w:r>
      <w:r>
        <w:rPr>
          <w:rFonts w:ascii="Cambria" w:hAnsi="Cambria"/>
        </w:rPr>
        <w:t xml:space="preserve"> Ordem de Execução de Serviços; ou </w:t>
      </w:r>
    </w:p>
    <w:p w14:paraId="5EB2F90D">
      <w:pPr>
        <w:tabs>
          <w:tab w:val="left" w:pos="1701"/>
        </w:tabs>
        <w:spacing w:before="240" w:line="276" w:lineRule="auto"/>
        <w:ind w:firstLine="567"/>
        <w:jc w:val="both"/>
        <w:rPr>
          <w:rFonts w:ascii="Cambria" w:hAnsi="Cambria"/>
        </w:rPr>
      </w:pPr>
      <w:r>
        <w:rPr>
          <w:rFonts w:ascii="Cambria" w:hAnsi="Cambria"/>
          <w:b/>
          <w:bCs/>
        </w:rPr>
        <w:t>V.</w:t>
      </w:r>
      <w:r>
        <w:rPr>
          <w:rFonts w:ascii="Cambria" w:hAnsi="Cambria"/>
        </w:rPr>
        <w:t xml:space="preserve"> Outro instrumento hábil.</w:t>
      </w:r>
    </w:p>
    <w:p w14:paraId="19C87126">
      <w:pPr>
        <w:tabs>
          <w:tab w:val="left" w:pos="1701"/>
        </w:tabs>
        <w:spacing w:before="240" w:line="276" w:lineRule="auto"/>
        <w:jc w:val="both"/>
        <w:rPr>
          <w:rFonts w:ascii="Cambria" w:hAnsi="Cambria"/>
        </w:rPr>
      </w:pPr>
      <w:r>
        <w:rPr>
          <w:rFonts w:ascii="Cambria" w:hAnsi="Cambria"/>
          <w:b/>
          <w:bCs/>
        </w:rPr>
        <w:t>12.10</w:t>
      </w:r>
      <w:r>
        <w:rPr>
          <w:rFonts w:ascii="Cambria" w:hAnsi="Cambria"/>
        </w:rPr>
        <w:t xml:space="preserve"> Os contratos celebrados em decorrência do Registro de Preços estarão sujeitos às regras previstas neste Edital, bem como na Lei Federal nº 14.133, de 2021.</w:t>
      </w:r>
    </w:p>
    <w:p w14:paraId="06BF2096">
      <w:pPr>
        <w:tabs>
          <w:tab w:val="left" w:pos="1701"/>
        </w:tabs>
        <w:spacing w:before="240" w:line="276" w:lineRule="auto"/>
        <w:jc w:val="both"/>
        <w:rPr>
          <w:rFonts w:ascii="Cambria" w:hAnsi="Cambria"/>
        </w:rPr>
      </w:pPr>
      <w:r>
        <w:rPr>
          <w:rFonts w:ascii="Cambria" w:hAnsi="Cambria"/>
          <w:b/>
        </w:rPr>
        <w:t xml:space="preserve">12.11 </w:t>
      </w:r>
      <w:r>
        <w:rPr>
          <w:rFonts w:ascii="Cambria" w:hAnsi="Cambria"/>
        </w:rPr>
        <w:t>Todos os contatos, reclamações e penalidades serão feitos ou aplicados diretamente à empresa que participar da Licitação. Em nenhum caso a Administração negociará com entidades representadas pelas licitantes.</w:t>
      </w:r>
    </w:p>
    <w:p w14:paraId="6D51C68C">
      <w:pPr>
        <w:tabs>
          <w:tab w:val="left" w:pos="1701"/>
        </w:tabs>
        <w:spacing w:before="240" w:line="276" w:lineRule="auto"/>
        <w:jc w:val="both"/>
        <w:rPr>
          <w:rFonts w:ascii="Cambria" w:hAnsi="Cambria"/>
        </w:rPr>
      </w:pPr>
      <w:r>
        <w:rPr>
          <w:rFonts w:ascii="Cambria" w:hAnsi="Cambria"/>
          <w:b/>
        </w:rPr>
        <w:t>12.12</w:t>
      </w:r>
      <w:r>
        <w:rPr>
          <w:rFonts w:ascii="Cambria" w:hAnsi="Cambria"/>
        </w:rPr>
        <w:t xml:space="preserve"> A contratada obriga-se a executar o objeto licitado em perfeita harmonia e concordância com os termos deste Instrumento Convocatório, mediante solicitação através de Nota de empenho/ Ordem de Serviços/ Requisições ou equivalente, devidamente atestada por servidor da Secretaria requisitante.</w:t>
      </w:r>
    </w:p>
    <w:p w14:paraId="198DA382">
      <w:pPr>
        <w:pStyle w:val="14"/>
        <w:pBdr>
          <w:top w:val="single" w:color="auto" w:sz="4" w:space="1"/>
          <w:left w:val="single" w:color="auto" w:sz="4" w:space="4"/>
          <w:bottom w:val="single" w:color="auto" w:sz="4" w:space="1"/>
          <w:right w:val="single" w:color="auto" w:sz="4" w:space="4"/>
        </w:pBdr>
        <w:shd w:val="clear" w:color="auto" w:fill="D8D8D8" w:themeFill="background1" w:themeFillShade="D9"/>
        <w:tabs>
          <w:tab w:val="left" w:pos="708"/>
          <w:tab w:val="left" w:pos="1701"/>
        </w:tabs>
        <w:spacing w:before="240" w:line="276" w:lineRule="auto"/>
        <w:jc w:val="both"/>
        <w:rPr>
          <w:rFonts w:ascii="Cambria" w:hAnsi="Cambria"/>
          <w:b/>
          <w:bCs/>
        </w:rPr>
      </w:pPr>
      <w:r>
        <w:rPr>
          <w:rFonts w:ascii="Cambria" w:hAnsi="Cambria"/>
          <w:b/>
        </w:rPr>
        <w:t xml:space="preserve">13. DA </w:t>
      </w:r>
      <w:r>
        <w:rPr>
          <w:rFonts w:ascii="Cambria" w:hAnsi="Cambria"/>
          <w:b/>
          <w:bCs/>
        </w:rPr>
        <w:t>VALIDADE DO REGISTRO DE PREÇOS</w:t>
      </w:r>
    </w:p>
    <w:p w14:paraId="019BB246">
      <w:pPr>
        <w:tabs>
          <w:tab w:val="left" w:pos="1701"/>
        </w:tabs>
        <w:spacing w:before="240" w:line="276" w:lineRule="auto"/>
        <w:jc w:val="both"/>
        <w:rPr>
          <w:rFonts w:ascii="Cambria" w:hAnsi="Cambria"/>
        </w:rPr>
      </w:pPr>
      <w:r>
        <w:rPr>
          <w:rFonts w:ascii="Cambria" w:hAnsi="Cambria"/>
          <w:b/>
        </w:rPr>
        <w:t>13.1</w:t>
      </w:r>
      <w:r>
        <w:rPr>
          <w:rFonts w:ascii="Cambria" w:hAnsi="Cambria"/>
        </w:rPr>
        <w:t xml:space="preserve"> A Ata de Registro de Preços terá vigência de 12 (doze) meses contar da data de sua publicação no Portal Nacional de Contratações Públicas (PNCP), podendo ter sua vigência prorrogada nos moldes estabelecidos na Lei Federal nº 14.133, de 2021.</w:t>
      </w:r>
    </w:p>
    <w:p w14:paraId="5F236577">
      <w:pPr>
        <w:tabs>
          <w:tab w:val="left" w:pos="1701"/>
        </w:tabs>
        <w:spacing w:before="240" w:line="276" w:lineRule="auto"/>
        <w:jc w:val="both"/>
        <w:rPr>
          <w:rFonts w:ascii="Cambria" w:hAnsi="Cambria"/>
        </w:rPr>
      </w:pPr>
      <w:r>
        <w:rPr>
          <w:rFonts w:ascii="Cambria" w:hAnsi="Cambria"/>
          <w:b/>
          <w:bCs/>
        </w:rPr>
        <w:t>13.2</w:t>
      </w:r>
      <w:r>
        <w:rPr>
          <w:rFonts w:ascii="Cambria" w:hAnsi="Cambria"/>
        </w:rPr>
        <w:t xml:space="preserve"> No ato de prorrogação da vigência da Ata de Registro de Preços poderá haver a renovação dos quantitativos registrados, até o limite do quantitativo original.</w:t>
      </w:r>
    </w:p>
    <w:p w14:paraId="74B271FB">
      <w:pPr>
        <w:tabs>
          <w:tab w:val="left" w:pos="1701"/>
        </w:tabs>
        <w:spacing w:before="240" w:line="276" w:lineRule="auto"/>
        <w:ind w:firstLine="567"/>
        <w:jc w:val="both"/>
        <w:rPr>
          <w:rFonts w:ascii="Cambria" w:hAnsi="Cambria"/>
        </w:rPr>
      </w:pPr>
      <w:r>
        <w:rPr>
          <w:rFonts w:ascii="Cambria" w:hAnsi="Cambria"/>
          <w:b/>
          <w:bCs/>
        </w:rPr>
        <w:t xml:space="preserve">I. </w:t>
      </w:r>
      <w:r>
        <w:rPr>
          <w:rFonts w:ascii="Cambria" w:hAnsi="Cambria"/>
        </w:rPr>
        <w:t>O ato de prorrogação da vigência da ata deverá indicar expressamente o prazo de prorrogação e o quantitativo renovado.</w:t>
      </w:r>
    </w:p>
    <w:p w14:paraId="2ED96DA7">
      <w:pPr>
        <w:tabs>
          <w:tab w:val="left" w:pos="1701"/>
        </w:tabs>
        <w:spacing w:before="240" w:line="276" w:lineRule="auto"/>
        <w:jc w:val="both"/>
        <w:rPr>
          <w:rFonts w:ascii="Cambria" w:hAnsi="Cambria"/>
        </w:rPr>
      </w:pPr>
      <w:r>
        <w:rPr>
          <w:rFonts w:ascii="Cambria" w:hAnsi="Cambria"/>
          <w:b/>
          <w:bCs/>
        </w:rPr>
        <w:t>13.3</w:t>
      </w:r>
      <w:r>
        <w:rPr>
          <w:rFonts w:ascii="Cambria" w:hAnsi="Cambria"/>
        </w:rPr>
        <w:t xml:space="preserve"> A existência de preços registrados não obrigada a administração municipal a firmar contratações que deles possam advir, facultada a realização de licitação específica para a aquisição pretendida, sendo assegurado ao beneficiário do registro preferência de fornecimento ou contratação em igualdade de condições.</w:t>
      </w:r>
    </w:p>
    <w:p w14:paraId="5F6C3D86">
      <w:pPr>
        <w:pStyle w:val="14"/>
        <w:pBdr>
          <w:top w:val="single" w:color="auto" w:sz="4" w:space="1"/>
          <w:left w:val="single" w:color="auto" w:sz="4" w:space="4"/>
          <w:bottom w:val="single" w:color="auto" w:sz="4" w:space="1"/>
          <w:right w:val="single" w:color="auto" w:sz="4" w:space="4"/>
        </w:pBdr>
        <w:shd w:val="clear" w:color="auto" w:fill="D8D8D8" w:themeFill="background1" w:themeFillShade="D9"/>
        <w:tabs>
          <w:tab w:val="left" w:pos="708"/>
          <w:tab w:val="left" w:pos="1701"/>
        </w:tabs>
        <w:spacing w:before="240" w:line="276" w:lineRule="auto"/>
        <w:jc w:val="both"/>
        <w:rPr>
          <w:rFonts w:ascii="Cambria" w:hAnsi="Cambria"/>
          <w:b/>
          <w:bCs/>
        </w:rPr>
      </w:pPr>
      <w:r>
        <w:rPr>
          <w:rFonts w:ascii="Cambria" w:hAnsi="Cambria"/>
          <w:b/>
        </w:rPr>
        <w:t xml:space="preserve">14. DA </w:t>
      </w:r>
      <w:r>
        <w:rPr>
          <w:rFonts w:ascii="Cambria" w:hAnsi="Cambria"/>
          <w:b/>
          <w:bCs/>
        </w:rPr>
        <w:t>ATA DE REGISTRO DE PREÇOS</w:t>
      </w:r>
    </w:p>
    <w:p w14:paraId="10D8DA98">
      <w:pPr>
        <w:tabs>
          <w:tab w:val="left" w:pos="1701"/>
        </w:tabs>
        <w:spacing w:before="240" w:line="276" w:lineRule="auto"/>
        <w:jc w:val="both"/>
        <w:rPr>
          <w:rFonts w:ascii="Cambria" w:hAnsi="Cambria"/>
        </w:rPr>
      </w:pPr>
      <w:r>
        <w:rPr>
          <w:rFonts w:ascii="Cambria" w:hAnsi="Cambria"/>
          <w:b/>
          <w:bCs/>
        </w:rPr>
        <w:t>14.1</w:t>
      </w:r>
      <w:r>
        <w:rPr>
          <w:rFonts w:ascii="Cambria" w:hAnsi="Cambria"/>
        </w:rPr>
        <w:t xml:space="preserve"> Após o julgamento da proposta e a homologação do certame será lavrada a Ata de Registro de Preços, assinada pela Autoridade competente e pelas licitantes vencedoras.</w:t>
      </w:r>
    </w:p>
    <w:p w14:paraId="54251DE7">
      <w:pPr>
        <w:tabs>
          <w:tab w:val="left" w:pos="1701"/>
        </w:tabs>
        <w:spacing w:before="240" w:line="276" w:lineRule="auto"/>
        <w:jc w:val="both"/>
        <w:rPr>
          <w:rFonts w:ascii="Cambria" w:hAnsi="Cambria"/>
        </w:rPr>
      </w:pPr>
      <w:r>
        <w:rPr>
          <w:rFonts w:ascii="Cambria" w:hAnsi="Cambria"/>
          <w:b/>
          <w:bCs/>
        </w:rPr>
        <w:t>14.2</w:t>
      </w:r>
      <w:r>
        <w:rPr>
          <w:rFonts w:ascii="Cambria" w:hAnsi="Cambria"/>
        </w:rPr>
        <w:t xml:space="preserve"> A Ata de Registro de Preços discriminará todos os itens que compõem o objeto licitado, com os respectivos preços unitários e totais, ficando esclarecido que a contratação das aquisições obedecerá à conveniência e às necessidades da administração, que não se obriga a requisitar todas as quantidades registradas.</w:t>
      </w:r>
    </w:p>
    <w:p w14:paraId="3C2E7166">
      <w:pPr>
        <w:tabs>
          <w:tab w:val="left" w:pos="1701"/>
        </w:tabs>
        <w:spacing w:before="240" w:line="276" w:lineRule="auto"/>
        <w:jc w:val="both"/>
        <w:rPr>
          <w:rFonts w:ascii="Cambria" w:hAnsi="Cambria"/>
        </w:rPr>
      </w:pPr>
      <w:r>
        <w:rPr>
          <w:rFonts w:ascii="Cambria" w:hAnsi="Cambria"/>
          <w:b/>
          <w:bCs/>
        </w:rPr>
        <w:t xml:space="preserve">14.3 </w:t>
      </w:r>
      <w:r>
        <w:rPr>
          <w:rFonts w:ascii="Cambria" w:hAnsi="Cambria"/>
        </w:rPr>
        <w:t>Será incluído, na respectiva Ata de Registro de Preços, na forma de anexo, o registro dos licitantes que aceitarem cotar os bens, obras ou serviços com preços iguais aos do licitante vencedor, na sequência da classificação do certame, observado:</w:t>
      </w:r>
    </w:p>
    <w:p w14:paraId="7D28E8D6">
      <w:pPr>
        <w:tabs>
          <w:tab w:val="left" w:pos="1701"/>
        </w:tabs>
        <w:spacing w:before="240" w:line="276" w:lineRule="auto"/>
        <w:ind w:firstLine="567"/>
        <w:jc w:val="both"/>
        <w:rPr>
          <w:rFonts w:ascii="Cambria" w:hAnsi="Cambria"/>
        </w:rPr>
      </w:pPr>
      <w:r>
        <w:rPr>
          <w:rFonts w:ascii="Cambria" w:hAnsi="Cambria"/>
          <w:b/>
          <w:bCs/>
        </w:rPr>
        <w:t>I.</w:t>
      </w:r>
      <w:r>
        <w:rPr>
          <w:rFonts w:ascii="Cambria" w:hAnsi="Cambria"/>
        </w:rPr>
        <w:t xml:space="preserve"> O registro a que se refere o subitem 14.3 tem por objetivo a formação de cadastro reserva no caso da impossibilidade de atendimento pelo primeiro colocado da Ata de Registro de Preços, nas hipóteses previstas no Decreto Municipal nº 17, de 2024, bem como previstas na Lei Federal nº 14.133, de 2021.</w:t>
      </w:r>
    </w:p>
    <w:p w14:paraId="0A1ADCAA">
      <w:pPr>
        <w:tabs>
          <w:tab w:val="left" w:pos="1701"/>
        </w:tabs>
        <w:spacing w:before="240" w:line="276" w:lineRule="auto"/>
        <w:jc w:val="both"/>
        <w:rPr>
          <w:rFonts w:ascii="Cambria" w:hAnsi="Cambria"/>
        </w:rPr>
      </w:pPr>
      <w:r>
        <w:rPr>
          <w:rFonts w:ascii="Cambria" w:hAnsi="Cambria"/>
          <w:b/>
          <w:bCs/>
        </w:rPr>
        <w:t>14.4</w:t>
      </w:r>
      <w:r>
        <w:rPr>
          <w:rFonts w:ascii="Cambria" w:hAnsi="Cambria"/>
        </w:rPr>
        <w:t xml:space="preserve"> Caso haja mais de um licitante na situação de que se trata o subitem 14.3, serão classificadas segundo a ordem da última proposta apresentada durante a fase competitiva.</w:t>
      </w:r>
    </w:p>
    <w:p w14:paraId="36A5C5BB">
      <w:pPr>
        <w:tabs>
          <w:tab w:val="left" w:pos="1701"/>
        </w:tabs>
        <w:spacing w:before="240" w:line="276" w:lineRule="auto"/>
        <w:jc w:val="both"/>
        <w:rPr>
          <w:rFonts w:ascii="Cambria" w:hAnsi="Cambria"/>
        </w:rPr>
      </w:pPr>
      <w:r>
        <w:rPr>
          <w:rFonts w:ascii="Cambria" w:hAnsi="Cambria"/>
          <w:b/>
          <w:bCs/>
        </w:rPr>
        <w:t>14.5</w:t>
      </w:r>
      <w:r>
        <w:rPr>
          <w:rFonts w:ascii="Cambria" w:hAnsi="Cambria"/>
        </w:rPr>
        <w:t xml:space="preserve"> A habilitação dos fornecedores que comporão o cadastro de reserva, a que se refere o subitem 14.3, será efetuada quando houver necessidade de contratação de fornecedor remanescente.</w:t>
      </w:r>
    </w:p>
    <w:p w14:paraId="7B1B0A81">
      <w:pPr>
        <w:tabs>
          <w:tab w:val="left" w:pos="1701"/>
        </w:tabs>
        <w:spacing w:before="240" w:line="276" w:lineRule="auto"/>
        <w:jc w:val="both"/>
        <w:rPr>
          <w:rFonts w:ascii="Cambria" w:hAnsi="Cambria"/>
        </w:rPr>
      </w:pPr>
      <w:r>
        <w:rPr>
          <w:rFonts w:ascii="Cambria" w:hAnsi="Cambria"/>
          <w:b/>
          <w:bCs/>
        </w:rPr>
        <w:t>14.6</w:t>
      </w:r>
      <w:r>
        <w:rPr>
          <w:rFonts w:ascii="Cambria" w:hAnsi="Cambria"/>
        </w:rPr>
        <w:t xml:space="preserve"> A Ata de Registro de Preços, durante sua validade, poderá ser utilizada por qualquer órgão ou entidade da administração pública que não tenha participado do certame licitatório, mediante anuência do órgão gerenciador e aceitação do fornecedor, desde que devidamente justificada a vantagem e respeitadas, no que couber, as condições e regras estabelecidas na Lei Federal nº 14.133, de 2021.</w:t>
      </w:r>
    </w:p>
    <w:p w14:paraId="46E3B769">
      <w:pPr>
        <w:tabs>
          <w:tab w:val="left" w:pos="1701"/>
        </w:tabs>
        <w:spacing w:before="240" w:line="276" w:lineRule="auto"/>
        <w:jc w:val="both"/>
        <w:rPr>
          <w:rFonts w:ascii="Cambria" w:hAnsi="Cambria"/>
        </w:rPr>
      </w:pPr>
      <w:r>
        <w:rPr>
          <w:rFonts w:ascii="Cambria" w:hAnsi="Cambria"/>
          <w:b/>
          <w:bCs/>
        </w:rPr>
        <w:t>14.7</w:t>
      </w:r>
      <w:r>
        <w:rPr>
          <w:rFonts w:ascii="Cambria" w:hAnsi="Cambria"/>
        </w:rPr>
        <w:t xml:space="preserve"> As aquisições ou contratações adicionais de que se trata o subitem 14.6 não poderão exceder, por órgão ou entidade a 50% (cinquenta por cento) dos quantitativos dos itens do instrumento convocatório e registrados na Ata de Registro de Preços para o órgão gerenciador e para os órgãos participantes.</w:t>
      </w:r>
    </w:p>
    <w:p w14:paraId="39F8EB1C">
      <w:pPr>
        <w:tabs>
          <w:tab w:val="left" w:pos="1701"/>
        </w:tabs>
        <w:spacing w:before="240" w:line="276" w:lineRule="auto"/>
        <w:jc w:val="both"/>
        <w:rPr>
          <w:rFonts w:ascii="Cambria" w:hAnsi="Cambria"/>
        </w:rPr>
      </w:pPr>
      <w:r>
        <w:rPr>
          <w:rFonts w:ascii="Cambria" w:hAnsi="Cambria"/>
          <w:b/>
          <w:bCs/>
        </w:rPr>
        <w:t>14.8</w:t>
      </w:r>
      <w:r>
        <w:rPr>
          <w:rFonts w:ascii="Cambria" w:hAnsi="Cambria"/>
        </w:rPr>
        <w:t xml:space="preserve"> O quantitativo decorrente de adesões à Ata de Registro de Preços não poderá exceder, na totalidade, ao dobro do quantitativo de cada item registrado na Ata de Registro de Preços para o órgão gerenciador e para os órgãos participantes, independentemente do número de órgãos não participantes que aderirem a ata.</w:t>
      </w:r>
    </w:p>
    <w:p w14:paraId="74131D3C">
      <w:pPr>
        <w:tabs>
          <w:tab w:val="left" w:pos="1701"/>
        </w:tabs>
        <w:spacing w:before="240" w:line="276" w:lineRule="auto"/>
        <w:jc w:val="both"/>
        <w:rPr>
          <w:rFonts w:ascii="Cambria" w:hAnsi="Cambria"/>
        </w:rPr>
      </w:pPr>
      <w:r>
        <w:rPr>
          <w:rFonts w:ascii="Cambria" w:hAnsi="Cambria"/>
          <w:b/>
          <w:bCs/>
        </w:rPr>
        <w:t>14.9</w:t>
      </w:r>
      <w:r>
        <w:rPr>
          <w:rFonts w:ascii="Cambria" w:hAnsi="Cambria"/>
        </w:rPr>
        <w:t xml:space="preserve"> Dentro do prazo de vigência da Ata de Registro de Preços, as empresas beneficiárias que tiverem seus preços registrados ficarão obrigadas ao fornecimento dos bens, observadas as condições do Termo de Referência, anexo desde edital, bem como da própria Ata de Registro de Preços.</w:t>
      </w:r>
    </w:p>
    <w:p w14:paraId="6EF3564D">
      <w:pPr>
        <w:tabs>
          <w:tab w:val="left" w:pos="1701"/>
        </w:tabs>
        <w:spacing w:before="240" w:line="276" w:lineRule="auto"/>
        <w:jc w:val="both"/>
        <w:rPr>
          <w:rFonts w:ascii="Cambria" w:hAnsi="Cambria"/>
        </w:rPr>
      </w:pPr>
      <w:r>
        <w:rPr>
          <w:rFonts w:ascii="Cambria" w:hAnsi="Cambria"/>
          <w:b/>
          <w:bCs/>
        </w:rPr>
        <w:t>14.10</w:t>
      </w:r>
      <w:r>
        <w:rPr>
          <w:rFonts w:ascii="Cambria" w:hAnsi="Cambria"/>
        </w:rPr>
        <w:t xml:space="preserve"> As empresas beneficiárias que tiverem seus preços registrados se obrigam a manter, durante o prazo de vigência da Ata de Registro de Preços, a compatibilidade de todas as condições de habilitação e qualificação exigidas na nesta licitação.</w:t>
      </w:r>
    </w:p>
    <w:p w14:paraId="531CD211">
      <w:pPr>
        <w:tabs>
          <w:tab w:val="left" w:pos="1701"/>
        </w:tabs>
        <w:spacing w:before="240" w:line="276" w:lineRule="auto"/>
        <w:jc w:val="both"/>
        <w:rPr>
          <w:rFonts w:ascii="Cambria" w:hAnsi="Cambria"/>
        </w:rPr>
      </w:pPr>
      <w:r>
        <w:rPr>
          <w:rFonts w:ascii="Cambria" w:hAnsi="Cambria"/>
          <w:b/>
          <w:bCs/>
        </w:rPr>
        <w:t>14.11</w:t>
      </w:r>
      <w:r>
        <w:rPr>
          <w:rFonts w:ascii="Cambria" w:hAnsi="Cambria"/>
        </w:rPr>
        <w:t xml:space="preserve"> O Órgão Gerenciador acompanhará periodicamente a evolução das condições de mercado dos preços registrados, paras comprovação da vantajosidade.</w:t>
      </w:r>
    </w:p>
    <w:p w14:paraId="0C287462">
      <w:pPr>
        <w:tabs>
          <w:tab w:val="left" w:pos="1701"/>
        </w:tabs>
        <w:spacing w:before="240" w:line="276" w:lineRule="auto"/>
        <w:jc w:val="both"/>
        <w:rPr>
          <w:rFonts w:ascii="Cambria" w:hAnsi="Cambria"/>
        </w:rPr>
      </w:pPr>
      <w:r>
        <w:rPr>
          <w:rFonts w:ascii="Cambria" w:hAnsi="Cambria"/>
          <w:b/>
          <w:bCs/>
        </w:rPr>
        <w:t>14.12</w:t>
      </w:r>
      <w:r>
        <w:rPr>
          <w:rFonts w:ascii="Cambria" w:hAnsi="Cambria"/>
        </w:rPr>
        <w:t xml:space="preserve"> Os preços registrados serão considerados compatíveis com os de mercado se forem iguais ou inferiores à média daqueles apurada em pesquisa.</w:t>
      </w:r>
    </w:p>
    <w:p w14:paraId="46AE5BFE">
      <w:pPr>
        <w:pStyle w:val="14"/>
        <w:pBdr>
          <w:top w:val="single" w:color="auto" w:sz="4" w:space="1"/>
          <w:left w:val="single" w:color="auto" w:sz="4" w:space="4"/>
          <w:bottom w:val="single" w:color="auto" w:sz="4" w:space="1"/>
          <w:right w:val="single" w:color="auto" w:sz="4" w:space="4"/>
        </w:pBdr>
        <w:shd w:val="clear" w:color="auto" w:fill="D8D8D8" w:themeFill="background1" w:themeFillShade="D9"/>
        <w:tabs>
          <w:tab w:val="left" w:pos="708"/>
          <w:tab w:val="left" w:pos="1701"/>
        </w:tabs>
        <w:spacing w:before="240" w:line="276" w:lineRule="auto"/>
        <w:jc w:val="both"/>
        <w:rPr>
          <w:rFonts w:ascii="Cambria" w:hAnsi="Cambria"/>
          <w:b/>
          <w:bCs/>
        </w:rPr>
      </w:pPr>
      <w:r>
        <w:rPr>
          <w:rFonts w:ascii="Cambria" w:hAnsi="Cambria"/>
          <w:b/>
        </w:rPr>
        <w:t>15. DAS ALTERAÇÕES DA ATA DE REGISTRO DE PREÇOS</w:t>
      </w:r>
    </w:p>
    <w:p w14:paraId="5DEB7E0C">
      <w:pPr>
        <w:tabs>
          <w:tab w:val="left" w:pos="1701"/>
        </w:tabs>
        <w:spacing w:before="240" w:line="276" w:lineRule="auto"/>
        <w:jc w:val="both"/>
        <w:rPr>
          <w:rFonts w:ascii="Cambria" w:hAnsi="Cambria"/>
        </w:rPr>
      </w:pPr>
      <w:r>
        <w:rPr>
          <w:rFonts w:ascii="Cambria" w:hAnsi="Cambria"/>
          <w:b/>
        </w:rPr>
        <w:t>15.1</w:t>
      </w:r>
      <w:r>
        <w:rPr>
          <w:rFonts w:ascii="Cambria" w:hAnsi="Cambria"/>
        </w:rPr>
        <w:t xml:space="preserve"> Os preços registrados poderão ser alterados em decorrência de eventual redução dos preços praticados no mercado ou de fato que eleve o custo dos bens, obras ou serviços registados nas seguintes situações:</w:t>
      </w:r>
    </w:p>
    <w:p w14:paraId="1BF42A93">
      <w:pPr>
        <w:tabs>
          <w:tab w:val="left" w:pos="1701"/>
        </w:tabs>
        <w:spacing w:before="240" w:line="276" w:lineRule="auto"/>
        <w:ind w:firstLine="567"/>
        <w:jc w:val="both"/>
        <w:rPr>
          <w:rFonts w:ascii="Cambria" w:hAnsi="Cambria"/>
        </w:rPr>
      </w:pPr>
      <w:r>
        <w:rPr>
          <w:rFonts w:ascii="Cambria" w:hAnsi="Cambria"/>
          <w:b/>
          <w:bCs/>
        </w:rPr>
        <w:t>I.</w:t>
      </w:r>
      <w:r>
        <w:rPr>
          <w:rFonts w:ascii="Cambria" w:hAnsi="Cambria"/>
        </w:rPr>
        <w:t xml:space="preserve"> Em caso de força maior, caso fortuito ou fato do príncipe ou em decorrência de fatos imprevisíveis ou previsíveis de consequências incalculáveis, que inviabilizem a Ata tal como pactuado, nos termos da alínea “d” do inciso II do caput do art. 124 da Lei Federal nº 14.133, de 01 de abril de 2021.</w:t>
      </w:r>
    </w:p>
    <w:p w14:paraId="36F5D4C4">
      <w:pPr>
        <w:tabs>
          <w:tab w:val="left" w:pos="1701"/>
        </w:tabs>
        <w:spacing w:before="240" w:line="276" w:lineRule="auto"/>
        <w:ind w:firstLine="567"/>
        <w:jc w:val="both"/>
        <w:rPr>
          <w:rFonts w:ascii="Cambria" w:hAnsi="Cambria"/>
        </w:rPr>
      </w:pPr>
      <w:r>
        <w:rPr>
          <w:rFonts w:ascii="Cambria" w:hAnsi="Cambria"/>
          <w:b/>
          <w:bCs/>
        </w:rPr>
        <w:t>II.</w:t>
      </w:r>
      <w:r>
        <w:rPr>
          <w:rFonts w:ascii="Cambria" w:hAnsi="Cambria"/>
        </w:rPr>
        <w:t xml:space="preserve"> Decorrente de criação, alteração ou extinção de quaisquer tributos ou encargos legais ou a superveniência de disposições legais, com comprovada repercussão sobre os preços registrados.</w:t>
      </w:r>
    </w:p>
    <w:p w14:paraId="2FF48626">
      <w:pPr>
        <w:tabs>
          <w:tab w:val="left" w:pos="1701"/>
        </w:tabs>
        <w:spacing w:before="240" w:line="276" w:lineRule="auto"/>
        <w:ind w:firstLine="567"/>
        <w:jc w:val="both"/>
        <w:rPr>
          <w:rFonts w:ascii="Cambria" w:hAnsi="Cambria"/>
        </w:rPr>
      </w:pPr>
      <w:r>
        <w:rPr>
          <w:rFonts w:ascii="Cambria" w:hAnsi="Cambria"/>
          <w:b/>
          <w:bCs/>
        </w:rPr>
        <w:t>III.</w:t>
      </w:r>
      <w:r>
        <w:rPr>
          <w:rFonts w:ascii="Cambria" w:hAnsi="Cambria"/>
        </w:rPr>
        <w:t xml:space="preserve"> Resultante de previsão neste edital de cláusula de reajustamento ou repactuação sobre os preços registrados, nos termos da Lei Federal nº 14.133, de 2021.</w:t>
      </w:r>
    </w:p>
    <w:p w14:paraId="0EA3A901">
      <w:pPr>
        <w:tabs>
          <w:tab w:val="left" w:pos="1701"/>
        </w:tabs>
        <w:spacing w:before="240" w:line="276" w:lineRule="auto"/>
        <w:jc w:val="both"/>
        <w:rPr>
          <w:rFonts w:ascii="Cambria" w:hAnsi="Cambria"/>
        </w:rPr>
      </w:pPr>
      <w:r>
        <w:rPr>
          <w:rFonts w:ascii="Cambria" w:hAnsi="Cambria"/>
          <w:b/>
          <w:bCs/>
        </w:rPr>
        <w:t>15.2</w:t>
      </w:r>
      <w:r>
        <w:rPr>
          <w:rFonts w:ascii="Cambria" w:hAnsi="Cambria"/>
        </w:rPr>
        <w:t xml:space="preserve"> Na ocorrência do preço registrado se tomar superior ao preço praticado no mercado, por outro motivo superveniente, caberá ao órgão gerenciador da Ata convocar os fornecedores para negociarem a redução dos preços aos valores praticados pelo mercado, mediante as seguintes providências:</w:t>
      </w:r>
    </w:p>
    <w:p w14:paraId="09368B7C">
      <w:pPr>
        <w:tabs>
          <w:tab w:val="left" w:pos="1701"/>
        </w:tabs>
        <w:spacing w:before="240" w:line="276" w:lineRule="auto"/>
        <w:ind w:firstLine="567"/>
        <w:jc w:val="both"/>
        <w:rPr>
          <w:rFonts w:ascii="Cambria" w:hAnsi="Cambria"/>
        </w:rPr>
      </w:pPr>
      <w:r>
        <w:rPr>
          <w:rFonts w:ascii="Cambria" w:hAnsi="Cambria"/>
          <w:b/>
          <w:bCs/>
        </w:rPr>
        <w:t>I.</w:t>
      </w:r>
      <w:r>
        <w:rPr>
          <w:rFonts w:ascii="Cambria" w:hAnsi="Cambria"/>
        </w:rPr>
        <w:t xml:space="preserve"> Convocar o fornecedor primeiro classificado, visando estabelecer a negociação para redução de preços originalmente registrados e sua adequação ao praticado no mercado.</w:t>
      </w:r>
    </w:p>
    <w:p w14:paraId="13C67296">
      <w:pPr>
        <w:tabs>
          <w:tab w:val="left" w:pos="1701"/>
        </w:tabs>
        <w:spacing w:before="240" w:line="276" w:lineRule="auto"/>
        <w:ind w:firstLine="567"/>
        <w:jc w:val="both"/>
        <w:rPr>
          <w:rFonts w:ascii="Cambria" w:hAnsi="Cambria"/>
        </w:rPr>
      </w:pPr>
      <w:r>
        <w:rPr>
          <w:rFonts w:ascii="Cambria" w:hAnsi="Cambria"/>
          <w:b/>
          <w:bCs/>
        </w:rPr>
        <w:t>II.</w:t>
      </w:r>
      <w:r>
        <w:rPr>
          <w:rFonts w:ascii="Cambria" w:hAnsi="Cambria"/>
        </w:rPr>
        <w:t xml:space="preserve"> Frustrada a negociação, o fornecedor será liberado do compromisso assumido.</w:t>
      </w:r>
    </w:p>
    <w:p w14:paraId="46603C75">
      <w:pPr>
        <w:tabs>
          <w:tab w:val="left" w:pos="1701"/>
        </w:tabs>
        <w:spacing w:before="240" w:line="276" w:lineRule="auto"/>
        <w:ind w:firstLine="567"/>
        <w:jc w:val="both"/>
        <w:rPr>
          <w:rFonts w:ascii="Cambria" w:hAnsi="Cambria"/>
        </w:rPr>
      </w:pPr>
      <w:r>
        <w:rPr>
          <w:rFonts w:ascii="Cambria" w:hAnsi="Cambria"/>
          <w:b/>
          <w:bCs/>
        </w:rPr>
        <w:t>III.</w:t>
      </w:r>
      <w:r>
        <w:rPr>
          <w:rFonts w:ascii="Cambria" w:hAnsi="Cambria"/>
        </w:rPr>
        <w:t xml:space="preserve"> Convocar os demais fornecedores registrados, na ordem de classificação, visando igual oportunidade de negociação.</w:t>
      </w:r>
    </w:p>
    <w:p w14:paraId="63AAD5FF">
      <w:pPr>
        <w:tabs>
          <w:tab w:val="left" w:pos="1701"/>
        </w:tabs>
        <w:spacing w:before="240" w:line="276" w:lineRule="auto"/>
        <w:jc w:val="both"/>
        <w:rPr>
          <w:rFonts w:ascii="Cambria" w:hAnsi="Cambria"/>
        </w:rPr>
      </w:pPr>
      <w:r>
        <w:rPr>
          <w:rFonts w:ascii="Cambria" w:hAnsi="Cambria"/>
          <w:b/>
          <w:bCs/>
        </w:rPr>
        <w:t>15.3</w:t>
      </w:r>
      <w:r>
        <w:rPr>
          <w:rFonts w:ascii="Cambria" w:hAnsi="Cambria"/>
        </w:rPr>
        <w:t xml:space="preserve"> Quando o preço registrado se tornar inferior aos preços de mercado e o fornecedor não puder cumprir o compromisso inicialmente assumido, o órgão gerenciador poderá liberar o fornecedor do compromisso assumido, caso a comunicação ocorra antes do pedido de fornecimento, e sem aplicação de penalidade se confirmada a veracidade dos motivos e comprovantes apresentados, caso em que o órgão gerenciador providenciará convocação dos demais fornecedores para assegurar igual oportunidade de negociação.</w:t>
      </w:r>
    </w:p>
    <w:p w14:paraId="0A2E80D5">
      <w:pPr>
        <w:tabs>
          <w:tab w:val="left" w:pos="1701"/>
        </w:tabs>
        <w:spacing w:before="240" w:line="276" w:lineRule="auto"/>
        <w:ind w:firstLine="567"/>
        <w:jc w:val="both"/>
        <w:rPr>
          <w:rFonts w:ascii="Cambria" w:hAnsi="Cambria"/>
        </w:rPr>
      </w:pPr>
      <w:r>
        <w:rPr>
          <w:rFonts w:ascii="Cambria" w:hAnsi="Cambria"/>
          <w:b/>
          <w:bCs/>
        </w:rPr>
        <w:t xml:space="preserve">I. </w:t>
      </w:r>
      <w:r>
        <w:rPr>
          <w:rFonts w:ascii="Cambria" w:hAnsi="Cambria"/>
        </w:rPr>
        <w:t>A negociação prevista no subitem 15.3 será no sentido de os demais convocados manterem os preços registrados inicialmente pelo primeiro colocado. Não havendo êxito nessas negociações, o órgão gerenciador deverá então, negociar com o adjudicatário a revisão dos valores. Caso não haja consenso entre o órgão gerenciador e o adjudicatário, a possibilidade de negociação deve ser estendida a eventuais integrantes do cadastro reserva, respeitando a ordem de classificação.</w:t>
      </w:r>
    </w:p>
    <w:p w14:paraId="2F0A85EF">
      <w:pPr>
        <w:tabs>
          <w:tab w:val="left" w:pos="1701"/>
        </w:tabs>
        <w:spacing w:before="240" w:line="276" w:lineRule="auto"/>
        <w:ind w:firstLine="567"/>
        <w:jc w:val="both"/>
        <w:rPr>
          <w:rFonts w:ascii="Cambria" w:hAnsi="Cambria"/>
        </w:rPr>
      </w:pPr>
      <w:r>
        <w:rPr>
          <w:rFonts w:ascii="Cambria" w:hAnsi="Cambria"/>
          <w:b/>
          <w:bCs/>
        </w:rPr>
        <w:t>II.</w:t>
      </w:r>
      <w:r>
        <w:rPr>
          <w:rFonts w:ascii="Cambria" w:hAnsi="Cambria"/>
        </w:rPr>
        <w:t xml:space="preserve"> Não havendo êxito nas negociações, de que se trata o inciso I, estes serão formalmente desonerados do compromisso de fornecimento em relação ao item ou lote, pelo órgão gerenciador, com consequente cancelamento dos seus preços registrados, sem aplicação de penalidade.</w:t>
      </w:r>
    </w:p>
    <w:p w14:paraId="74ED6458">
      <w:pPr>
        <w:tabs>
          <w:tab w:val="left" w:pos="1701"/>
        </w:tabs>
        <w:spacing w:before="240" w:line="276" w:lineRule="auto"/>
        <w:ind w:firstLine="567"/>
        <w:jc w:val="both"/>
        <w:rPr>
          <w:rFonts w:ascii="Cambria" w:hAnsi="Cambria"/>
        </w:rPr>
      </w:pPr>
      <w:r>
        <w:rPr>
          <w:rFonts w:ascii="Cambria" w:hAnsi="Cambria"/>
          <w:b/>
          <w:bCs/>
        </w:rPr>
        <w:t>III.</w:t>
      </w:r>
      <w:r>
        <w:rPr>
          <w:rFonts w:ascii="Cambria" w:hAnsi="Cambria"/>
        </w:rPr>
        <w:t xml:space="preserve"> Para que se viabilize eventual modificação da proposta vigente, por força de Registro de Preços, objetivando a elevação do valor registrado, lastreado no reequilíbrio econômico-financeiro previsto no inciso I, é indispensável a rigorosa verificação da situação fática e a inatacável demonstração do atendimento aos requisitos fixados na alínea “d” do inciso II do caput do art. 124, da Lei Federal nº 14.133, de 2021.</w:t>
      </w:r>
    </w:p>
    <w:p w14:paraId="0970A8BD">
      <w:pPr>
        <w:tabs>
          <w:tab w:val="left" w:pos="1701"/>
        </w:tabs>
        <w:spacing w:before="240" w:line="276" w:lineRule="auto"/>
        <w:jc w:val="both"/>
        <w:rPr>
          <w:rFonts w:ascii="Cambria" w:hAnsi="Cambria"/>
        </w:rPr>
      </w:pPr>
      <w:r>
        <w:rPr>
          <w:rFonts w:ascii="Cambria" w:hAnsi="Cambria"/>
          <w:b/>
          <w:bCs/>
        </w:rPr>
        <w:t>15.4</w:t>
      </w:r>
      <w:r>
        <w:rPr>
          <w:rFonts w:ascii="Cambria" w:hAnsi="Cambria"/>
        </w:rPr>
        <w:t xml:space="preserve"> A fixação do novo preço pactuado deverá ser consignada em termo aditivo à Ata de Registro de Preços, com as justificativas cabíveis, observada a anuência das partes.</w:t>
      </w:r>
    </w:p>
    <w:p w14:paraId="75C69200">
      <w:pPr>
        <w:tabs>
          <w:tab w:val="left" w:pos="1701"/>
        </w:tabs>
        <w:spacing w:before="240" w:line="276" w:lineRule="auto"/>
        <w:jc w:val="both"/>
        <w:rPr>
          <w:rFonts w:ascii="Cambria" w:hAnsi="Cambria"/>
        </w:rPr>
      </w:pPr>
      <w:r>
        <w:rPr>
          <w:rFonts w:ascii="Cambria" w:hAnsi="Cambria"/>
          <w:b/>
          <w:bCs/>
        </w:rPr>
        <w:t>15.5</w:t>
      </w:r>
      <w:r>
        <w:rPr>
          <w:rFonts w:ascii="Cambria" w:hAnsi="Cambria"/>
        </w:rPr>
        <w:t xml:space="preserve"> Se não obtiver êxito nas negociações, o órgão ou a entidade gerenciadora procederá ao cancelamento da ata de registro de preços, nos termos do item 16 deste edital, e adotará as medidas cabíveis para a obtenção da contratação mais vantajosa.</w:t>
      </w:r>
    </w:p>
    <w:p w14:paraId="6E93D10B">
      <w:pPr>
        <w:pStyle w:val="14"/>
        <w:pBdr>
          <w:top w:val="single" w:color="auto" w:sz="4" w:space="1"/>
          <w:left w:val="single" w:color="auto" w:sz="4" w:space="4"/>
          <w:bottom w:val="single" w:color="auto" w:sz="4" w:space="1"/>
          <w:right w:val="single" w:color="auto" w:sz="4" w:space="4"/>
        </w:pBdr>
        <w:shd w:val="clear" w:color="auto" w:fill="D8D8D8" w:themeFill="background1" w:themeFillShade="D9"/>
        <w:tabs>
          <w:tab w:val="left" w:pos="708"/>
          <w:tab w:val="left" w:pos="1701"/>
        </w:tabs>
        <w:spacing w:before="240" w:line="276" w:lineRule="auto"/>
        <w:jc w:val="both"/>
        <w:rPr>
          <w:rFonts w:ascii="Cambria" w:hAnsi="Cambria"/>
          <w:b/>
          <w:bCs/>
        </w:rPr>
      </w:pPr>
      <w:r>
        <w:rPr>
          <w:rFonts w:ascii="Cambria" w:hAnsi="Cambria"/>
          <w:b/>
        </w:rPr>
        <w:t>16. DO CANCELAMENTO DO REGISTRO DE PREÇOS</w:t>
      </w:r>
    </w:p>
    <w:p w14:paraId="02C83D88">
      <w:pPr>
        <w:tabs>
          <w:tab w:val="left" w:pos="1701"/>
        </w:tabs>
        <w:spacing w:before="240" w:line="276" w:lineRule="auto"/>
        <w:jc w:val="both"/>
        <w:rPr>
          <w:rFonts w:ascii="Cambria" w:hAnsi="Cambria"/>
        </w:rPr>
      </w:pPr>
      <w:r>
        <w:rPr>
          <w:rFonts w:ascii="Cambria" w:hAnsi="Cambria"/>
          <w:b/>
        </w:rPr>
        <w:t>16.1</w:t>
      </w:r>
      <w:r>
        <w:rPr>
          <w:rFonts w:ascii="Cambria" w:hAnsi="Cambria"/>
        </w:rPr>
        <w:t xml:space="preserve"> O registro de preços do fornecedor será cancelado pelo Órgão Gerenciador quando o fornecedor:</w:t>
      </w:r>
    </w:p>
    <w:p w14:paraId="592502FC">
      <w:pPr>
        <w:tabs>
          <w:tab w:val="left" w:pos="1701"/>
        </w:tabs>
        <w:spacing w:before="240" w:line="276" w:lineRule="auto"/>
        <w:ind w:firstLine="567"/>
        <w:jc w:val="both"/>
        <w:rPr>
          <w:rFonts w:ascii="Cambria" w:hAnsi="Cambria"/>
        </w:rPr>
      </w:pPr>
      <w:r>
        <w:rPr>
          <w:rFonts w:ascii="Cambria" w:hAnsi="Cambria"/>
          <w:b/>
          <w:bCs/>
        </w:rPr>
        <w:t>I.</w:t>
      </w:r>
      <w:r>
        <w:rPr>
          <w:rFonts w:ascii="Cambria" w:hAnsi="Cambria"/>
        </w:rPr>
        <w:t xml:space="preserve"> For liberado.</w:t>
      </w:r>
    </w:p>
    <w:p w14:paraId="37C79632">
      <w:pPr>
        <w:tabs>
          <w:tab w:val="left" w:pos="1701"/>
        </w:tabs>
        <w:spacing w:before="240" w:line="276" w:lineRule="auto"/>
        <w:ind w:firstLine="567"/>
        <w:jc w:val="both"/>
        <w:rPr>
          <w:rFonts w:ascii="Cambria" w:hAnsi="Cambria"/>
        </w:rPr>
      </w:pPr>
      <w:r>
        <w:rPr>
          <w:rFonts w:ascii="Cambria" w:hAnsi="Cambria"/>
          <w:b/>
          <w:bCs/>
        </w:rPr>
        <w:t>II.</w:t>
      </w:r>
      <w:r>
        <w:rPr>
          <w:rFonts w:ascii="Cambria" w:hAnsi="Cambria"/>
        </w:rPr>
        <w:t xml:space="preserve"> Descumprir as condições da Ata de Registro de Preços, sem justificativa aceitável.</w:t>
      </w:r>
    </w:p>
    <w:p w14:paraId="7114198E">
      <w:pPr>
        <w:tabs>
          <w:tab w:val="left" w:pos="1701"/>
        </w:tabs>
        <w:spacing w:before="240" w:line="276" w:lineRule="auto"/>
        <w:ind w:firstLine="567"/>
        <w:jc w:val="both"/>
        <w:rPr>
          <w:rFonts w:ascii="Cambria" w:hAnsi="Cambria"/>
        </w:rPr>
      </w:pPr>
      <w:r>
        <w:rPr>
          <w:rFonts w:ascii="Cambria" w:hAnsi="Cambria"/>
          <w:b/>
          <w:bCs/>
        </w:rPr>
        <w:t>III.</w:t>
      </w:r>
      <w:r>
        <w:rPr>
          <w:rFonts w:ascii="Cambria" w:hAnsi="Cambria"/>
        </w:rPr>
        <w:t xml:space="preserve"> Não aceitar reduzir o seu preço registrado, na hipótese deste se tornar superior àqueles praticados no mercado.</w:t>
      </w:r>
    </w:p>
    <w:p w14:paraId="5C4E8864">
      <w:pPr>
        <w:tabs>
          <w:tab w:val="left" w:pos="1701"/>
        </w:tabs>
        <w:spacing w:before="240" w:line="276" w:lineRule="auto"/>
        <w:ind w:firstLine="567"/>
        <w:jc w:val="both"/>
        <w:rPr>
          <w:rFonts w:ascii="Cambria" w:hAnsi="Cambria"/>
        </w:rPr>
      </w:pPr>
      <w:r>
        <w:rPr>
          <w:rFonts w:ascii="Cambria" w:hAnsi="Cambria"/>
          <w:b/>
          <w:bCs/>
        </w:rPr>
        <w:t>IV.</w:t>
      </w:r>
      <w:r>
        <w:rPr>
          <w:rFonts w:ascii="Cambria" w:hAnsi="Cambria"/>
        </w:rPr>
        <w:t xml:space="preserve"> Sofrer sanção prevista no inciso IV do art. 156 da Lei Federal nº 14.133, de 2021.</w:t>
      </w:r>
    </w:p>
    <w:p w14:paraId="19A136EA">
      <w:pPr>
        <w:tabs>
          <w:tab w:val="left" w:pos="1701"/>
        </w:tabs>
        <w:spacing w:before="240" w:line="276" w:lineRule="auto"/>
        <w:ind w:firstLine="567"/>
        <w:jc w:val="both"/>
        <w:rPr>
          <w:rFonts w:ascii="Cambria" w:hAnsi="Cambria"/>
        </w:rPr>
      </w:pPr>
      <w:r>
        <w:rPr>
          <w:rFonts w:ascii="Cambria" w:hAnsi="Cambria"/>
          <w:b/>
          <w:bCs/>
        </w:rPr>
        <w:t>V.</w:t>
      </w:r>
      <w:r>
        <w:rPr>
          <w:rFonts w:ascii="Cambria" w:hAnsi="Cambria"/>
        </w:rPr>
        <w:t xml:space="preserve"> Não aceitar o preço revisado pela administração municipal.</w:t>
      </w:r>
    </w:p>
    <w:p w14:paraId="76D99151">
      <w:pPr>
        <w:tabs>
          <w:tab w:val="left" w:pos="1701"/>
        </w:tabs>
        <w:spacing w:before="240" w:line="276" w:lineRule="auto"/>
        <w:jc w:val="both"/>
        <w:rPr>
          <w:rFonts w:ascii="Cambria" w:hAnsi="Cambria"/>
        </w:rPr>
      </w:pPr>
      <w:r>
        <w:rPr>
          <w:rFonts w:ascii="Cambria" w:hAnsi="Cambria"/>
          <w:b/>
          <w:bCs/>
        </w:rPr>
        <w:t>16.2</w:t>
      </w:r>
      <w:r>
        <w:rPr>
          <w:rFonts w:ascii="Cambria" w:hAnsi="Cambria"/>
        </w:rPr>
        <w:t xml:space="preserve"> A Ata de Registro de Preços será cancelada, total ou parcialmente, pelo Órgão Gerenciador:</w:t>
      </w:r>
    </w:p>
    <w:p w14:paraId="761C9506">
      <w:pPr>
        <w:tabs>
          <w:tab w:val="left" w:pos="1701"/>
        </w:tabs>
        <w:spacing w:before="240" w:line="276" w:lineRule="auto"/>
        <w:ind w:firstLine="567"/>
        <w:jc w:val="both"/>
        <w:rPr>
          <w:rFonts w:ascii="Cambria" w:hAnsi="Cambria"/>
        </w:rPr>
      </w:pPr>
      <w:r>
        <w:rPr>
          <w:rFonts w:ascii="Cambria" w:hAnsi="Cambria"/>
          <w:b/>
          <w:bCs/>
        </w:rPr>
        <w:t xml:space="preserve">I. </w:t>
      </w:r>
      <w:r>
        <w:rPr>
          <w:rFonts w:ascii="Cambria" w:hAnsi="Cambria"/>
        </w:rPr>
        <w:t>Pelo decurso de prazo de vigência.</w:t>
      </w:r>
    </w:p>
    <w:p w14:paraId="7A615A78">
      <w:pPr>
        <w:tabs>
          <w:tab w:val="left" w:pos="1701"/>
        </w:tabs>
        <w:spacing w:before="240" w:line="276" w:lineRule="auto"/>
        <w:ind w:firstLine="567"/>
        <w:jc w:val="both"/>
        <w:rPr>
          <w:rFonts w:ascii="Cambria" w:hAnsi="Cambria"/>
        </w:rPr>
      </w:pPr>
      <w:r>
        <w:rPr>
          <w:rFonts w:ascii="Cambria" w:hAnsi="Cambria"/>
          <w:b/>
          <w:bCs/>
        </w:rPr>
        <w:t>II.</w:t>
      </w:r>
      <w:r>
        <w:rPr>
          <w:rFonts w:ascii="Cambria" w:hAnsi="Cambria"/>
        </w:rPr>
        <w:t xml:space="preserve"> Pelo cancelamento de todos os preços registrados.</w:t>
      </w:r>
    </w:p>
    <w:p w14:paraId="5E21E0C9">
      <w:pPr>
        <w:tabs>
          <w:tab w:val="left" w:pos="1701"/>
        </w:tabs>
        <w:spacing w:before="240" w:line="276" w:lineRule="auto"/>
        <w:ind w:firstLine="567"/>
        <w:jc w:val="both"/>
        <w:rPr>
          <w:rFonts w:ascii="Cambria" w:hAnsi="Cambria"/>
        </w:rPr>
      </w:pPr>
      <w:r>
        <w:rPr>
          <w:rFonts w:ascii="Cambria" w:hAnsi="Cambria"/>
          <w:b/>
          <w:bCs/>
        </w:rPr>
        <w:t>III.</w:t>
      </w:r>
      <w:r>
        <w:rPr>
          <w:rFonts w:ascii="Cambria" w:hAnsi="Cambria"/>
        </w:rPr>
        <w:t xml:space="preserve"> Por fato superveniente, decorrente de casos de:</w:t>
      </w:r>
    </w:p>
    <w:p w14:paraId="272A1796">
      <w:pPr>
        <w:tabs>
          <w:tab w:val="left" w:pos="1701"/>
        </w:tabs>
        <w:spacing w:before="240" w:line="276" w:lineRule="auto"/>
        <w:ind w:left="567" w:firstLine="567"/>
        <w:jc w:val="both"/>
        <w:rPr>
          <w:rFonts w:ascii="Cambria" w:hAnsi="Cambria"/>
        </w:rPr>
      </w:pPr>
      <w:r>
        <w:rPr>
          <w:rFonts w:ascii="Cambria" w:hAnsi="Cambria"/>
          <w:b/>
          <w:bCs/>
        </w:rPr>
        <w:t>a)</w:t>
      </w:r>
      <w:r>
        <w:rPr>
          <w:rFonts w:ascii="Cambria" w:hAnsi="Cambria"/>
        </w:rPr>
        <w:t xml:space="preserve"> força maior;</w:t>
      </w:r>
    </w:p>
    <w:p w14:paraId="1B7DA3F8">
      <w:pPr>
        <w:tabs>
          <w:tab w:val="left" w:pos="1701"/>
        </w:tabs>
        <w:spacing w:before="240" w:line="276" w:lineRule="auto"/>
        <w:ind w:left="567" w:firstLine="567"/>
        <w:jc w:val="both"/>
        <w:rPr>
          <w:rFonts w:ascii="Cambria" w:hAnsi="Cambria"/>
        </w:rPr>
      </w:pPr>
      <w:r>
        <w:rPr>
          <w:rFonts w:ascii="Cambria" w:hAnsi="Cambria"/>
          <w:b/>
          <w:bCs/>
        </w:rPr>
        <w:t>b)</w:t>
      </w:r>
      <w:r>
        <w:rPr>
          <w:rFonts w:ascii="Cambria" w:hAnsi="Cambria"/>
        </w:rPr>
        <w:t xml:space="preserve"> caso fortuito;</w:t>
      </w:r>
    </w:p>
    <w:p w14:paraId="35BBE92E">
      <w:pPr>
        <w:tabs>
          <w:tab w:val="left" w:pos="1701"/>
        </w:tabs>
        <w:spacing w:before="240" w:line="276" w:lineRule="auto"/>
        <w:ind w:left="567" w:firstLine="567"/>
        <w:jc w:val="both"/>
        <w:rPr>
          <w:rFonts w:ascii="Cambria" w:hAnsi="Cambria"/>
        </w:rPr>
      </w:pPr>
      <w:r>
        <w:rPr>
          <w:rFonts w:ascii="Cambria" w:hAnsi="Cambria"/>
          <w:b/>
          <w:bCs/>
        </w:rPr>
        <w:t>c)</w:t>
      </w:r>
      <w:r>
        <w:rPr>
          <w:rFonts w:ascii="Cambria" w:hAnsi="Cambria"/>
        </w:rPr>
        <w:t xml:space="preserve"> em decorrência de fatos imprevisíveis ou previsíveis de consequências incalculáveis, que inviabilizem a execução das obrigações previstas na ata, devidamente demonstrado.</w:t>
      </w:r>
    </w:p>
    <w:p w14:paraId="1002DF67">
      <w:pPr>
        <w:tabs>
          <w:tab w:val="left" w:pos="1701"/>
        </w:tabs>
        <w:spacing w:before="240" w:line="276" w:lineRule="auto"/>
        <w:ind w:firstLine="567"/>
        <w:jc w:val="both"/>
        <w:rPr>
          <w:rFonts w:ascii="Cambria" w:hAnsi="Cambria"/>
        </w:rPr>
      </w:pPr>
      <w:r>
        <w:rPr>
          <w:rFonts w:ascii="Cambria" w:hAnsi="Cambria"/>
          <w:b/>
          <w:bCs/>
        </w:rPr>
        <w:t>IV.</w:t>
      </w:r>
      <w:r>
        <w:rPr>
          <w:rFonts w:ascii="Cambria" w:hAnsi="Cambria"/>
        </w:rPr>
        <w:t xml:space="preserve"> Por razões de interesse público, devidamente justificadas.</w:t>
      </w:r>
    </w:p>
    <w:p w14:paraId="459D6C3C">
      <w:pPr>
        <w:tabs>
          <w:tab w:val="left" w:pos="1701"/>
        </w:tabs>
        <w:spacing w:before="240" w:line="276" w:lineRule="auto"/>
        <w:jc w:val="both"/>
        <w:rPr>
          <w:rFonts w:ascii="Cambria" w:hAnsi="Cambria"/>
        </w:rPr>
      </w:pPr>
      <w:r>
        <w:rPr>
          <w:rFonts w:ascii="Cambria" w:hAnsi="Cambria"/>
          <w:b/>
          <w:bCs/>
        </w:rPr>
        <w:t>16.3</w:t>
      </w:r>
      <w:r>
        <w:rPr>
          <w:rFonts w:ascii="Cambria" w:hAnsi="Cambria"/>
        </w:rPr>
        <w:t xml:space="preserve"> No caso de cancelamento da ata ou do registro do preço por iniciativa da Administração Municipal, será assegurado o contraditório e ampla defesa.</w:t>
      </w:r>
    </w:p>
    <w:p w14:paraId="187E5106">
      <w:pPr>
        <w:tabs>
          <w:tab w:val="left" w:pos="1701"/>
        </w:tabs>
        <w:spacing w:before="240" w:line="276" w:lineRule="auto"/>
        <w:ind w:firstLine="567"/>
        <w:jc w:val="both"/>
        <w:rPr>
          <w:rFonts w:ascii="Cambria" w:hAnsi="Cambria"/>
        </w:rPr>
      </w:pPr>
      <w:r>
        <w:rPr>
          <w:rFonts w:ascii="Cambria" w:hAnsi="Cambria"/>
          <w:b/>
          <w:bCs/>
        </w:rPr>
        <w:t xml:space="preserve">I. </w:t>
      </w:r>
      <w:r>
        <w:rPr>
          <w:rFonts w:ascii="Cambria" w:hAnsi="Cambria"/>
        </w:rPr>
        <w:t>O fornecedor ou prestador será notificado por meio eletrônico para apresentar defesa no prazo de 05 (cinco) dias úteis, a contar do recebimento da comunicação.</w:t>
      </w:r>
    </w:p>
    <w:p w14:paraId="753AE191">
      <w:pPr>
        <w:pStyle w:val="14"/>
        <w:pBdr>
          <w:top w:val="single" w:color="auto" w:sz="4" w:space="1"/>
          <w:left w:val="single" w:color="auto" w:sz="4" w:space="4"/>
          <w:bottom w:val="single" w:color="auto" w:sz="4" w:space="1"/>
          <w:right w:val="single" w:color="auto" w:sz="4" w:space="4"/>
        </w:pBdr>
        <w:shd w:val="clear" w:color="auto" w:fill="D8D8D8" w:themeFill="background1" w:themeFillShade="D9"/>
        <w:tabs>
          <w:tab w:val="left" w:pos="708"/>
          <w:tab w:val="left" w:pos="1701"/>
        </w:tabs>
        <w:spacing w:before="240" w:line="276" w:lineRule="auto"/>
        <w:jc w:val="both"/>
        <w:rPr>
          <w:rFonts w:ascii="Cambria" w:hAnsi="Cambria"/>
          <w:b/>
          <w:bCs/>
        </w:rPr>
      </w:pPr>
      <w:r>
        <w:rPr>
          <w:rFonts w:ascii="Cambria" w:hAnsi="Cambria"/>
          <w:b/>
        </w:rPr>
        <w:t xml:space="preserve">17. DA </w:t>
      </w:r>
      <w:r>
        <w:rPr>
          <w:rFonts w:ascii="Cambria" w:hAnsi="Cambria"/>
          <w:b/>
          <w:bCs/>
        </w:rPr>
        <w:t>DOTAÇÃO E RECURSOS</w:t>
      </w:r>
    </w:p>
    <w:p w14:paraId="6EEC697D">
      <w:pPr>
        <w:tabs>
          <w:tab w:val="left" w:pos="1701"/>
        </w:tabs>
        <w:spacing w:before="240" w:after="240" w:line="276" w:lineRule="auto"/>
        <w:jc w:val="both"/>
        <w:rPr>
          <w:rFonts w:ascii="Cambria" w:hAnsi="Cambria"/>
        </w:rPr>
      </w:pPr>
      <w:r>
        <w:rPr>
          <w:rFonts w:ascii="Cambria" w:hAnsi="Cambria"/>
          <w:b/>
        </w:rPr>
        <w:t>17.1</w:t>
      </w:r>
      <w:r>
        <w:rPr>
          <w:rFonts w:ascii="Cambria" w:hAnsi="Cambria"/>
        </w:rPr>
        <w:t xml:space="preserve"> </w:t>
      </w:r>
      <w:bookmarkStart w:id="7" w:name="OLE_LINK1"/>
      <w:r>
        <w:rPr>
          <w:rFonts w:ascii="Cambria" w:hAnsi="Cambria"/>
        </w:rPr>
        <w:t>As despesas decorrentes da aquisição do objeto desta Licitação correrão à conta dos recursos das dotações orçamentárias afeta aos órgãos do Fundo Municipal de Saúde de Piracanjuba/GO, a saber:</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6372"/>
      </w:tblGrid>
      <w:tr w14:paraId="764F2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5517691E">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bookmarkStart w:id="8" w:name="_Hlk158366077"/>
            <w:r>
              <w:rPr>
                <w:rFonts w:ascii="Cambria" w:hAnsi="Cambria"/>
                <w14:shadow w14:blurRad="50800" w14:dist="38100" w14:dir="2700000" w14:sx="100000" w14:sy="100000" w14:kx="0" w14:ky="0" w14:algn="tl">
                  <w14:srgbClr w14:val="000000">
                    <w14:alpha w14:val="60000"/>
                  </w14:srgbClr>
                </w14:shadow>
              </w:rPr>
              <w:t>Centro de Custo</w:t>
            </w:r>
          </w:p>
        </w:tc>
        <w:tc>
          <w:tcPr>
            <w:tcW w:w="6372" w:type="dxa"/>
            <w:vAlign w:val="center"/>
          </w:tcPr>
          <w:p w14:paraId="7E2897A9">
            <w:pPr>
              <w:tabs>
                <w:tab w:val="left" w:pos="1701"/>
              </w:tabs>
              <w:spacing w:after="0" w:line="240" w:lineRule="auto"/>
              <w:jc w:val="center"/>
              <w:rPr>
                <w:rFonts w:ascii="Cambria" w:hAnsi="Cambria"/>
              </w:rPr>
            </w:pPr>
            <w:r>
              <w:rPr>
                <w:rFonts w:ascii="Cambria" w:hAnsi="Cambria"/>
              </w:rPr>
              <w:t>55.01.00000</w:t>
            </w:r>
          </w:p>
        </w:tc>
      </w:tr>
      <w:tr w14:paraId="1B5B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45F20113">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Função/ Programa/ Ação</w:t>
            </w:r>
          </w:p>
        </w:tc>
        <w:tc>
          <w:tcPr>
            <w:tcW w:w="6372" w:type="dxa"/>
            <w:vAlign w:val="center"/>
          </w:tcPr>
          <w:p w14:paraId="70201F40">
            <w:pPr>
              <w:tabs>
                <w:tab w:val="left" w:pos="1701"/>
              </w:tabs>
              <w:spacing w:after="0" w:line="240" w:lineRule="auto"/>
              <w:jc w:val="center"/>
              <w:rPr>
                <w:rFonts w:ascii="Cambria" w:hAnsi="Cambria"/>
              </w:rPr>
            </w:pPr>
            <w:r>
              <w:rPr>
                <w:rFonts w:ascii="Cambria" w:hAnsi="Cambria"/>
              </w:rPr>
              <w:t>55.01.10.122.1007.2037</w:t>
            </w:r>
          </w:p>
        </w:tc>
      </w:tr>
      <w:tr w14:paraId="7672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3C1AABD0">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Elemento</w:t>
            </w:r>
          </w:p>
        </w:tc>
        <w:tc>
          <w:tcPr>
            <w:tcW w:w="6372" w:type="dxa"/>
            <w:vAlign w:val="center"/>
          </w:tcPr>
          <w:p w14:paraId="663E132A">
            <w:pPr>
              <w:tabs>
                <w:tab w:val="left" w:pos="1701"/>
              </w:tabs>
              <w:spacing w:after="0" w:line="240" w:lineRule="auto"/>
              <w:jc w:val="center"/>
              <w:rPr>
                <w:rFonts w:ascii="Cambria" w:hAnsi="Cambria"/>
              </w:rPr>
            </w:pPr>
            <w:r>
              <w:rPr>
                <w:rFonts w:ascii="Cambria" w:hAnsi="Cambria"/>
              </w:rPr>
              <w:t>3.3.90.30 – Material de Consumo</w:t>
            </w:r>
          </w:p>
        </w:tc>
      </w:tr>
      <w:tr w14:paraId="11A2F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0D96D8CB">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Subelemento</w:t>
            </w:r>
          </w:p>
        </w:tc>
        <w:tc>
          <w:tcPr>
            <w:tcW w:w="6372" w:type="dxa"/>
            <w:vAlign w:val="center"/>
          </w:tcPr>
          <w:p w14:paraId="44AFB6CE">
            <w:pPr>
              <w:tabs>
                <w:tab w:val="left" w:pos="1701"/>
              </w:tabs>
              <w:spacing w:after="0" w:line="240" w:lineRule="auto"/>
              <w:jc w:val="center"/>
              <w:rPr>
                <w:rFonts w:ascii="Cambria" w:hAnsi="Cambria"/>
              </w:rPr>
            </w:pPr>
            <w:r>
              <w:rPr>
                <w:rFonts w:ascii="Cambria" w:hAnsi="Cambria"/>
              </w:rPr>
              <w:t>9 – Medicamentos</w:t>
            </w:r>
          </w:p>
          <w:p w14:paraId="6E66F3F6">
            <w:pPr>
              <w:tabs>
                <w:tab w:val="left" w:pos="1701"/>
              </w:tabs>
              <w:spacing w:after="0" w:line="240" w:lineRule="auto"/>
              <w:jc w:val="center"/>
              <w:rPr>
                <w:rFonts w:ascii="Cambria" w:hAnsi="Cambria"/>
              </w:rPr>
            </w:pPr>
            <w:r>
              <w:rPr>
                <w:rFonts w:ascii="Cambria" w:hAnsi="Cambria"/>
              </w:rPr>
              <w:t>35 – Material Laboratorial</w:t>
            </w:r>
          </w:p>
          <w:p w14:paraId="6F0799C4">
            <w:pPr>
              <w:tabs>
                <w:tab w:val="left" w:pos="1701"/>
              </w:tabs>
              <w:spacing w:after="0" w:line="240" w:lineRule="auto"/>
              <w:jc w:val="center"/>
              <w:rPr>
                <w:rFonts w:ascii="Cambria" w:hAnsi="Cambria"/>
              </w:rPr>
            </w:pPr>
            <w:r>
              <w:rPr>
                <w:rFonts w:ascii="Cambria" w:hAnsi="Cambria"/>
              </w:rPr>
              <w:t>36 – Material Hospitalar</w:t>
            </w:r>
          </w:p>
        </w:tc>
      </w:tr>
      <w:tr w14:paraId="03CD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105B4DC8">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Ficha/ Fonte</w:t>
            </w:r>
          </w:p>
        </w:tc>
        <w:tc>
          <w:tcPr>
            <w:tcW w:w="6372" w:type="dxa"/>
            <w:vAlign w:val="center"/>
          </w:tcPr>
          <w:p w14:paraId="19C3B399">
            <w:pPr>
              <w:tabs>
                <w:tab w:val="left" w:pos="1701"/>
              </w:tabs>
              <w:spacing w:after="0" w:line="240" w:lineRule="auto"/>
              <w:jc w:val="center"/>
              <w:rPr>
                <w:rFonts w:ascii="Cambria" w:hAnsi="Cambria"/>
              </w:rPr>
            </w:pPr>
            <w:r>
              <w:rPr>
                <w:rFonts w:ascii="Cambria" w:hAnsi="Cambria"/>
              </w:rPr>
              <w:t>437.102.0</w:t>
            </w:r>
          </w:p>
        </w:tc>
      </w:tr>
      <w:tr w14:paraId="4AAF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2" w:type="dxa"/>
            <w:gridSpan w:val="2"/>
            <w:shd w:val="clear" w:color="auto" w:fill="D8D8D8" w:themeFill="background1" w:themeFillShade="D9"/>
            <w:vAlign w:val="center"/>
          </w:tcPr>
          <w:p w14:paraId="2C155D79">
            <w:pPr>
              <w:tabs>
                <w:tab w:val="left" w:pos="1701"/>
              </w:tabs>
              <w:spacing w:after="0" w:line="240" w:lineRule="auto"/>
              <w:jc w:val="center"/>
              <w:rPr>
                <w:rFonts w:ascii="Cambria" w:hAnsi="Cambria"/>
              </w:rPr>
            </w:pPr>
          </w:p>
        </w:tc>
      </w:tr>
      <w:tr w14:paraId="395D8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72C8752B">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Centro de Custo</w:t>
            </w:r>
          </w:p>
        </w:tc>
        <w:tc>
          <w:tcPr>
            <w:tcW w:w="6372" w:type="dxa"/>
            <w:vAlign w:val="center"/>
          </w:tcPr>
          <w:p w14:paraId="0F43DC0C">
            <w:pPr>
              <w:tabs>
                <w:tab w:val="left" w:pos="1701"/>
              </w:tabs>
              <w:spacing w:after="0" w:line="240" w:lineRule="auto"/>
              <w:jc w:val="center"/>
              <w:rPr>
                <w:rFonts w:ascii="Cambria" w:hAnsi="Cambria"/>
              </w:rPr>
            </w:pPr>
            <w:r>
              <w:rPr>
                <w:rFonts w:ascii="Cambria" w:hAnsi="Cambria"/>
              </w:rPr>
              <w:t>55.04.00000</w:t>
            </w:r>
          </w:p>
        </w:tc>
      </w:tr>
      <w:tr w14:paraId="447D5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16CF743B">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Função/ Programa/ Ação</w:t>
            </w:r>
          </w:p>
        </w:tc>
        <w:tc>
          <w:tcPr>
            <w:tcW w:w="6372" w:type="dxa"/>
            <w:vAlign w:val="center"/>
          </w:tcPr>
          <w:p w14:paraId="2FAABF65">
            <w:pPr>
              <w:tabs>
                <w:tab w:val="left" w:pos="1701"/>
              </w:tabs>
              <w:spacing w:after="0" w:line="240" w:lineRule="auto"/>
              <w:jc w:val="center"/>
              <w:rPr>
                <w:rFonts w:ascii="Cambria" w:hAnsi="Cambria"/>
              </w:rPr>
            </w:pPr>
            <w:r>
              <w:rPr>
                <w:rFonts w:ascii="Cambria" w:hAnsi="Cambria"/>
              </w:rPr>
              <w:t>55.01.10.301.1007.2039</w:t>
            </w:r>
          </w:p>
        </w:tc>
      </w:tr>
      <w:tr w14:paraId="61CD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527D8EFB">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Elemento</w:t>
            </w:r>
          </w:p>
        </w:tc>
        <w:tc>
          <w:tcPr>
            <w:tcW w:w="6372" w:type="dxa"/>
            <w:vAlign w:val="center"/>
          </w:tcPr>
          <w:p w14:paraId="35E3089A">
            <w:pPr>
              <w:tabs>
                <w:tab w:val="left" w:pos="1701"/>
              </w:tabs>
              <w:spacing w:after="0" w:line="240" w:lineRule="auto"/>
              <w:jc w:val="center"/>
              <w:rPr>
                <w:rFonts w:ascii="Cambria" w:hAnsi="Cambria"/>
              </w:rPr>
            </w:pPr>
            <w:r>
              <w:rPr>
                <w:rFonts w:ascii="Cambria" w:hAnsi="Cambria"/>
              </w:rPr>
              <w:t>3.3.90.30 – Material de Consumo</w:t>
            </w:r>
          </w:p>
        </w:tc>
      </w:tr>
      <w:tr w14:paraId="0880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0" w:type="dxa"/>
            <w:vAlign w:val="center"/>
          </w:tcPr>
          <w:p w14:paraId="17E9E4B9">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Subelemento</w:t>
            </w:r>
          </w:p>
        </w:tc>
        <w:tc>
          <w:tcPr>
            <w:tcW w:w="6372" w:type="dxa"/>
            <w:vAlign w:val="center"/>
          </w:tcPr>
          <w:p w14:paraId="6472436B">
            <w:pPr>
              <w:tabs>
                <w:tab w:val="left" w:pos="1701"/>
              </w:tabs>
              <w:spacing w:after="0" w:line="240" w:lineRule="auto"/>
              <w:jc w:val="center"/>
              <w:rPr>
                <w:rFonts w:ascii="Cambria" w:hAnsi="Cambria"/>
              </w:rPr>
            </w:pPr>
            <w:r>
              <w:rPr>
                <w:rFonts w:ascii="Cambria" w:hAnsi="Cambria"/>
              </w:rPr>
              <w:t>9 – Medicamentos</w:t>
            </w:r>
          </w:p>
          <w:p w14:paraId="0E91404F">
            <w:pPr>
              <w:tabs>
                <w:tab w:val="left" w:pos="1701"/>
              </w:tabs>
              <w:spacing w:after="0" w:line="240" w:lineRule="auto"/>
              <w:jc w:val="center"/>
              <w:rPr>
                <w:rFonts w:ascii="Cambria" w:hAnsi="Cambria"/>
              </w:rPr>
            </w:pPr>
            <w:r>
              <w:rPr>
                <w:rFonts w:ascii="Cambria" w:hAnsi="Cambria"/>
              </w:rPr>
              <w:t>35 – Material Laboratorial</w:t>
            </w:r>
          </w:p>
          <w:p w14:paraId="02F83E70">
            <w:pPr>
              <w:tabs>
                <w:tab w:val="left" w:pos="1701"/>
              </w:tabs>
              <w:spacing w:after="0" w:line="240" w:lineRule="auto"/>
              <w:jc w:val="center"/>
              <w:rPr>
                <w:rFonts w:ascii="Cambria" w:hAnsi="Cambria"/>
              </w:rPr>
            </w:pPr>
            <w:r>
              <w:rPr>
                <w:rFonts w:ascii="Cambria" w:hAnsi="Cambria"/>
              </w:rPr>
              <w:t>36 – Material Hospitalar</w:t>
            </w:r>
          </w:p>
        </w:tc>
      </w:tr>
      <w:tr w14:paraId="66C86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7F03C5F7">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Ficha/ Fonte</w:t>
            </w:r>
          </w:p>
        </w:tc>
        <w:tc>
          <w:tcPr>
            <w:tcW w:w="6372" w:type="dxa"/>
            <w:vAlign w:val="center"/>
          </w:tcPr>
          <w:p w14:paraId="4ECE98CA">
            <w:pPr>
              <w:tabs>
                <w:tab w:val="left" w:pos="1701"/>
              </w:tabs>
              <w:spacing w:after="0" w:line="240" w:lineRule="auto"/>
              <w:jc w:val="center"/>
              <w:rPr>
                <w:rFonts w:ascii="Cambria" w:hAnsi="Cambria"/>
              </w:rPr>
            </w:pPr>
            <w:r>
              <w:rPr>
                <w:rFonts w:ascii="Cambria" w:hAnsi="Cambria"/>
              </w:rPr>
              <w:t>478.107.8</w:t>
            </w:r>
          </w:p>
        </w:tc>
      </w:tr>
      <w:tr w14:paraId="5A78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2" w:type="dxa"/>
            <w:gridSpan w:val="2"/>
            <w:shd w:val="clear" w:color="auto" w:fill="D8D8D8" w:themeFill="background1" w:themeFillShade="D9"/>
            <w:vAlign w:val="center"/>
          </w:tcPr>
          <w:p w14:paraId="4A452A64">
            <w:pPr>
              <w:tabs>
                <w:tab w:val="left" w:pos="1701"/>
              </w:tabs>
              <w:spacing w:after="0" w:line="240" w:lineRule="auto"/>
              <w:jc w:val="center"/>
              <w:rPr>
                <w:rFonts w:ascii="Cambria" w:hAnsi="Cambria"/>
              </w:rPr>
            </w:pPr>
          </w:p>
        </w:tc>
      </w:tr>
      <w:tr w14:paraId="50BC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4F4658A2">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Centro de Custo</w:t>
            </w:r>
          </w:p>
        </w:tc>
        <w:tc>
          <w:tcPr>
            <w:tcW w:w="6372" w:type="dxa"/>
            <w:vAlign w:val="center"/>
          </w:tcPr>
          <w:p w14:paraId="58C32055">
            <w:pPr>
              <w:tabs>
                <w:tab w:val="left" w:pos="1701"/>
              </w:tabs>
              <w:spacing w:after="0" w:line="240" w:lineRule="auto"/>
              <w:jc w:val="center"/>
              <w:rPr>
                <w:rFonts w:ascii="Cambria" w:hAnsi="Cambria"/>
              </w:rPr>
            </w:pPr>
            <w:r>
              <w:rPr>
                <w:rFonts w:ascii="Cambria" w:hAnsi="Cambria"/>
              </w:rPr>
              <w:t>55.03.00000</w:t>
            </w:r>
          </w:p>
        </w:tc>
      </w:tr>
      <w:tr w14:paraId="41407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615ACDB1">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Função/ Programa/ Ação</w:t>
            </w:r>
          </w:p>
        </w:tc>
        <w:tc>
          <w:tcPr>
            <w:tcW w:w="6372" w:type="dxa"/>
            <w:vAlign w:val="center"/>
          </w:tcPr>
          <w:p w14:paraId="7391F3BD">
            <w:pPr>
              <w:tabs>
                <w:tab w:val="left" w:pos="1701"/>
              </w:tabs>
              <w:spacing w:after="0" w:line="240" w:lineRule="auto"/>
              <w:jc w:val="center"/>
              <w:rPr>
                <w:rFonts w:ascii="Cambria" w:hAnsi="Cambria"/>
              </w:rPr>
            </w:pPr>
            <w:r>
              <w:rPr>
                <w:rFonts w:ascii="Cambria" w:hAnsi="Cambria"/>
              </w:rPr>
              <w:t>55.01.10.302.1007.2040</w:t>
            </w:r>
          </w:p>
        </w:tc>
      </w:tr>
      <w:tr w14:paraId="5E95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62287566">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Elemento</w:t>
            </w:r>
          </w:p>
        </w:tc>
        <w:tc>
          <w:tcPr>
            <w:tcW w:w="6372" w:type="dxa"/>
            <w:vAlign w:val="center"/>
          </w:tcPr>
          <w:p w14:paraId="452CB128">
            <w:pPr>
              <w:tabs>
                <w:tab w:val="left" w:pos="1701"/>
              </w:tabs>
              <w:spacing w:after="0" w:line="240" w:lineRule="auto"/>
              <w:jc w:val="center"/>
              <w:rPr>
                <w:rFonts w:ascii="Cambria" w:hAnsi="Cambria"/>
              </w:rPr>
            </w:pPr>
            <w:r>
              <w:rPr>
                <w:rFonts w:ascii="Cambria" w:hAnsi="Cambria"/>
              </w:rPr>
              <w:t>3.3.90.30 – Material de Consumo</w:t>
            </w:r>
          </w:p>
        </w:tc>
      </w:tr>
      <w:tr w14:paraId="0C0C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1A6B8353">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Subelemento</w:t>
            </w:r>
          </w:p>
        </w:tc>
        <w:tc>
          <w:tcPr>
            <w:tcW w:w="6372" w:type="dxa"/>
            <w:vAlign w:val="center"/>
          </w:tcPr>
          <w:p w14:paraId="78E6FD77">
            <w:pPr>
              <w:tabs>
                <w:tab w:val="left" w:pos="1701"/>
              </w:tabs>
              <w:spacing w:after="0" w:line="240" w:lineRule="auto"/>
              <w:jc w:val="center"/>
              <w:rPr>
                <w:rFonts w:ascii="Cambria" w:hAnsi="Cambria"/>
              </w:rPr>
            </w:pPr>
            <w:r>
              <w:rPr>
                <w:rFonts w:ascii="Cambria" w:hAnsi="Cambria"/>
              </w:rPr>
              <w:t>9 – Medicamentos</w:t>
            </w:r>
          </w:p>
          <w:p w14:paraId="5096AD46">
            <w:pPr>
              <w:tabs>
                <w:tab w:val="left" w:pos="1701"/>
              </w:tabs>
              <w:spacing w:after="0" w:line="240" w:lineRule="auto"/>
              <w:jc w:val="center"/>
              <w:rPr>
                <w:rFonts w:ascii="Cambria" w:hAnsi="Cambria"/>
              </w:rPr>
            </w:pPr>
            <w:r>
              <w:rPr>
                <w:rFonts w:ascii="Cambria" w:hAnsi="Cambria"/>
              </w:rPr>
              <w:t>35 – Material Laboratorial</w:t>
            </w:r>
          </w:p>
          <w:p w14:paraId="2999CAF7">
            <w:pPr>
              <w:tabs>
                <w:tab w:val="left" w:pos="1701"/>
              </w:tabs>
              <w:spacing w:after="0" w:line="240" w:lineRule="auto"/>
              <w:jc w:val="center"/>
              <w:rPr>
                <w:rFonts w:ascii="Cambria" w:hAnsi="Cambria"/>
              </w:rPr>
            </w:pPr>
            <w:r>
              <w:rPr>
                <w:rFonts w:ascii="Cambria" w:hAnsi="Cambria"/>
              </w:rPr>
              <w:t>36 – Material Hospitalar</w:t>
            </w:r>
          </w:p>
        </w:tc>
      </w:tr>
      <w:tr w14:paraId="5283D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49661E73">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Ficha/ Fonte</w:t>
            </w:r>
          </w:p>
        </w:tc>
        <w:tc>
          <w:tcPr>
            <w:tcW w:w="6372" w:type="dxa"/>
            <w:vAlign w:val="center"/>
          </w:tcPr>
          <w:p w14:paraId="6DAAF4F2">
            <w:pPr>
              <w:tabs>
                <w:tab w:val="left" w:pos="1701"/>
              </w:tabs>
              <w:spacing w:after="0" w:line="240" w:lineRule="auto"/>
              <w:jc w:val="center"/>
              <w:rPr>
                <w:rFonts w:ascii="Cambria" w:hAnsi="Cambria"/>
              </w:rPr>
            </w:pPr>
            <w:r>
              <w:rPr>
                <w:rFonts w:ascii="Cambria" w:hAnsi="Cambria"/>
              </w:rPr>
              <w:t>491.102.0/ 107.0/ 107.20</w:t>
            </w:r>
          </w:p>
        </w:tc>
      </w:tr>
      <w:tr w14:paraId="34CC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2" w:type="dxa"/>
            <w:gridSpan w:val="2"/>
            <w:shd w:val="clear" w:color="auto" w:fill="D8D8D8" w:themeFill="background1" w:themeFillShade="D9"/>
            <w:vAlign w:val="center"/>
          </w:tcPr>
          <w:p w14:paraId="273EF1BC">
            <w:pPr>
              <w:tabs>
                <w:tab w:val="left" w:pos="1701"/>
              </w:tabs>
              <w:spacing w:after="0" w:line="240" w:lineRule="auto"/>
              <w:jc w:val="center"/>
              <w:rPr>
                <w:rFonts w:ascii="Cambria" w:hAnsi="Cambria"/>
              </w:rPr>
            </w:pPr>
          </w:p>
        </w:tc>
      </w:tr>
      <w:tr w14:paraId="2B760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2743D6BE">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Centro de Custo</w:t>
            </w:r>
          </w:p>
        </w:tc>
        <w:tc>
          <w:tcPr>
            <w:tcW w:w="6372" w:type="dxa"/>
            <w:vAlign w:val="center"/>
          </w:tcPr>
          <w:p w14:paraId="7091FBCE">
            <w:pPr>
              <w:tabs>
                <w:tab w:val="left" w:pos="1701"/>
              </w:tabs>
              <w:spacing w:after="0" w:line="240" w:lineRule="auto"/>
              <w:jc w:val="center"/>
              <w:rPr>
                <w:rFonts w:ascii="Cambria" w:hAnsi="Cambria"/>
              </w:rPr>
            </w:pPr>
            <w:r>
              <w:rPr>
                <w:rFonts w:ascii="Cambria" w:hAnsi="Cambria"/>
              </w:rPr>
              <w:t>55.03.00000</w:t>
            </w:r>
          </w:p>
        </w:tc>
      </w:tr>
      <w:tr w14:paraId="36370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698FB831">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Função/ Programa/ Ação</w:t>
            </w:r>
          </w:p>
        </w:tc>
        <w:tc>
          <w:tcPr>
            <w:tcW w:w="6372" w:type="dxa"/>
            <w:vAlign w:val="center"/>
          </w:tcPr>
          <w:p w14:paraId="499A0ECF">
            <w:pPr>
              <w:tabs>
                <w:tab w:val="left" w:pos="1701"/>
              </w:tabs>
              <w:spacing w:after="0" w:line="240" w:lineRule="auto"/>
              <w:jc w:val="center"/>
              <w:rPr>
                <w:rFonts w:ascii="Cambria" w:hAnsi="Cambria"/>
              </w:rPr>
            </w:pPr>
            <w:r>
              <w:rPr>
                <w:rFonts w:ascii="Cambria" w:hAnsi="Cambria"/>
              </w:rPr>
              <w:t>55.01.10.303.1007.2041</w:t>
            </w:r>
          </w:p>
        </w:tc>
      </w:tr>
      <w:tr w14:paraId="60D13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773ABD18">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Elemento</w:t>
            </w:r>
          </w:p>
        </w:tc>
        <w:tc>
          <w:tcPr>
            <w:tcW w:w="6372" w:type="dxa"/>
            <w:vAlign w:val="center"/>
          </w:tcPr>
          <w:p w14:paraId="237529CC">
            <w:pPr>
              <w:tabs>
                <w:tab w:val="left" w:pos="1701"/>
              </w:tabs>
              <w:spacing w:after="0" w:line="240" w:lineRule="auto"/>
              <w:jc w:val="center"/>
              <w:rPr>
                <w:rFonts w:ascii="Cambria" w:hAnsi="Cambria"/>
              </w:rPr>
            </w:pPr>
            <w:r>
              <w:rPr>
                <w:rFonts w:ascii="Cambria" w:hAnsi="Cambria"/>
              </w:rPr>
              <w:t>3.3.90.30 – Material de Consumo</w:t>
            </w:r>
          </w:p>
        </w:tc>
      </w:tr>
      <w:tr w14:paraId="41127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55163A3F">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Subelemento</w:t>
            </w:r>
          </w:p>
        </w:tc>
        <w:tc>
          <w:tcPr>
            <w:tcW w:w="6372" w:type="dxa"/>
            <w:vAlign w:val="center"/>
          </w:tcPr>
          <w:p w14:paraId="79D6C1BD">
            <w:pPr>
              <w:tabs>
                <w:tab w:val="left" w:pos="1701"/>
              </w:tabs>
              <w:spacing w:after="0" w:line="240" w:lineRule="auto"/>
              <w:jc w:val="center"/>
              <w:rPr>
                <w:rFonts w:ascii="Cambria" w:hAnsi="Cambria"/>
              </w:rPr>
            </w:pPr>
            <w:r>
              <w:rPr>
                <w:rFonts w:ascii="Cambria" w:hAnsi="Cambria"/>
              </w:rPr>
              <w:t>9 – Medicamentos</w:t>
            </w:r>
          </w:p>
          <w:p w14:paraId="3ED35A0F">
            <w:pPr>
              <w:tabs>
                <w:tab w:val="left" w:pos="1701"/>
              </w:tabs>
              <w:spacing w:after="0" w:line="240" w:lineRule="auto"/>
              <w:jc w:val="center"/>
              <w:rPr>
                <w:rFonts w:ascii="Cambria" w:hAnsi="Cambria"/>
              </w:rPr>
            </w:pPr>
            <w:r>
              <w:rPr>
                <w:rFonts w:ascii="Cambria" w:hAnsi="Cambria"/>
              </w:rPr>
              <w:t>35 – Material Laboratorial</w:t>
            </w:r>
          </w:p>
          <w:p w14:paraId="50C56DCF">
            <w:pPr>
              <w:tabs>
                <w:tab w:val="left" w:pos="1701"/>
              </w:tabs>
              <w:spacing w:after="0" w:line="240" w:lineRule="auto"/>
              <w:jc w:val="center"/>
              <w:rPr>
                <w:rFonts w:ascii="Cambria" w:hAnsi="Cambria"/>
              </w:rPr>
            </w:pPr>
            <w:r>
              <w:rPr>
                <w:rFonts w:ascii="Cambria" w:hAnsi="Cambria"/>
              </w:rPr>
              <w:t>36 – Material Hospitalar</w:t>
            </w:r>
          </w:p>
        </w:tc>
      </w:tr>
      <w:tr w14:paraId="4543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7DBBFBFB">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Ficha/ Fonte</w:t>
            </w:r>
          </w:p>
        </w:tc>
        <w:tc>
          <w:tcPr>
            <w:tcW w:w="6372" w:type="dxa"/>
            <w:vAlign w:val="center"/>
          </w:tcPr>
          <w:p w14:paraId="2FBEC977">
            <w:pPr>
              <w:tabs>
                <w:tab w:val="left" w:pos="1701"/>
              </w:tabs>
              <w:spacing w:after="0" w:line="240" w:lineRule="auto"/>
              <w:jc w:val="center"/>
              <w:rPr>
                <w:rFonts w:ascii="Cambria" w:hAnsi="Cambria"/>
              </w:rPr>
            </w:pPr>
            <w:r>
              <w:rPr>
                <w:rFonts w:ascii="Cambria" w:hAnsi="Cambria"/>
              </w:rPr>
              <w:t>497.107.13</w:t>
            </w:r>
          </w:p>
        </w:tc>
      </w:tr>
      <w:tr w14:paraId="6D8D5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2" w:type="dxa"/>
            <w:gridSpan w:val="2"/>
            <w:shd w:val="clear" w:color="auto" w:fill="D8D8D8" w:themeFill="background1" w:themeFillShade="D9"/>
            <w:vAlign w:val="center"/>
          </w:tcPr>
          <w:p w14:paraId="4FAAFBDE">
            <w:pPr>
              <w:tabs>
                <w:tab w:val="left" w:pos="1701"/>
              </w:tabs>
              <w:spacing w:after="0" w:line="240" w:lineRule="auto"/>
              <w:jc w:val="center"/>
              <w:rPr>
                <w:rFonts w:ascii="Cambria" w:hAnsi="Cambria"/>
              </w:rPr>
            </w:pPr>
          </w:p>
        </w:tc>
      </w:tr>
      <w:tr w14:paraId="2ECB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62B43121">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Centro de Custo</w:t>
            </w:r>
          </w:p>
        </w:tc>
        <w:tc>
          <w:tcPr>
            <w:tcW w:w="6372" w:type="dxa"/>
            <w:vAlign w:val="center"/>
          </w:tcPr>
          <w:p w14:paraId="35CDAF4F">
            <w:pPr>
              <w:tabs>
                <w:tab w:val="left" w:pos="1701"/>
              </w:tabs>
              <w:spacing w:after="0" w:line="240" w:lineRule="auto"/>
              <w:jc w:val="center"/>
              <w:rPr>
                <w:rFonts w:ascii="Cambria" w:hAnsi="Cambria"/>
              </w:rPr>
            </w:pPr>
            <w:r>
              <w:rPr>
                <w:rFonts w:ascii="Cambria" w:hAnsi="Cambria"/>
              </w:rPr>
              <w:t>55.02.00000</w:t>
            </w:r>
          </w:p>
        </w:tc>
      </w:tr>
      <w:tr w14:paraId="6EA7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42C62687">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Função/ Programa/ Ação</w:t>
            </w:r>
          </w:p>
        </w:tc>
        <w:tc>
          <w:tcPr>
            <w:tcW w:w="6372" w:type="dxa"/>
            <w:vAlign w:val="center"/>
          </w:tcPr>
          <w:p w14:paraId="46C0D492">
            <w:pPr>
              <w:tabs>
                <w:tab w:val="left" w:pos="1701"/>
              </w:tabs>
              <w:spacing w:after="0" w:line="240" w:lineRule="auto"/>
              <w:jc w:val="center"/>
              <w:rPr>
                <w:rFonts w:ascii="Cambria" w:hAnsi="Cambria"/>
              </w:rPr>
            </w:pPr>
            <w:r>
              <w:rPr>
                <w:rFonts w:ascii="Cambria" w:hAnsi="Cambria"/>
              </w:rPr>
              <w:t>55.01.10.304.1007.2042</w:t>
            </w:r>
          </w:p>
        </w:tc>
      </w:tr>
      <w:tr w14:paraId="0A5B8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34DC8934">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Elemento</w:t>
            </w:r>
          </w:p>
        </w:tc>
        <w:tc>
          <w:tcPr>
            <w:tcW w:w="6372" w:type="dxa"/>
            <w:vAlign w:val="center"/>
          </w:tcPr>
          <w:p w14:paraId="0B886370">
            <w:pPr>
              <w:tabs>
                <w:tab w:val="left" w:pos="1701"/>
              </w:tabs>
              <w:spacing w:after="0" w:line="240" w:lineRule="auto"/>
              <w:jc w:val="center"/>
              <w:rPr>
                <w:rFonts w:ascii="Cambria" w:hAnsi="Cambria"/>
              </w:rPr>
            </w:pPr>
            <w:r>
              <w:rPr>
                <w:rFonts w:ascii="Cambria" w:hAnsi="Cambria"/>
              </w:rPr>
              <w:t>3.3.90.30 – Material de Consumo</w:t>
            </w:r>
          </w:p>
        </w:tc>
      </w:tr>
      <w:tr w14:paraId="5D563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7468E0E1">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Subelemento</w:t>
            </w:r>
          </w:p>
        </w:tc>
        <w:tc>
          <w:tcPr>
            <w:tcW w:w="6372" w:type="dxa"/>
            <w:vAlign w:val="center"/>
          </w:tcPr>
          <w:p w14:paraId="75D196B8">
            <w:pPr>
              <w:tabs>
                <w:tab w:val="left" w:pos="1701"/>
              </w:tabs>
              <w:spacing w:after="0" w:line="240" w:lineRule="auto"/>
              <w:jc w:val="center"/>
              <w:rPr>
                <w:rFonts w:ascii="Cambria" w:hAnsi="Cambria"/>
              </w:rPr>
            </w:pPr>
            <w:r>
              <w:rPr>
                <w:rFonts w:ascii="Cambria" w:hAnsi="Cambria"/>
              </w:rPr>
              <w:t>9 – Medicamentos</w:t>
            </w:r>
          </w:p>
          <w:p w14:paraId="048FFF38">
            <w:pPr>
              <w:tabs>
                <w:tab w:val="left" w:pos="1701"/>
              </w:tabs>
              <w:spacing w:after="0" w:line="240" w:lineRule="auto"/>
              <w:jc w:val="center"/>
              <w:rPr>
                <w:rFonts w:ascii="Cambria" w:hAnsi="Cambria"/>
              </w:rPr>
            </w:pPr>
            <w:r>
              <w:rPr>
                <w:rFonts w:ascii="Cambria" w:hAnsi="Cambria"/>
              </w:rPr>
              <w:t>35 – Material Laboratorial</w:t>
            </w:r>
          </w:p>
          <w:p w14:paraId="76881338">
            <w:pPr>
              <w:tabs>
                <w:tab w:val="left" w:pos="1701"/>
              </w:tabs>
              <w:spacing w:after="0" w:line="240" w:lineRule="auto"/>
              <w:jc w:val="center"/>
              <w:rPr>
                <w:rFonts w:ascii="Cambria" w:hAnsi="Cambria"/>
              </w:rPr>
            </w:pPr>
            <w:r>
              <w:rPr>
                <w:rFonts w:ascii="Cambria" w:hAnsi="Cambria"/>
              </w:rPr>
              <w:t>36 – Material Hospitalar</w:t>
            </w:r>
          </w:p>
        </w:tc>
      </w:tr>
      <w:tr w14:paraId="0263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4ED7370F">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Ficha/ Fonte</w:t>
            </w:r>
          </w:p>
        </w:tc>
        <w:tc>
          <w:tcPr>
            <w:tcW w:w="6372" w:type="dxa"/>
            <w:vAlign w:val="center"/>
          </w:tcPr>
          <w:p w14:paraId="31681E68">
            <w:pPr>
              <w:tabs>
                <w:tab w:val="left" w:pos="1701"/>
              </w:tabs>
              <w:spacing w:after="0" w:line="240" w:lineRule="auto"/>
              <w:jc w:val="center"/>
              <w:rPr>
                <w:rFonts w:ascii="Cambria" w:hAnsi="Cambria"/>
              </w:rPr>
            </w:pPr>
            <w:r>
              <w:rPr>
                <w:rFonts w:ascii="Cambria" w:hAnsi="Cambria"/>
              </w:rPr>
              <w:t>503.107.15</w:t>
            </w:r>
          </w:p>
        </w:tc>
      </w:tr>
      <w:bookmarkEnd w:id="7"/>
      <w:bookmarkEnd w:id="8"/>
    </w:tbl>
    <w:p w14:paraId="60D56D22">
      <w:pPr>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tabs>
          <w:tab w:val="left" w:pos="1701"/>
        </w:tabs>
        <w:spacing w:before="240" w:line="276" w:lineRule="auto"/>
        <w:jc w:val="both"/>
        <w:outlineLvl w:val="0"/>
        <w:rPr>
          <w:rFonts w:ascii="Cambria" w:hAnsi="Cambria"/>
          <w:b/>
        </w:rPr>
      </w:pPr>
      <w:r>
        <w:rPr>
          <w:rFonts w:ascii="Cambria" w:hAnsi="Cambria"/>
          <w:b/>
        </w:rPr>
        <w:t>18. DA EXECUÇÃO, RECEBIMENTO E PAGAMENTO</w:t>
      </w:r>
    </w:p>
    <w:p w14:paraId="76C8A736">
      <w:pPr>
        <w:pStyle w:val="22"/>
        <w:spacing w:before="240" w:line="276" w:lineRule="auto"/>
        <w:jc w:val="both"/>
        <w:rPr>
          <w:rFonts w:ascii="Cambria" w:hAnsi="Cambria"/>
        </w:rPr>
      </w:pPr>
      <w:r>
        <w:rPr>
          <w:rFonts w:ascii="Cambria" w:hAnsi="Cambria"/>
          <w:b/>
        </w:rPr>
        <w:t>18.1</w:t>
      </w:r>
      <w:r>
        <w:rPr>
          <w:rFonts w:ascii="Cambria" w:hAnsi="Cambria"/>
        </w:rPr>
        <w:t xml:space="preserve"> A forma de execução do instrumento contratual, fornecimento, prazos, locais, recebimento, pagamento e demais informações estão contidas no Estudo Técnico Preliminar e Termo de Referência Anexos deste Edital.</w:t>
      </w:r>
    </w:p>
    <w:p w14:paraId="117AB675">
      <w:pPr>
        <w:pStyle w:val="14"/>
        <w:pBdr>
          <w:top w:val="single" w:color="auto" w:sz="4" w:space="1"/>
          <w:left w:val="single" w:color="auto" w:sz="4" w:space="4"/>
          <w:bottom w:val="single" w:color="auto" w:sz="4" w:space="1"/>
          <w:right w:val="single" w:color="auto" w:sz="4" w:space="4"/>
        </w:pBdr>
        <w:shd w:val="clear" w:color="auto" w:fill="D8D8D8" w:themeFill="background1" w:themeFillShade="D9"/>
        <w:tabs>
          <w:tab w:val="left" w:pos="708"/>
          <w:tab w:val="left" w:pos="1701"/>
        </w:tabs>
        <w:spacing w:before="240" w:line="276" w:lineRule="auto"/>
        <w:rPr>
          <w:rFonts w:ascii="Cambria" w:hAnsi="Cambria"/>
          <w:b/>
          <w:bCs/>
        </w:rPr>
      </w:pPr>
      <w:r>
        <w:rPr>
          <w:rFonts w:ascii="Cambria" w:hAnsi="Cambria"/>
          <w:b/>
          <w:bCs/>
        </w:rPr>
        <w:t>19. DAS PENALIDADES</w:t>
      </w:r>
    </w:p>
    <w:p w14:paraId="2D675910">
      <w:pPr>
        <w:spacing w:before="225" w:after="225" w:line="276" w:lineRule="auto"/>
        <w:jc w:val="both"/>
        <w:rPr>
          <w:rFonts w:ascii="Cambria" w:hAnsi="Cambria" w:eastAsia="Times New Roman" w:cs="Times New Roman"/>
          <w:lang w:eastAsia="pt-BR"/>
        </w:rPr>
      </w:pPr>
      <w:r>
        <w:rPr>
          <w:rFonts w:ascii="Cambria" w:hAnsi="Cambria" w:eastAsia="Times New Roman" w:cs="Arial"/>
          <w:b/>
          <w:bCs/>
          <w:lang w:eastAsia="pt-BR"/>
        </w:rPr>
        <w:t>19.1</w:t>
      </w:r>
      <w:r>
        <w:rPr>
          <w:rFonts w:ascii="Cambria" w:hAnsi="Cambria" w:eastAsia="Times New Roman" w:cs="Arial"/>
          <w:lang w:eastAsia="pt-BR"/>
        </w:rPr>
        <w:t xml:space="preserve"> O licitante ou o contratado será responsabilizado administrativamente pelas seguintes infrações:</w:t>
      </w:r>
    </w:p>
    <w:p w14:paraId="70D093E6">
      <w:pPr>
        <w:spacing w:before="225" w:after="225" w:line="276" w:lineRule="auto"/>
        <w:ind w:firstLine="570"/>
        <w:jc w:val="both"/>
        <w:rPr>
          <w:rFonts w:ascii="Cambria" w:hAnsi="Cambria" w:eastAsia="Times New Roman" w:cs="Times New Roman"/>
          <w:lang w:eastAsia="pt-BR"/>
        </w:rPr>
      </w:pPr>
      <w:bookmarkStart w:id="9" w:name="art155i"/>
      <w:bookmarkEnd w:id="9"/>
      <w:r>
        <w:rPr>
          <w:rFonts w:ascii="Cambria" w:hAnsi="Cambria" w:eastAsia="Times New Roman" w:cs="Arial"/>
          <w:b/>
          <w:bCs/>
          <w:lang w:eastAsia="pt-BR"/>
        </w:rPr>
        <w:t>I.</w:t>
      </w:r>
      <w:r>
        <w:rPr>
          <w:rFonts w:ascii="Cambria" w:hAnsi="Cambria" w:eastAsia="Times New Roman" w:cs="Arial"/>
          <w:lang w:eastAsia="pt-BR"/>
        </w:rPr>
        <w:t xml:space="preserve"> Dar causa à inexecução parcial do contrato.</w:t>
      </w:r>
    </w:p>
    <w:p w14:paraId="0CC6DDA3">
      <w:pPr>
        <w:spacing w:before="225" w:after="225" w:line="276" w:lineRule="auto"/>
        <w:ind w:firstLine="570"/>
        <w:jc w:val="both"/>
        <w:rPr>
          <w:rFonts w:ascii="Cambria" w:hAnsi="Cambria" w:eastAsia="Times New Roman" w:cs="Times New Roman"/>
          <w:lang w:eastAsia="pt-BR"/>
        </w:rPr>
      </w:pPr>
      <w:bookmarkStart w:id="10" w:name="art155ii"/>
      <w:bookmarkEnd w:id="10"/>
      <w:r>
        <w:rPr>
          <w:rFonts w:ascii="Cambria" w:hAnsi="Cambria" w:eastAsia="Times New Roman" w:cs="Arial"/>
          <w:b/>
          <w:bCs/>
          <w:lang w:eastAsia="pt-BR"/>
        </w:rPr>
        <w:t>II.</w:t>
      </w:r>
      <w:r>
        <w:rPr>
          <w:rFonts w:ascii="Cambria" w:hAnsi="Cambria" w:eastAsia="Times New Roman" w:cs="Arial"/>
          <w:lang w:eastAsia="pt-BR"/>
        </w:rPr>
        <w:t xml:space="preserve"> Dar causa à inexecução parcial do contrato que cause grave dano à Administração, ao funcionamento dos serviços públicos ou ao interesse coletivo.</w:t>
      </w:r>
    </w:p>
    <w:p w14:paraId="44316C17">
      <w:pPr>
        <w:spacing w:before="225" w:after="225" w:line="276" w:lineRule="auto"/>
        <w:ind w:firstLine="570"/>
        <w:jc w:val="both"/>
        <w:rPr>
          <w:rFonts w:ascii="Cambria" w:hAnsi="Cambria" w:eastAsia="Times New Roman" w:cs="Times New Roman"/>
          <w:lang w:eastAsia="pt-BR"/>
        </w:rPr>
      </w:pPr>
      <w:bookmarkStart w:id="11" w:name="art155iii"/>
      <w:bookmarkEnd w:id="11"/>
      <w:r>
        <w:rPr>
          <w:rFonts w:ascii="Cambria" w:hAnsi="Cambria" w:eastAsia="Times New Roman" w:cs="Arial"/>
          <w:b/>
          <w:bCs/>
          <w:lang w:eastAsia="pt-BR"/>
        </w:rPr>
        <w:t>III.</w:t>
      </w:r>
      <w:r>
        <w:rPr>
          <w:rFonts w:ascii="Cambria" w:hAnsi="Cambria" w:eastAsia="Times New Roman" w:cs="Arial"/>
          <w:lang w:eastAsia="pt-BR"/>
        </w:rPr>
        <w:t xml:space="preserve"> Dar causa à inexecução total do contrato.</w:t>
      </w:r>
    </w:p>
    <w:p w14:paraId="370C78D6">
      <w:pPr>
        <w:spacing w:before="225" w:after="225" w:line="276" w:lineRule="auto"/>
        <w:ind w:firstLine="570"/>
        <w:jc w:val="both"/>
        <w:rPr>
          <w:rFonts w:ascii="Cambria" w:hAnsi="Cambria" w:eastAsia="Times New Roman" w:cs="Times New Roman"/>
          <w:lang w:eastAsia="pt-BR"/>
        </w:rPr>
      </w:pPr>
      <w:bookmarkStart w:id="12" w:name="art155iv"/>
      <w:bookmarkEnd w:id="12"/>
      <w:r>
        <w:rPr>
          <w:rFonts w:ascii="Cambria" w:hAnsi="Cambria" w:eastAsia="Times New Roman" w:cs="Arial"/>
          <w:b/>
          <w:bCs/>
          <w:lang w:eastAsia="pt-BR"/>
        </w:rPr>
        <w:t>IV.</w:t>
      </w:r>
      <w:r>
        <w:rPr>
          <w:rFonts w:ascii="Cambria" w:hAnsi="Cambria" w:eastAsia="Times New Roman" w:cs="Arial"/>
          <w:lang w:eastAsia="pt-BR"/>
        </w:rPr>
        <w:t xml:space="preserve"> Deixar de entregar a documentação exigida para o certame.</w:t>
      </w:r>
    </w:p>
    <w:p w14:paraId="74847258">
      <w:pPr>
        <w:spacing w:before="225" w:after="225" w:line="276" w:lineRule="auto"/>
        <w:ind w:firstLine="570"/>
        <w:jc w:val="both"/>
        <w:rPr>
          <w:rFonts w:ascii="Cambria" w:hAnsi="Cambria" w:eastAsia="Times New Roman" w:cs="Times New Roman"/>
          <w:lang w:eastAsia="pt-BR"/>
        </w:rPr>
      </w:pPr>
      <w:bookmarkStart w:id="13" w:name="art155v"/>
      <w:bookmarkEnd w:id="13"/>
      <w:r>
        <w:rPr>
          <w:rFonts w:ascii="Cambria" w:hAnsi="Cambria" w:eastAsia="Times New Roman" w:cs="Arial"/>
          <w:b/>
          <w:bCs/>
          <w:lang w:eastAsia="pt-BR"/>
        </w:rPr>
        <w:t>V.</w:t>
      </w:r>
      <w:r>
        <w:rPr>
          <w:rFonts w:ascii="Cambria" w:hAnsi="Cambria" w:eastAsia="Times New Roman" w:cs="Arial"/>
          <w:lang w:eastAsia="pt-BR"/>
        </w:rPr>
        <w:t xml:space="preserve"> Não manter a proposta, salvo em decorrência de fato superveniente devidamente justificado.</w:t>
      </w:r>
    </w:p>
    <w:p w14:paraId="18239A8C">
      <w:pPr>
        <w:spacing w:before="225" w:after="225" w:line="276" w:lineRule="auto"/>
        <w:ind w:firstLine="570"/>
        <w:jc w:val="both"/>
        <w:rPr>
          <w:rFonts w:ascii="Cambria" w:hAnsi="Cambria" w:eastAsia="Times New Roman" w:cs="Times New Roman"/>
          <w:lang w:eastAsia="pt-BR"/>
        </w:rPr>
      </w:pPr>
      <w:bookmarkStart w:id="14" w:name="art155vi"/>
      <w:bookmarkEnd w:id="14"/>
      <w:r>
        <w:rPr>
          <w:rFonts w:ascii="Cambria" w:hAnsi="Cambria" w:eastAsia="Times New Roman" w:cs="Arial"/>
          <w:b/>
          <w:bCs/>
          <w:lang w:eastAsia="pt-BR"/>
        </w:rPr>
        <w:t>VI.</w:t>
      </w:r>
      <w:r>
        <w:rPr>
          <w:rFonts w:ascii="Cambria" w:hAnsi="Cambria" w:eastAsia="Times New Roman" w:cs="Arial"/>
          <w:lang w:eastAsia="pt-BR"/>
        </w:rPr>
        <w:t xml:space="preserve"> Não celebrar o contrato ou não entregar a documentação exigida para a contratação, quando convocado dentro do prazo de validade de sua proposta.</w:t>
      </w:r>
    </w:p>
    <w:p w14:paraId="28ECBB03">
      <w:pPr>
        <w:spacing w:before="225" w:after="225" w:line="276" w:lineRule="auto"/>
        <w:ind w:firstLine="570"/>
        <w:jc w:val="both"/>
        <w:rPr>
          <w:rFonts w:ascii="Cambria" w:hAnsi="Cambria" w:eastAsia="Times New Roman" w:cs="Times New Roman"/>
          <w:lang w:eastAsia="pt-BR"/>
        </w:rPr>
      </w:pPr>
      <w:bookmarkStart w:id="15" w:name="art155vii"/>
      <w:bookmarkEnd w:id="15"/>
      <w:r>
        <w:rPr>
          <w:rFonts w:ascii="Cambria" w:hAnsi="Cambria" w:eastAsia="Times New Roman" w:cs="Arial"/>
          <w:b/>
          <w:bCs/>
          <w:lang w:eastAsia="pt-BR"/>
        </w:rPr>
        <w:t>VII.</w:t>
      </w:r>
      <w:r>
        <w:rPr>
          <w:rFonts w:ascii="Cambria" w:hAnsi="Cambria" w:eastAsia="Times New Roman" w:cs="Arial"/>
          <w:lang w:eastAsia="pt-BR"/>
        </w:rPr>
        <w:t xml:space="preserve"> Ensejar o retardamento da execução ou da entrega do objeto da licitação sem motivo justificado.</w:t>
      </w:r>
    </w:p>
    <w:p w14:paraId="1CCF26E0">
      <w:pPr>
        <w:spacing w:before="225" w:after="225" w:line="276" w:lineRule="auto"/>
        <w:ind w:firstLine="570"/>
        <w:jc w:val="both"/>
        <w:rPr>
          <w:rFonts w:ascii="Cambria" w:hAnsi="Cambria" w:eastAsia="Times New Roman" w:cs="Times New Roman"/>
          <w:lang w:eastAsia="pt-BR"/>
        </w:rPr>
      </w:pPr>
      <w:bookmarkStart w:id="16" w:name="art155viii"/>
      <w:bookmarkEnd w:id="16"/>
      <w:r>
        <w:rPr>
          <w:rFonts w:ascii="Cambria" w:hAnsi="Cambria" w:eastAsia="Times New Roman" w:cs="Arial"/>
          <w:b/>
          <w:bCs/>
          <w:lang w:eastAsia="pt-BR"/>
        </w:rPr>
        <w:t>VIII.</w:t>
      </w:r>
      <w:r>
        <w:rPr>
          <w:rFonts w:ascii="Cambria" w:hAnsi="Cambria" w:eastAsia="Times New Roman" w:cs="Arial"/>
          <w:lang w:eastAsia="pt-BR"/>
        </w:rPr>
        <w:t xml:space="preserve"> Apresentar declaração ou documentação falsa exigida para o certame ou prestar declaração falsa durante a licitação ou a execução do contrato.</w:t>
      </w:r>
    </w:p>
    <w:p w14:paraId="52132F79">
      <w:pPr>
        <w:spacing w:before="225" w:after="225" w:line="276" w:lineRule="auto"/>
        <w:ind w:firstLine="570"/>
        <w:jc w:val="both"/>
        <w:rPr>
          <w:rFonts w:ascii="Cambria" w:hAnsi="Cambria" w:eastAsia="Times New Roman" w:cs="Times New Roman"/>
          <w:lang w:eastAsia="pt-BR"/>
        </w:rPr>
      </w:pPr>
      <w:bookmarkStart w:id="17" w:name="art155ix"/>
      <w:bookmarkEnd w:id="17"/>
      <w:r>
        <w:rPr>
          <w:rFonts w:ascii="Cambria" w:hAnsi="Cambria" w:eastAsia="Times New Roman" w:cs="Arial"/>
          <w:b/>
          <w:bCs/>
          <w:lang w:eastAsia="pt-BR"/>
        </w:rPr>
        <w:t>IX.</w:t>
      </w:r>
      <w:r>
        <w:rPr>
          <w:rFonts w:ascii="Cambria" w:hAnsi="Cambria" w:eastAsia="Times New Roman" w:cs="Arial"/>
          <w:lang w:eastAsia="pt-BR"/>
        </w:rPr>
        <w:t xml:space="preserve"> Fraudar a licitação ou praticar ato fraudulento na execução do contrato.</w:t>
      </w:r>
    </w:p>
    <w:p w14:paraId="45111577">
      <w:pPr>
        <w:spacing w:before="225" w:after="225" w:line="276" w:lineRule="auto"/>
        <w:ind w:firstLine="570"/>
        <w:jc w:val="both"/>
        <w:rPr>
          <w:rFonts w:ascii="Cambria" w:hAnsi="Cambria" w:eastAsia="Times New Roman" w:cs="Times New Roman"/>
          <w:lang w:eastAsia="pt-BR"/>
        </w:rPr>
      </w:pPr>
      <w:bookmarkStart w:id="18" w:name="art155x"/>
      <w:bookmarkEnd w:id="18"/>
      <w:r>
        <w:rPr>
          <w:rFonts w:ascii="Cambria" w:hAnsi="Cambria" w:eastAsia="Times New Roman" w:cs="Arial"/>
          <w:b/>
          <w:bCs/>
          <w:lang w:eastAsia="pt-BR"/>
        </w:rPr>
        <w:t>X.</w:t>
      </w:r>
      <w:r>
        <w:rPr>
          <w:rFonts w:ascii="Cambria" w:hAnsi="Cambria" w:eastAsia="Times New Roman" w:cs="Arial"/>
          <w:lang w:eastAsia="pt-BR"/>
        </w:rPr>
        <w:t xml:space="preserve"> Comportar-se de modo inidôneo ou cometer fraude de qualquer natureza.</w:t>
      </w:r>
    </w:p>
    <w:p w14:paraId="3B714E46">
      <w:pPr>
        <w:spacing w:before="225" w:after="225" w:line="276" w:lineRule="auto"/>
        <w:ind w:firstLine="570"/>
        <w:jc w:val="both"/>
        <w:rPr>
          <w:rFonts w:ascii="Cambria" w:hAnsi="Cambria" w:eastAsia="Times New Roman" w:cs="Times New Roman"/>
          <w:lang w:eastAsia="pt-BR"/>
        </w:rPr>
      </w:pPr>
      <w:bookmarkStart w:id="19" w:name="art155xi"/>
      <w:bookmarkEnd w:id="19"/>
      <w:r>
        <w:rPr>
          <w:rFonts w:ascii="Cambria" w:hAnsi="Cambria" w:eastAsia="Times New Roman" w:cs="Arial"/>
          <w:b/>
          <w:bCs/>
          <w:lang w:eastAsia="pt-BR"/>
        </w:rPr>
        <w:t>XI.</w:t>
      </w:r>
      <w:r>
        <w:rPr>
          <w:rFonts w:ascii="Cambria" w:hAnsi="Cambria" w:eastAsia="Times New Roman" w:cs="Arial"/>
          <w:lang w:eastAsia="pt-BR"/>
        </w:rPr>
        <w:t xml:space="preserve"> Praticar atos ilícitos com vistas a frustrar os objetivos da licitação.</w:t>
      </w:r>
    </w:p>
    <w:p w14:paraId="04D49752">
      <w:pPr>
        <w:spacing w:before="225" w:after="225" w:line="276" w:lineRule="auto"/>
        <w:ind w:firstLine="570"/>
        <w:jc w:val="both"/>
        <w:rPr>
          <w:rFonts w:ascii="Cambria" w:hAnsi="Cambria" w:eastAsia="Times New Roman" w:cs="Times New Roman"/>
          <w:lang w:eastAsia="pt-BR"/>
        </w:rPr>
      </w:pPr>
      <w:bookmarkStart w:id="20" w:name="art155xii"/>
      <w:bookmarkEnd w:id="20"/>
      <w:r>
        <w:rPr>
          <w:rFonts w:ascii="Cambria" w:hAnsi="Cambria" w:eastAsia="Times New Roman" w:cs="Arial"/>
          <w:b/>
          <w:bCs/>
          <w:lang w:eastAsia="pt-BR"/>
        </w:rPr>
        <w:t>XII.</w:t>
      </w:r>
      <w:r>
        <w:rPr>
          <w:rFonts w:ascii="Cambria" w:hAnsi="Cambria" w:eastAsia="Times New Roman" w:cs="Arial"/>
          <w:lang w:eastAsia="pt-BR"/>
        </w:rPr>
        <w:t xml:space="preserve"> Praticar ato lesivo previsto no </w:t>
      </w:r>
      <w:r>
        <w:fldChar w:fldCharType="begin"/>
      </w:r>
      <w:r>
        <w:instrText xml:space="preserve"> HYPERLINK "https://www.planalto.gov.br/ccivil_03/_Ato2011-2014/2013/Lei/L12846.htm" \l "art5" </w:instrText>
      </w:r>
      <w:r>
        <w:fldChar w:fldCharType="separate"/>
      </w:r>
      <w:r>
        <w:rPr>
          <w:rFonts w:ascii="Cambria" w:hAnsi="Cambria" w:eastAsia="Times New Roman" w:cs="Arial"/>
          <w:lang w:eastAsia="pt-BR"/>
        </w:rPr>
        <w:t>art. 5º da Lei Federal nº 12.846, de 1º de agosto de 2013.</w:t>
      </w:r>
      <w:r>
        <w:rPr>
          <w:rFonts w:ascii="Cambria" w:hAnsi="Cambria" w:eastAsia="Times New Roman" w:cs="Arial"/>
          <w:lang w:eastAsia="pt-BR"/>
        </w:rPr>
        <w:fldChar w:fldCharType="end"/>
      </w:r>
    </w:p>
    <w:p w14:paraId="6ABDC7A1">
      <w:pPr>
        <w:spacing w:before="225" w:after="225" w:line="276" w:lineRule="auto"/>
        <w:jc w:val="both"/>
        <w:rPr>
          <w:rFonts w:ascii="Cambria" w:hAnsi="Cambria" w:eastAsia="Times New Roman" w:cs="Times New Roman"/>
          <w:lang w:eastAsia="pt-BR"/>
        </w:rPr>
      </w:pPr>
      <w:bookmarkStart w:id="21" w:name="art156"/>
      <w:bookmarkEnd w:id="21"/>
      <w:r>
        <w:rPr>
          <w:rFonts w:ascii="Cambria" w:hAnsi="Cambria" w:eastAsia="Times New Roman" w:cs="Arial"/>
          <w:b/>
          <w:bCs/>
          <w:lang w:eastAsia="pt-BR"/>
        </w:rPr>
        <w:t>19.2</w:t>
      </w:r>
      <w:r>
        <w:rPr>
          <w:rFonts w:ascii="Cambria" w:hAnsi="Cambria" w:eastAsia="Times New Roman" w:cs="Arial"/>
          <w:lang w:eastAsia="pt-BR"/>
        </w:rPr>
        <w:t xml:space="preserve"> Serão aplicadas ao responsável pelas infrações administrativas previstas nesta Lei as seguintes sanções:</w:t>
      </w:r>
    </w:p>
    <w:p w14:paraId="0DA05717">
      <w:pPr>
        <w:spacing w:before="225" w:after="225" w:line="276" w:lineRule="auto"/>
        <w:ind w:firstLine="570"/>
        <w:jc w:val="both"/>
        <w:rPr>
          <w:rFonts w:ascii="Cambria" w:hAnsi="Cambria" w:eastAsia="Times New Roman" w:cs="Times New Roman"/>
          <w:lang w:eastAsia="pt-BR"/>
        </w:rPr>
      </w:pPr>
      <w:bookmarkStart w:id="22" w:name="art156i"/>
      <w:bookmarkEnd w:id="22"/>
      <w:r>
        <w:rPr>
          <w:rFonts w:ascii="Cambria" w:hAnsi="Cambria" w:eastAsia="Times New Roman" w:cs="Arial"/>
          <w:b/>
          <w:bCs/>
          <w:lang w:eastAsia="pt-BR"/>
        </w:rPr>
        <w:t>I.</w:t>
      </w:r>
      <w:r>
        <w:rPr>
          <w:rFonts w:ascii="Cambria" w:hAnsi="Cambria" w:eastAsia="Times New Roman" w:cs="Arial"/>
          <w:lang w:eastAsia="pt-BR"/>
        </w:rPr>
        <w:t xml:space="preserve"> Advertência.</w:t>
      </w:r>
    </w:p>
    <w:p w14:paraId="5B39BA89">
      <w:pPr>
        <w:spacing w:before="225" w:after="225" w:line="276" w:lineRule="auto"/>
        <w:ind w:firstLine="570"/>
        <w:jc w:val="both"/>
        <w:rPr>
          <w:rFonts w:ascii="Cambria" w:hAnsi="Cambria" w:eastAsia="Times New Roman" w:cs="Times New Roman"/>
          <w:lang w:eastAsia="pt-BR"/>
        </w:rPr>
      </w:pPr>
      <w:bookmarkStart w:id="23" w:name="art156ii"/>
      <w:bookmarkEnd w:id="23"/>
      <w:r>
        <w:rPr>
          <w:rFonts w:ascii="Cambria" w:hAnsi="Cambria" w:eastAsia="Times New Roman" w:cs="Arial"/>
          <w:b/>
          <w:bCs/>
          <w:lang w:eastAsia="pt-BR"/>
        </w:rPr>
        <w:t>II.</w:t>
      </w:r>
      <w:r>
        <w:rPr>
          <w:rFonts w:ascii="Cambria" w:hAnsi="Cambria" w:eastAsia="Times New Roman" w:cs="Arial"/>
          <w:lang w:eastAsia="pt-BR"/>
        </w:rPr>
        <w:t xml:space="preserve"> Multa.</w:t>
      </w:r>
    </w:p>
    <w:p w14:paraId="50B607EA">
      <w:pPr>
        <w:spacing w:before="225" w:after="225" w:line="276" w:lineRule="auto"/>
        <w:ind w:firstLine="570"/>
        <w:jc w:val="both"/>
        <w:rPr>
          <w:rFonts w:ascii="Cambria" w:hAnsi="Cambria" w:eastAsia="Times New Roman" w:cs="Times New Roman"/>
          <w:lang w:eastAsia="pt-BR"/>
        </w:rPr>
      </w:pPr>
      <w:bookmarkStart w:id="24" w:name="art156iii"/>
      <w:bookmarkEnd w:id="24"/>
      <w:r>
        <w:rPr>
          <w:rFonts w:ascii="Cambria" w:hAnsi="Cambria" w:eastAsia="Times New Roman" w:cs="Arial"/>
          <w:b/>
          <w:bCs/>
          <w:lang w:eastAsia="pt-BR"/>
        </w:rPr>
        <w:t>III.</w:t>
      </w:r>
      <w:r>
        <w:rPr>
          <w:rFonts w:ascii="Cambria" w:hAnsi="Cambria" w:eastAsia="Times New Roman" w:cs="Arial"/>
          <w:lang w:eastAsia="pt-BR"/>
        </w:rPr>
        <w:t xml:space="preserve"> Impedimento de licitar e contratar.</w:t>
      </w:r>
    </w:p>
    <w:p w14:paraId="725A764B">
      <w:pPr>
        <w:spacing w:before="225" w:after="225" w:line="276" w:lineRule="auto"/>
        <w:ind w:firstLine="570"/>
        <w:jc w:val="both"/>
        <w:rPr>
          <w:rFonts w:ascii="Cambria" w:hAnsi="Cambria" w:eastAsia="Times New Roman" w:cs="Times New Roman"/>
          <w:lang w:eastAsia="pt-BR"/>
        </w:rPr>
      </w:pPr>
      <w:bookmarkStart w:id="25" w:name="art156iv"/>
      <w:bookmarkEnd w:id="25"/>
      <w:r>
        <w:rPr>
          <w:rFonts w:ascii="Cambria" w:hAnsi="Cambria" w:eastAsia="Times New Roman" w:cs="Arial"/>
          <w:b/>
          <w:bCs/>
          <w:lang w:eastAsia="pt-BR"/>
        </w:rPr>
        <w:t>IV.</w:t>
      </w:r>
      <w:r>
        <w:rPr>
          <w:rFonts w:ascii="Cambria" w:hAnsi="Cambria" w:eastAsia="Times New Roman" w:cs="Arial"/>
          <w:lang w:eastAsia="pt-BR"/>
        </w:rPr>
        <w:t xml:space="preserve"> Declaração de inidoneidade para licitar ou contratar.</w:t>
      </w:r>
    </w:p>
    <w:p w14:paraId="137916BB">
      <w:pPr>
        <w:spacing w:before="225" w:after="225" w:line="276" w:lineRule="auto"/>
        <w:jc w:val="both"/>
        <w:rPr>
          <w:rFonts w:ascii="Cambria" w:hAnsi="Cambria" w:eastAsia="Times New Roman" w:cs="Times New Roman"/>
          <w:lang w:eastAsia="pt-BR"/>
        </w:rPr>
      </w:pPr>
      <w:bookmarkStart w:id="26" w:name="art156§1"/>
      <w:bookmarkEnd w:id="26"/>
      <w:r>
        <w:rPr>
          <w:rFonts w:ascii="Cambria" w:hAnsi="Cambria" w:eastAsia="Times New Roman" w:cs="Arial"/>
          <w:b/>
          <w:bCs/>
          <w:lang w:eastAsia="pt-BR"/>
        </w:rPr>
        <w:t>19.3</w:t>
      </w:r>
      <w:r>
        <w:rPr>
          <w:rFonts w:ascii="Cambria" w:hAnsi="Cambria" w:eastAsia="Times New Roman" w:cs="Arial"/>
          <w:lang w:eastAsia="pt-BR"/>
        </w:rPr>
        <w:t xml:space="preserve"> Na aplicação das sanções serão considerados:</w:t>
      </w:r>
    </w:p>
    <w:p w14:paraId="2769C499">
      <w:pPr>
        <w:spacing w:before="225" w:after="225" w:line="276" w:lineRule="auto"/>
        <w:ind w:firstLine="570"/>
        <w:jc w:val="both"/>
        <w:rPr>
          <w:rFonts w:ascii="Cambria" w:hAnsi="Cambria" w:eastAsia="Times New Roman" w:cs="Times New Roman"/>
          <w:lang w:eastAsia="pt-BR"/>
        </w:rPr>
      </w:pPr>
      <w:bookmarkStart w:id="27" w:name="art156§1i"/>
      <w:bookmarkEnd w:id="27"/>
      <w:r>
        <w:rPr>
          <w:rFonts w:ascii="Cambria" w:hAnsi="Cambria" w:eastAsia="Times New Roman" w:cs="Arial"/>
          <w:b/>
          <w:bCs/>
          <w:lang w:eastAsia="pt-BR"/>
        </w:rPr>
        <w:t>I.</w:t>
      </w:r>
      <w:r>
        <w:rPr>
          <w:rFonts w:ascii="Cambria" w:hAnsi="Cambria" w:eastAsia="Times New Roman" w:cs="Arial"/>
          <w:lang w:eastAsia="pt-BR"/>
        </w:rPr>
        <w:t xml:space="preserve"> A natureza e a gravidade da infração cometida.</w:t>
      </w:r>
    </w:p>
    <w:p w14:paraId="1FA7F20F">
      <w:pPr>
        <w:spacing w:before="225" w:after="225" w:line="276" w:lineRule="auto"/>
        <w:ind w:firstLine="570"/>
        <w:jc w:val="both"/>
        <w:rPr>
          <w:rFonts w:ascii="Cambria" w:hAnsi="Cambria" w:eastAsia="Times New Roman" w:cs="Times New Roman"/>
          <w:lang w:eastAsia="pt-BR"/>
        </w:rPr>
      </w:pPr>
      <w:bookmarkStart w:id="28" w:name="art156§1ii"/>
      <w:bookmarkEnd w:id="28"/>
      <w:r>
        <w:rPr>
          <w:rFonts w:ascii="Cambria" w:hAnsi="Cambria" w:eastAsia="Times New Roman" w:cs="Arial"/>
          <w:b/>
          <w:bCs/>
          <w:lang w:eastAsia="pt-BR"/>
        </w:rPr>
        <w:t>II.</w:t>
      </w:r>
      <w:r>
        <w:rPr>
          <w:rFonts w:ascii="Cambria" w:hAnsi="Cambria" w:eastAsia="Times New Roman" w:cs="Arial"/>
          <w:lang w:eastAsia="pt-BR"/>
        </w:rPr>
        <w:t xml:space="preserve"> As peculiaridades do caso concreto.</w:t>
      </w:r>
    </w:p>
    <w:p w14:paraId="08FDE013">
      <w:pPr>
        <w:spacing w:before="225" w:after="225" w:line="276" w:lineRule="auto"/>
        <w:ind w:firstLine="570"/>
        <w:jc w:val="both"/>
        <w:rPr>
          <w:rFonts w:ascii="Cambria" w:hAnsi="Cambria" w:eastAsia="Times New Roman" w:cs="Times New Roman"/>
          <w:lang w:eastAsia="pt-BR"/>
        </w:rPr>
      </w:pPr>
      <w:bookmarkStart w:id="29" w:name="art156§1iii"/>
      <w:bookmarkEnd w:id="29"/>
      <w:r>
        <w:rPr>
          <w:rFonts w:ascii="Cambria" w:hAnsi="Cambria" w:eastAsia="Times New Roman" w:cs="Arial"/>
          <w:b/>
          <w:bCs/>
          <w:lang w:eastAsia="pt-BR"/>
        </w:rPr>
        <w:t>III.</w:t>
      </w:r>
      <w:r>
        <w:rPr>
          <w:rFonts w:ascii="Cambria" w:hAnsi="Cambria" w:eastAsia="Times New Roman" w:cs="Arial"/>
          <w:lang w:eastAsia="pt-BR"/>
        </w:rPr>
        <w:t xml:space="preserve"> As circunstâncias agravantes ou atenuantes.</w:t>
      </w:r>
    </w:p>
    <w:p w14:paraId="0E89FC57">
      <w:pPr>
        <w:spacing w:before="225" w:after="225" w:line="276" w:lineRule="auto"/>
        <w:ind w:firstLine="570"/>
        <w:jc w:val="both"/>
        <w:rPr>
          <w:rFonts w:ascii="Cambria" w:hAnsi="Cambria" w:eastAsia="Times New Roman" w:cs="Times New Roman"/>
          <w:lang w:eastAsia="pt-BR"/>
        </w:rPr>
      </w:pPr>
      <w:bookmarkStart w:id="30" w:name="art156§1iv"/>
      <w:bookmarkEnd w:id="30"/>
      <w:r>
        <w:rPr>
          <w:rFonts w:ascii="Cambria" w:hAnsi="Cambria" w:eastAsia="Times New Roman" w:cs="Arial"/>
          <w:b/>
          <w:bCs/>
          <w:lang w:eastAsia="pt-BR"/>
        </w:rPr>
        <w:t>IV.</w:t>
      </w:r>
      <w:r>
        <w:rPr>
          <w:rFonts w:ascii="Cambria" w:hAnsi="Cambria" w:eastAsia="Times New Roman" w:cs="Arial"/>
          <w:lang w:eastAsia="pt-BR"/>
        </w:rPr>
        <w:t xml:space="preserve"> Os danos que dela provierem para a Administração Pública.</w:t>
      </w:r>
    </w:p>
    <w:p w14:paraId="5EA25B5D">
      <w:pPr>
        <w:spacing w:before="225" w:after="225" w:line="276" w:lineRule="auto"/>
        <w:ind w:firstLine="570"/>
        <w:jc w:val="both"/>
        <w:rPr>
          <w:rFonts w:ascii="Cambria" w:hAnsi="Cambria" w:eastAsia="Times New Roman" w:cs="Times New Roman"/>
          <w:lang w:eastAsia="pt-BR"/>
        </w:rPr>
      </w:pPr>
      <w:bookmarkStart w:id="31" w:name="art156§1v"/>
      <w:bookmarkEnd w:id="31"/>
      <w:r>
        <w:rPr>
          <w:rFonts w:ascii="Cambria" w:hAnsi="Cambria" w:eastAsia="Times New Roman" w:cs="Arial"/>
          <w:b/>
          <w:bCs/>
          <w:lang w:eastAsia="pt-BR"/>
        </w:rPr>
        <w:t>V.</w:t>
      </w:r>
      <w:r>
        <w:rPr>
          <w:rFonts w:ascii="Cambria" w:hAnsi="Cambria" w:eastAsia="Times New Roman" w:cs="Arial"/>
          <w:lang w:eastAsia="pt-BR"/>
        </w:rPr>
        <w:t xml:space="preserve"> A implantação ou o aperfeiçoamento de programa de integridade, conforme normas e orientações dos órgãos de controle.</w:t>
      </w:r>
    </w:p>
    <w:p w14:paraId="1DD632AD">
      <w:pPr>
        <w:spacing w:before="225" w:after="225" w:line="276" w:lineRule="auto"/>
        <w:jc w:val="both"/>
        <w:rPr>
          <w:rFonts w:ascii="Cambria" w:hAnsi="Cambria" w:eastAsia="Times New Roman" w:cs="Times New Roman"/>
          <w:lang w:eastAsia="pt-BR"/>
        </w:rPr>
      </w:pPr>
      <w:bookmarkStart w:id="32" w:name="art156§2"/>
      <w:bookmarkEnd w:id="32"/>
      <w:r>
        <w:rPr>
          <w:rFonts w:ascii="Cambria" w:hAnsi="Cambria" w:eastAsia="Times New Roman" w:cs="Arial"/>
          <w:b/>
          <w:bCs/>
          <w:lang w:eastAsia="pt-BR"/>
        </w:rPr>
        <w:t>19.3</w:t>
      </w:r>
      <w:r>
        <w:rPr>
          <w:rFonts w:ascii="Cambria" w:hAnsi="Cambria" w:eastAsia="Times New Roman" w:cs="Arial"/>
          <w:lang w:eastAsia="pt-BR"/>
        </w:rPr>
        <w:t xml:space="preserve"> A sanção prevista no inciso I do subitem 19.2 será aplicada exclusivamente pela infração administrativa prevista no </w:t>
      </w:r>
      <w:r>
        <w:fldChar w:fldCharType="begin"/>
      </w:r>
      <w:r>
        <w:instrText xml:space="preserve"> HYPERLINK "https://www.planalto.gov.br/ccivil_03/_ato2019-2022/2021/lei/l14133.htm" \l "art155i" </w:instrText>
      </w:r>
      <w:r>
        <w:fldChar w:fldCharType="separate"/>
      </w:r>
      <w:r>
        <w:rPr>
          <w:rFonts w:ascii="Cambria" w:hAnsi="Cambria" w:eastAsia="Times New Roman" w:cs="Arial"/>
          <w:lang w:eastAsia="pt-BR"/>
        </w:rPr>
        <w:t>inciso I do </w:t>
      </w:r>
      <w:r>
        <w:rPr>
          <w:rFonts w:ascii="Cambria" w:hAnsi="Cambria" w:eastAsia="Times New Roman" w:cs="Arial"/>
          <w:b/>
          <w:bCs/>
          <w:lang w:eastAsia="pt-BR"/>
        </w:rPr>
        <w:t>caput</w:t>
      </w:r>
      <w:r>
        <w:rPr>
          <w:rFonts w:ascii="Cambria" w:hAnsi="Cambria" w:eastAsia="Times New Roman" w:cs="Arial"/>
          <w:lang w:eastAsia="pt-BR"/>
        </w:rPr>
        <w:t> do art. 155 da</w:t>
      </w:r>
      <w:r>
        <w:rPr>
          <w:rFonts w:ascii="Cambria" w:hAnsi="Cambria" w:eastAsia="Times New Roman" w:cs="Arial"/>
          <w:lang w:eastAsia="pt-BR"/>
        </w:rPr>
        <w:fldChar w:fldCharType="end"/>
      </w:r>
      <w:r>
        <w:rPr>
          <w:rFonts w:ascii="Cambria" w:hAnsi="Cambria" w:eastAsia="Times New Roman" w:cs="Arial"/>
          <w:lang w:eastAsia="pt-BR"/>
        </w:rPr>
        <w:t xml:space="preserve"> Lei Federal nº 14.133, de 2021, quando não se justificar a imposição de penalidade mais grave.</w:t>
      </w:r>
      <w:bookmarkStart w:id="33" w:name="art156§3"/>
      <w:bookmarkEnd w:id="33"/>
    </w:p>
    <w:p w14:paraId="7DFC5CAE">
      <w:pPr>
        <w:spacing w:before="225" w:after="225" w:line="276" w:lineRule="auto"/>
        <w:jc w:val="both"/>
        <w:rPr>
          <w:rFonts w:ascii="Cambria" w:hAnsi="Cambria" w:eastAsia="Times New Roman" w:cs="Times New Roman"/>
          <w:lang w:eastAsia="pt-BR"/>
        </w:rPr>
      </w:pPr>
      <w:r>
        <w:rPr>
          <w:rFonts w:ascii="Cambria" w:hAnsi="Cambria" w:eastAsia="Times New Roman" w:cs="Arial"/>
          <w:b/>
          <w:bCs/>
          <w:lang w:eastAsia="pt-BR"/>
        </w:rPr>
        <w:t>19.4</w:t>
      </w:r>
      <w:r>
        <w:rPr>
          <w:rFonts w:ascii="Cambria" w:hAnsi="Cambria" w:eastAsia="Times New Roman" w:cs="Arial"/>
          <w:lang w:eastAsia="pt-BR"/>
        </w:rPr>
        <w:t xml:space="preserve"> A sanção prevista no inciso II do subitem 19.2, calculada na forma do edital ou do contrato, não poderá ser inferior a 0,5% (cinco décimos por cento) nem superior a 30% (trinta por cento) do valor do contrato licitado ou celebrado com contratação direta e será aplicada ao responsável por qualquer das infrações administrativas previstas </w:t>
      </w:r>
      <w:r>
        <w:fldChar w:fldCharType="begin"/>
      </w:r>
      <w:r>
        <w:instrText xml:space="preserve"> HYPERLINK "https://www.planalto.gov.br/ccivil_03/_ato2019-2022/2021/lei/l14133.htm" \l "art155i" </w:instrText>
      </w:r>
      <w:r>
        <w:fldChar w:fldCharType="separate"/>
      </w:r>
      <w:r>
        <w:rPr>
          <w:rFonts w:ascii="Cambria" w:hAnsi="Cambria" w:eastAsia="Times New Roman" w:cs="Arial"/>
          <w:lang w:eastAsia="pt-BR"/>
        </w:rPr>
        <w:t>no art. 155 da</w:t>
      </w:r>
      <w:r>
        <w:rPr>
          <w:rFonts w:ascii="Cambria" w:hAnsi="Cambria" w:eastAsia="Times New Roman" w:cs="Arial"/>
          <w:lang w:eastAsia="pt-BR"/>
        </w:rPr>
        <w:fldChar w:fldCharType="end"/>
      </w:r>
      <w:r>
        <w:rPr>
          <w:rFonts w:ascii="Cambria" w:hAnsi="Cambria" w:eastAsia="Times New Roman" w:cs="Arial"/>
          <w:lang w:eastAsia="pt-BR"/>
        </w:rPr>
        <w:t xml:space="preserve"> Lei Federal nº 14.133, de 2021.</w:t>
      </w:r>
    </w:p>
    <w:p w14:paraId="557C827C">
      <w:pPr>
        <w:spacing w:before="225" w:after="225" w:line="276" w:lineRule="auto"/>
        <w:jc w:val="both"/>
        <w:rPr>
          <w:rFonts w:ascii="Cambria" w:hAnsi="Cambria" w:eastAsia="Times New Roman" w:cs="Times New Roman"/>
          <w:lang w:eastAsia="pt-BR"/>
        </w:rPr>
      </w:pPr>
      <w:bookmarkStart w:id="34" w:name="art156§4"/>
      <w:bookmarkEnd w:id="34"/>
      <w:r>
        <w:rPr>
          <w:rFonts w:ascii="Cambria" w:hAnsi="Cambria" w:eastAsia="Times New Roman" w:cs="Arial"/>
          <w:b/>
          <w:bCs/>
          <w:lang w:eastAsia="pt-BR"/>
        </w:rPr>
        <w:t>19.5</w:t>
      </w:r>
      <w:r>
        <w:rPr>
          <w:rFonts w:ascii="Cambria" w:hAnsi="Cambria" w:eastAsia="Times New Roman" w:cs="Arial"/>
          <w:lang w:eastAsia="pt-BR"/>
        </w:rPr>
        <w:t xml:space="preserve"> A sanção prevista no inciso III do subitem 19.2 será aplicada ao responsável pelas infrações administrativas previstas nos </w:t>
      </w:r>
      <w:r>
        <w:fldChar w:fldCharType="begin"/>
      </w:r>
      <w:r>
        <w:instrText xml:space="preserve"> HYPERLINK "https://www.planalto.gov.br/ccivil_03/_ato2019-2022/2021/lei/l14133.htm" \l "art155ii" </w:instrText>
      </w:r>
      <w:r>
        <w:fldChar w:fldCharType="separate"/>
      </w:r>
      <w:r>
        <w:rPr>
          <w:rFonts w:ascii="Cambria" w:hAnsi="Cambria" w:eastAsia="Times New Roman" w:cs="Arial"/>
          <w:lang w:eastAsia="pt-BR"/>
        </w:rPr>
        <w:t>incisos II, III, IV, V, VI e VII do </w:t>
      </w:r>
      <w:r>
        <w:rPr>
          <w:rFonts w:ascii="Cambria" w:hAnsi="Cambria" w:eastAsia="Times New Roman" w:cs="Arial"/>
          <w:b/>
          <w:bCs/>
          <w:lang w:eastAsia="pt-BR"/>
        </w:rPr>
        <w:t>caput</w:t>
      </w:r>
      <w:r>
        <w:rPr>
          <w:rFonts w:ascii="Cambria" w:hAnsi="Cambria" w:eastAsia="Times New Roman" w:cs="Arial"/>
          <w:lang w:eastAsia="pt-BR"/>
        </w:rPr>
        <w:t> do art. 155 da Lei Federal nº 14.133, de 2021,</w:t>
      </w:r>
      <w:r>
        <w:rPr>
          <w:rFonts w:ascii="Cambria" w:hAnsi="Cambria" w:eastAsia="Times New Roman" w:cs="Arial"/>
          <w:lang w:eastAsia="pt-BR"/>
        </w:rPr>
        <w:fldChar w:fldCharType="end"/>
      </w:r>
      <w:r>
        <w:rPr>
          <w:rFonts w:ascii="Cambria" w:hAnsi="Cambria" w:eastAsia="Times New Roman" w:cs="Arial"/>
          <w:lang w:eastAsia="pt-BR"/>
        </w:rPr>
        <w:t> quando não se justificar a imposição de penalidade mais grave, e impedirá o responsável de licitar ou contratar no âmbito da Administração Pública direta e indireta do ente federativo que tiver aplicado a sanção, pelo prazo máximo de 3 (três) anos.</w:t>
      </w:r>
    </w:p>
    <w:p w14:paraId="24A6B1E1">
      <w:pPr>
        <w:spacing w:before="225" w:after="225" w:line="276" w:lineRule="auto"/>
        <w:jc w:val="both"/>
        <w:rPr>
          <w:rFonts w:ascii="Cambria" w:hAnsi="Cambria" w:eastAsia="Times New Roman" w:cs="Times New Roman"/>
          <w:lang w:eastAsia="pt-BR"/>
        </w:rPr>
      </w:pPr>
      <w:bookmarkStart w:id="35" w:name="art156§5"/>
      <w:bookmarkEnd w:id="35"/>
      <w:r>
        <w:rPr>
          <w:rFonts w:ascii="Cambria" w:hAnsi="Cambria" w:eastAsia="Times New Roman" w:cs="Arial"/>
          <w:b/>
          <w:bCs/>
          <w:lang w:eastAsia="pt-BR"/>
        </w:rPr>
        <w:t>19.6</w:t>
      </w:r>
      <w:r>
        <w:rPr>
          <w:rFonts w:ascii="Cambria" w:hAnsi="Cambria" w:eastAsia="Times New Roman" w:cs="Arial"/>
          <w:lang w:eastAsia="pt-BR"/>
        </w:rPr>
        <w:t xml:space="preserve"> A sanção prevista no inciso IV do subitem 16.2 será aplicada ao responsável pelas infrações administrativas previstas nos </w:t>
      </w:r>
      <w:r>
        <w:fldChar w:fldCharType="begin"/>
      </w:r>
      <w:r>
        <w:instrText xml:space="preserve"> HYPERLINK "https://www.planalto.gov.br/ccivil_03/_ato2019-2022/2021/lei/l14133.htm" \l "art155viii" </w:instrText>
      </w:r>
      <w:r>
        <w:fldChar w:fldCharType="separate"/>
      </w:r>
      <w:r>
        <w:rPr>
          <w:rFonts w:ascii="Cambria" w:hAnsi="Cambria" w:eastAsia="Times New Roman" w:cs="Arial"/>
          <w:lang w:eastAsia="pt-BR"/>
        </w:rPr>
        <w:t>incisos VIII, IX, X, XI e XII do </w:t>
      </w:r>
      <w:r>
        <w:rPr>
          <w:rFonts w:ascii="Cambria" w:hAnsi="Cambria" w:eastAsia="Times New Roman" w:cs="Arial"/>
          <w:b/>
          <w:bCs/>
          <w:lang w:eastAsia="pt-BR"/>
        </w:rPr>
        <w:t>caput</w:t>
      </w:r>
      <w:r>
        <w:rPr>
          <w:rFonts w:ascii="Cambria" w:hAnsi="Cambria" w:eastAsia="Times New Roman" w:cs="Arial"/>
          <w:lang w:eastAsia="pt-BR"/>
        </w:rPr>
        <w:t> do art. 155 da Lei Federal nº 14.1333, de 2021</w:t>
      </w:r>
      <w:r>
        <w:rPr>
          <w:rFonts w:ascii="Cambria" w:hAnsi="Cambria" w:eastAsia="Times New Roman" w:cs="Arial"/>
          <w:lang w:eastAsia="pt-BR"/>
        </w:rPr>
        <w:fldChar w:fldCharType="end"/>
      </w:r>
      <w:r>
        <w:rPr>
          <w:rFonts w:ascii="Cambria" w:hAnsi="Cambria" w:eastAsia="Times New Roman" w:cs="Arial"/>
          <w:lang w:eastAsia="pt-BR"/>
        </w:rPr>
        <w:t>, bem como pelas infrações administrativas previstas nos incisos II, III, IV, V, VI e VII do </w:t>
      </w:r>
      <w:r>
        <w:rPr>
          <w:rFonts w:ascii="Cambria" w:hAnsi="Cambria" w:eastAsia="Times New Roman" w:cs="Arial"/>
          <w:b/>
          <w:bCs/>
          <w:lang w:eastAsia="pt-BR"/>
        </w:rPr>
        <w:t>caput</w:t>
      </w:r>
      <w:r>
        <w:rPr>
          <w:rFonts w:ascii="Cambria" w:hAnsi="Cambria" w:eastAsia="Times New Roman" w:cs="Arial"/>
          <w:lang w:eastAsia="pt-BR"/>
        </w:rPr>
        <w:t> do referido artigo que justifiquem a imposição de penalidade mais grave que a sanção referida subitem 19.5, e impedirá o responsável de licitar ou contratar no âmbito da Administração Pública direta e indireta de todos os entes federativos, pelo prazo mínimo de 3 (três) anos e máximo de 6 (seis) anos.</w:t>
      </w:r>
    </w:p>
    <w:p w14:paraId="2A02CE9F">
      <w:pPr>
        <w:spacing w:before="225" w:after="225" w:line="276" w:lineRule="auto"/>
        <w:jc w:val="both"/>
        <w:rPr>
          <w:rFonts w:ascii="Cambria" w:hAnsi="Cambria" w:eastAsia="Times New Roman" w:cs="Times New Roman"/>
          <w:lang w:eastAsia="pt-BR"/>
        </w:rPr>
      </w:pPr>
      <w:r>
        <w:rPr>
          <w:rFonts w:ascii="Cambria" w:hAnsi="Cambria" w:eastAsia="Times New Roman" w:cs="Arial"/>
          <w:b/>
          <w:bCs/>
          <w:lang w:eastAsia="pt-BR"/>
        </w:rPr>
        <w:t>19.7</w:t>
      </w:r>
      <w:r>
        <w:rPr>
          <w:rFonts w:ascii="Cambria" w:hAnsi="Cambria" w:eastAsia="Times New Roman" w:cs="Arial"/>
          <w:lang w:eastAsia="pt-BR"/>
        </w:rPr>
        <w:t xml:space="preserve"> A sanção estabelecida no inciso IV do subitem 19.2 será precedida de análise jurídica e observará as seguintes regras:</w:t>
      </w:r>
    </w:p>
    <w:p w14:paraId="48BD60FC">
      <w:pPr>
        <w:spacing w:before="225" w:after="225" w:line="276" w:lineRule="auto"/>
        <w:ind w:firstLine="570"/>
        <w:jc w:val="both"/>
        <w:rPr>
          <w:rFonts w:ascii="Cambria" w:hAnsi="Cambria" w:eastAsia="Times New Roman" w:cs="Times New Roman"/>
          <w:lang w:eastAsia="pt-BR"/>
        </w:rPr>
      </w:pPr>
      <w:bookmarkStart w:id="36" w:name="art156§6i"/>
      <w:bookmarkEnd w:id="36"/>
      <w:r>
        <w:rPr>
          <w:rFonts w:ascii="Cambria" w:hAnsi="Cambria" w:eastAsia="Times New Roman" w:cs="Arial"/>
          <w:b/>
          <w:bCs/>
          <w:lang w:eastAsia="pt-BR"/>
        </w:rPr>
        <w:t>I.</w:t>
      </w:r>
      <w:r>
        <w:rPr>
          <w:rFonts w:ascii="Cambria" w:hAnsi="Cambria" w:eastAsia="Times New Roman" w:cs="Arial"/>
          <w:lang w:eastAsia="pt-BR"/>
        </w:rPr>
        <w:t xml:space="preserve"> Quando aplicada por órgão do Poder Executivo, será de competência exclusiva do Prefeito de Piracanjuba e, quando aplicada por autarquia ou fundação, será de competência exclusiva da autoridade máxima da entidade.</w:t>
      </w:r>
    </w:p>
    <w:p w14:paraId="0B9C794E">
      <w:pPr>
        <w:spacing w:before="225" w:after="225" w:line="276" w:lineRule="auto"/>
        <w:jc w:val="both"/>
        <w:rPr>
          <w:rFonts w:ascii="Cambria" w:hAnsi="Cambria" w:eastAsia="Times New Roman" w:cs="Times New Roman"/>
          <w:lang w:eastAsia="pt-BR"/>
        </w:rPr>
      </w:pPr>
      <w:bookmarkStart w:id="37" w:name="art156§6ii"/>
      <w:bookmarkEnd w:id="37"/>
      <w:bookmarkStart w:id="38" w:name="art156§7"/>
      <w:bookmarkEnd w:id="38"/>
      <w:r>
        <w:rPr>
          <w:rFonts w:ascii="Cambria" w:hAnsi="Cambria" w:eastAsia="Times New Roman" w:cs="Arial"/>
          <w:b/>
          <w:bCs/>
          <w:lang w:eastAsia="pt-BR"/>
        </w:rPr>
        <w:t>19.8</w:t>
      </w:r>
      <w:r>
        <w:rPr>
          <w:rFonts w:ascii="Cambria" w:hAnsi="Cambria" w:eastAsia="Times New Roman" w:cs="Arial"/>
          <w:lang w:eastAsia="pt-BR"/>
        </w:rPr>
        <w:t xml:space="preserve"> As sanções previstas nos incisos I, III e IV do subitem 19.2 poderão ser aplicadas cumulativamente com a prevista no inciso II do subitem 19.2.</w:t>
      </w:r>
    </w:p>
    <w:p w14:paraId="0CE65FEF">
      <w:pPr>
        <w:spacing w:before="225" w:after="225" w:line="276" w:lineRule="auto"/>
        <w:jc w:val="both"/>
        <w:rPr>
          <w:rFonts w:ascii="Cambria" w:hAnsi="Cambria" w:eastAsia="Times New Roman" w:cs="Times New Roman"/>
          <w:lang w:eastAsia="pt-BR"/>
        </w:rPr>
      </w:pPr>
      <w:bookmarkStart w:id="39" w:name="art156§8"/>
      <w:bookmarkEnd w:id="39"/>
      <w:r>
        <w:rPr>
          <w:rFonts w:ascii="Cambria" w:hAnsi="Cambria" w:eastAsia="Times New Roman" w:cs="Arial"/>
          <w:b/>
          <w:bCs/>
          <w:lang w:eastAsia="pt-BR"/>
        </w:rPr>
        <w:t>19.9</w:t>
      </w:r>
      <w:r>
        <w:rPr>
          <w:rFonts w:ascii="Cambria" w:hAnsi="Cambria" w:eastAsia="Times New Roman" w:cs="Arial"/>
          <w:lang w:eastAsia="pt-BR"/>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14:paraId="7CFB08F2">
      <w:pPr>
        <w:spacing w:before="225" w:after="225" w:line="276" w:lineRule="auto"/>
        <w:jc w:val="both"/>
        <w:rPr>
          <w:rFonts w:ascii="Cambria" w:hAnsi="Cambria" w:eastAsia="Times New Roman" w:cs="Times New Roman"/>
          <w:lang w:eastAsia="pt-BR"/>
        </w:rPr>
      </w:pPr>
      <w:bookmarkStart w:id="40" w:name="art156§9"/>
      <w:bookmarkEnd w:id="40"/>
      <w:r>
        <w:rPr>
          <w:rFonts w:ascii="Cambria" w:hAnsi="Cambria" w:eastAsia="Times New Roman" w:cs="Arial"/>
          <w:b/>
          <w:bCs/>
          <w:lang w:eastAsia="pt-BR"/>
        </w:rPr>
        <w:t>19.10</w:t>
      </w:r>
      <w:r>
        <w:rPr>
          <w:rFonts w:ascii="Cambria" w:hAnsi="Cambria" w:eastAsia="Times New Roman" w:cs="Arial"/>
          <w:lang w:eastAsia="pt-BR"/>
        </w:rPr>
        <w:t xml:space="preserve"> A aplicação das sanções previstas neste item não exclui, em hipótese alguma, a obrigação de reparação integral do dano causado à Administração Pública.</w:t>
      </w:r>
    </w:p>
    <w:p w14:paraId="459323CD">
      <w:pPr>
        <w:spacing w:before="225" w:after="225" w:line="276" w:lineRule="auto"/>
        <w:jc w:val="both"/>
        <w:rPr>
          <w:rFonts w:ascii="Cambria" w:hAnsi="Cambria" w:eastAsia="Times New Roman" w:cs="Times New Roman"/>
          <w:lang w:eastAsia="pt-BR"/>
        </w:rPr>
      </w:pPr>
      <w:bookmarkStart w:id="41" w:name="art157"/>
      <w:bookmarkEnd w:id="41"/>
      <w:r>
        <w:rPr>
          <w:rFonts w:ascii="Cambria" w:hAnsi="Cambria" w:eastAsia="Times New Roman" w:cs="Arial"/>
          <w:b/>
          <w:bCs/>
          <w:lang w:eastAsia="pt-BR"/>
        </w:rPr>
        <w:t>19.11</w:t>
      </w:r>
      <w:r>
        <w:rPr>
          <w:rFonts w:ascii="Cambria" w:hAnsi="Cambria" w:eastAsia="Times New Roman" w:cs="Arial"/>
          <w:lang w:eastAsia="pt-BR"/>
        </w:rPr>
        <w:t xml:space="preserve"> Na aplicação da sanção prevista no inciso II, do subitem 19.2, será facultada a defesa do interessado no prazo de 15 (quinze) dias úteis, contado da data de sua intimação.</w:t>
      </w:r>
    </w:p>
    <w:p w14:paraId="38D13AED">
      <w:pPr>
        <w:spacing w:before="225" w:after="225" w:line="276" w:lineRule="auto"/>
        <w:jc w:val="both"/>
        <w:rPr>
          <w:rFonts w:ascii="Cambria" w:hAnsi="Cambria" w:eastAsia="Times New Roman" w:cs="Times New Roman"/>
          <w:lang w:eastAsia="pt-BR"/>
        </w:rPr>
      </w:pPr>
      <w:bookmarkStart w:id="42" w:name="art158"/>
      <w:bookmarkEnd w:id="42"/>
      <w:r>
        <w:rPr>
          <w:rFonts w:ascii="Cambria" w:hAnsi="Cambria" w:eastAsia="Times New Roman" w:cs="Arial"/>
          <w:b/>
          <w:bCs/>
          <w:lang w:eastAsia="pt-BR"/>
        </w:rPr>
        <w:t>19.12</w:t>
      </w:r>
      <w:r>
        <w:rPr>
          <w:rFonts w:ascii="Cambria" w:hAnsi="Cambria" w:eastAsia="Times New Roman" w:cs="Arial"/>
          <w:lang w:eastAsia="pt-BR"/>
        </w:rPr>
        <w:t xml:space="preserve"> A aplicação das sanções previstas nos </w:t>
      </w:r>
      <w:r>
        <w:fldChar w:fldCharType="begin"/>
      </w:r>
      <w:r>
        <w:instrText xml:space="preserve"> HYPERLINK "https://www.planalto.gov.br/ccivil_03/_ato2019-2022/2021/lei/l14133.htm" \l "art156iii" </w:instrText>
      </w:r>
      <w:r>
        <w:fldChar w:fldCharType="separate"/>
      </w:r>
      <w:r>
        <w:rPr>
          <w:rFonts w:ascii="Cambria" w:hAnsi="Cambria" w:eastAsia="Times New Roman" w:cs="Arial"/>
          <w:lang w:eastAsia="pt-BR"/>
        </w:rPr>
        <w:t>incisos III e IV do subitem 19.2</w:t>
      </w:r>
      <w:r>
        <w:rPr>
          <w:rFonts w:ascii="Cambria" w:hAnsi="Cambria" w:eastAsia="Times New Roman" w:cs="Arial"/>
          <w:lang w:eastAsia="pt-BR"/>
        </w:rPr>
        <w:fldChar w:fldCharType="end"/>
      </w:r>
      <w:r>
        <w:rPr>
          <w:rFonts w:ascii="Cambria" w:hAnsi="Cambria" w:eastAsia="Times New Roman" w:cs="Arial"/>
          <w:lang w:eastAsia="pt-BR"/>
        </w:rPr>
        <w:t xml:space="preserve"> requererá a instauração de processo de responsabilização, a ser conduzido por comissão 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4DCE6C90">
      <w:pPr>
        <w:spacing w:before="225" w:after="225" w:line="276" w:lineRule="auto"/>
        <w:ind w:firstLine="570"/>
        <w:jc w:val="both"/>
        <w:rPr>
          <w:rFonts w:ascii="Cambria" w:hAnsi="Cambria" w:eastAsia="Times New Roman" w:cs="Times New Roman"/>
          <w:lang w:eastAsia="pt-BR"/>
        </w:rPr>
      </w:pPr>
      <w:bookmarkStart w:id="43" w:name="art158§1"/>
      <w:bookmarkEnd w:id="43"/>
      <w:r>
        <w:rPr>
          <w:rFonts w:ascii="Cambria" w:hAnsi="Cambria" w:eastAsia="Times New Roman" w:cs="Arial"/>
          <w:b/>
          <w:bCs/>
          <w:lang w:eastAsia="pt-BR"/>
        </w:rPr>
        <w:t>I.</w:t>
      </w:r>
      <w:r>
        <w:rPr>
          <w:rFonts w:ascii="Cambria" w:hAnsi="Cambria" w:eastAsia="Times New Roman" w:cs="Arial"/>
          <w:lang w:eastAsia="pt-BR"/>
        </w:rPr>
        <w:t xml:space="preserve"> Em órgão ou entidade da Administração Pública cujo quadro funcional não seja formado de servidores estatutários, a comissão a que se refere o subitem 19.12 será composta de 2 (dois) ou mais empregados públicos pertencentes aos seus quadros permanentes, preferencialmente com, no mínimo, 3 (três) anos de tempo de serviço no órgão ou entidade.</w:t>
      </w:r>
    </w:p>
    <w:p w14:paraId="0327C1AF">
      <w:pPr>
        <w:spacing w:before="225" w:after="225" w:line="276" w:lineRule="auto"/>
        <w:ind w:firstLine="570"/>
        <w:jc w:val="both"/>
        <w:rPr>
          <w:rFonts w:ascii="Cambria" w:hAnsi="Cambria" w:eastAsia="Times New Roman" w:cs="Times New Roman"/>
          <w:lang w:eastAsia="pt-BR"/>
        </w:rPr>
      </w:pPr>
      <w:bookmarkStart w:id="44" w:name="art158§2"/>
      <w:bookmarkEnd w:id="44"/>
      <w:r>
        <w:rPr>
          <w:rFonts w:ascii="Cambria" w:hAnsi="Cambria" w:eastAsia="Times New Roman" w:cs="Arial"/>
          <w:b/>
          <w:bCs/>
          <w:lang w:eastAsia="pt-BR"/>
        </w:rPr>
        <w:t>II.</w:t>
      </w:r>
      <w:r>
        <w:rPr>
          <w:rFonts w:ascii="Cambria" w:hAnsi="Cambria" w:eastAsia="Times New Roman" w:cs="Arial"/>
          <w:lang w:eastAsia="pt-BR"/>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273E033C">
      <w:pPr>
        <w:spacing w:before="225" w:after="225" w:line="276" w:lineRule="auto"/>
        <w:ind w:firstLine="570"/>
        <w:jc w:val="both"/>
        <w:rPr>
          <w:rFonts w:ascii="Cambria" w:hAnsi="Cambria" w:eastAsia="Times New Roman" w:cs="Times New Roman"/>
          <w:lang w:eastAsia="pt-BR"/>
        </w:rPr>
      </w:pPr>
      <w:bookmarkStart w:id="45" w:name="art158§3"/>
      <w:bookmarkEnd w:id="45"/>
      <w:r>
        <w:rPr>
          <w:rFonts w:ascii="Cambria" w:hAnsi="Cambria" w:eastAsia="Times New Roman" w:cs="Arial"/>
          <w:b/>
          <w:bCs/>
          <w:lang w:eastAsia="pt-BR"/>
        </w:rPr>
        <w:t>III.</w:t>
      </w:r>
      <w:r>
        <w:rPr>
          <w:rFonts w:ascii="Cambria" w:hAnsi="Cambria" w:eastAsia="Times New Roman" w:cs="Arial"/>
          <w:lang w:eastAsia="pt-BR"/>
        </w:rPr>
        <w:t xml:space="preserve"> Serão indeferidas pela comissão, mediante decisão fundamentada, provas ilícitas, impertinentes, desnecessárias, protelatórias ou intempestivas.</w:t>
      </w:r>
    </w:p>
    <w:p w14:paraId="110ED22B">
      <w:pPr>
        <w:spacing w:before="225" w:after="225" w:line="276" w:lineRule="auto"/>
        <w:jc w:val="both"/>
        <w:rPr>
          <w:rFonts w:ascii="Cambria" w:hAnsi="Cambria" w:eastAsia="Times New Roman" w:cs="Times New Roman"/>
          <w:lang w:eastAsia="pt-BR"/>
        </w:rPr>
      </w:pPr>
      <w:bookmarkStart w:id="46" w:name="art158§4"/>
      <w:bookmarkEnd w:id="46"/>
      <w:r>
        <w:rPr>
          <w:rFonts w:ascii="Cambria" w:hAnsi="Cambria" w:eastAsia="Times New Roman" w:cs="Arial"/>
          <w:b/>
          <w:bCs/>
          <w:lang w:eastAsia="pt-BR"/>
        </w:rPr>
        <w:t>19.13</w:t>
      </w:r>
      <w:r>
        <w:rPr>
          <w:rFonts w:ascii="Cambria" w:hAnsi="Cambria" w:eastAsia="Times New Roman" w:cs="Arial"/>
          <w:lang w:eastAsia="pt-BR"/>
        </w:rPr>
        <w:t xml:space="preserve"> A prescrição ocorrerá em 5 (cinco) anos, contados da ciência da infração pela Administração, e será:</w:t>
      </w:r>
    </w:p>
    <w:p w14:paraId="00A17D0A">
      <w:pPr>
        <w:spacing w:before="225" w:after="225" w:line="276" w:lineRule="auto"/>
        <w:ind w:firstLine="570"/>
        <w:jc w:val="both"/>
        <w:rPr>
          <w:rFonts w:ascii="Cambria" w:hAnsi="Cambria" w:eastAsia="Times New Roman" w:cs="Times New Roman"/>
          <w:lang w:eastAsia="pt-BR"/>
        </w:rPr>
      </w:pPr>
      <w:bookmarkStart w:id="47" w:name="art158§4i"/>
      <w:bookmarkEnd w:id="47"/>
      <w:r>
        <w:rPr>
          <w:rFonts w:ascii="Cambria" w:hAnsi="Cambria" w:eastAsia="Times New Roman" w:cs="Arial"/>
          <w:b/>
          <w:bCs/>
          <w:lang w:eastAsia="pt-BR"/>
        </w:rPr>
        <w:t>I.</w:t>
      </w:r>
      <w:r>
        <w:rPr>
          <w:rFonts w:ascii="Cambria" w:hAnsi="Cambria" w:eastAsia="Times New Roman" w:cs="Arial"/>
          <w:lang w:eastAsia="pt-BR"/>
        </w:rPr>
        <w:t xml:space="preserve"> Interrompida pela instauração do processo de responsabilização a que se refere o subitem 19.12.</w:t>
      </w:r>
    </w:p>
    <w:p w14:paraId="4E468BB3">
      <w:pPr>
        <w:spacing w:before="225" w:after="225" w:line="276" w:lineRule="auto"/>
        <w:ind w:firstLine="570"/>
        <w:jc w:val="both"/>
        <w:rPr>
          <w:rFonts w:ascii="Cambria" w:hAnsi="Cambria" w:eastAsia="Times New Roman" w:cs="Times New Roman"/>
          <w:lang w:eastAsia="pt-BR"/>
        </w:rPr>
      </w:pPr>
      <w:bookmarkStart w:id="48" w:name="art158§4ii"/>
      <w:bookmarkEnd w:id="48"/>
      <w:r>
        <w:rPr>
          <w:rFonts w:ascii="Cambria" w:hAnsi="Cambria" w:eastAsia="Times New Roman" w:cs="Arial"/>
          <w:b/>
          <w:bCs/>
          <w:lang w:eastAsia="pt-BR"/>
        </w:rPr>
        <w:t>II.</w:t>
      </w:r>
      <w:r>
        <w:rPr>
          <w:rFonts w:ascii="Cambria" w:hAnsi="Cambria" w:eastAsia="Times New Roman" w:cs="Arial"/>
          <w:lang w:eastAsia="pt-BR"/>
        </w:rPr>
        <w:t xml:space="preserve"> Suspensa pela celebração de acordo de leniência previsto na </w:t>
      </w:r>
      <w:r>
        <w:fldChar w:fldCharType="begin"/>
      </w:r>
      <w:r>
        <w:instrText xml:space="preserve"> HYPERLINK "https://www.planalto.gov.br/ccivil_03/_Ato2011-2014/2013/Lei/L12846.htm" </w:instrText>
      </w:r>
      <w:r>
        <w:fldChar w:fldCharType="separate"/>
      </w:r>
      <w:r>
        <w:rPr>
          <w:rFonts w:ascii="Cambria" w:hAnsi="Cambria" w:eastAsia="Times New Roman" w:cs="Arial"/>
          <w:lang w:eastAsia="pt-BR"/>
        </w:rPr>
        <w:t>Lei Federal nº 12.846, de 2013</w:t>
      </w:r>
      <w:r>
        <w:rPr>
          <w:rFonts w:ascii="Cambria" w:hAnsi="Cambria" w:eastAsia="Times New Roman" w:cs="Arial"/>
          <w:lang w:eastAsia="pt-BR"/>
        </w:rPr>
        <w:fldChar w:fldCharType="end"/>
      </w:r>
      <w:r>
        <w:rPr>
          <w:rFonts w:ascii="Cambria" w:hAnsi="Cambria" w:eastAsia="Times New Roman" w:cs="Arial"/>
          <w:lang w:eastAsia="pt-BR"/>
        </w:rPr>
        <w:t>.</w:t>
      </w:r>
    </w:p>
    <w:p w14:paraId="036A2C2C">
      <w:pPr>
        <w:spacing w:before="225" w:after="225" w:line="276" w:lineRule="auto"/>
        <w:ind w:firstLine="570"/>
        <w:jc w:val="both"/>
        <w:rPr>
          <w:rFonts w:ascii="Cambria" w:hAnsi="Cambria" w:eastAsia="Times New Roman" w:cs="Times New Roman"/>
          <w:lang w:eastAsia="pt-BR"/>
        </w:rPr>
      </w:pPr>
      <w:bookmarkStart w:id="49" w:name="art158§4iii"/>
      <w:bookmarkEnd w:id="49"/>
      <w:r>
        <w:rPr>
          <w:rFonts w:ascii="Cambria" w:hAnsi="Cambria" w:eastAsia="Times New Roman" w:cs="Arial"/>
          <w:b/>
          <w:bCs/>
          <w:lang w:eastAsia="pt-BR"/>
        </w:rPr>
        <w:t>III.</w:t>
      </w:r>
      <w:r>
        <w:rPr>
          <w:rFonts w:ascii="Cambria" w:hAnsi="Cambria" w:eastAsia="Times New Roman" w:cs="Arial"/>
          <w:lang w:eastAsia="pt-BR"/>
        </w:rPr>
        <w:t xml:space="preserve"> Suspensa por decisão judicial que inviabilize a conclusão da apuração administrativa.</w:t>
      </w:r>
    </w:p>
    <w:p w14:paraId="1B2D4045">
      <w:pPr>
        <w:spacing w:before="225" w:after="225" w:line="276" w:lineRule="auto"/>
        <w:jc w:val="both"/>
        <w:rPr>
          <w:rFonts w:ascii="Cambria" w:hAnsi="Cambria" w:eastAsia="Times New Roman" w:cs="Times New Roman"/>
          <w:lang w:eastAsia="pt-BR"/>
        </w:rPr>
      </w:pPr>
      <w:bookmarkStart w:id="50" w:name="art159"/>
      <w:bookmarkEnd w:id="50"/>
      <w:r>
        <w:rPr>
          <w:rFonts w:ascii="Cambria" w:hAnsi="Cambria" w:eastAsia="Times New Roman" w:cs="Arial"/>
          <w:b/>
          <w:bCs/>
          <w:lang w:eastAsia="pt-BR"/>
        </w:rPr>
        <w:t>19.14</w:t>
      </w:r>
      <w:r>
        <w:rPr>
          <w:rFonts w:ascii="Cambria" w:hAnsi="Cambria" w:eastAsia="Times New Roman" w:cs="Arial"/>
          <w:lang w:eastAsia="pt-BR"/>
        </w:rPr>
        <w:t xml:space="preserve"> Os atos previstos como infrações administrativas neste edital, bem como os previstos na Lei Federal nº 14.133, de 2021 ou em outras leis de licitações e contratos da Administração Pública que também sejam tipificados como atos lesivos na </w:t>
      </w:r>
      <w:r>
        <w:fldChar w:fldCharType="begin"/>
      </w:r>
      <w:r>
        <w:instrText xml:space="preserve"> HYPERLINK "https://www.planalto.gov.br/ccivil_03/_Ato2011-2014/2013/Lei/L12846.htm" </w:instrText>
      </w:r>
      <w:r>
        <w:fldChar w:fldCharType="separate"/>
      </w:r>
      <w:r>
        <w:rPr>
          <w:rFonts w:ascii="Cambria" w:hAnsi="Cambria" w:eastAsia="Times New Roman" w:cs="Arial"/>
          <w:lang w:eastAsia="pt-BR"/>
        </w:rPr>
        <w:t>Lei Federal nº 12.846, de 2013</w:t>
      </w:r>
      <w:r>
        <w:rPr>
          <w:rFonts w:ascii="Cambria" w:hAnsi="Cambria" w:eastAsia="Times New Roman" w:cs="Arial"/>
          <w:lang w:eastAsia="pt-BR"/>
        </w:rPr>
        <w:fldChar w:fldCharType="end"/>
      </w:r>
      <w:r>
        <w:rPr>
          <w:rFonts w:ascii="Cambria" w:hAnsi="Cambria" w:eastAsia="Times New Roman" w:cs="Arial"/>
          <w:lang w:eastAsia="pt-BR"/>
        </w:rPr>
        <w:t>, serão apurados e julgados conjuntamente, nos mesmos autos, observados o rito procedimental e a autoridade competente definidos na referida Lei.</w:t>
      </w:r>
    </w:p>
    <w:p w14:paraId="5EC61104">
      <w:pPr>
        <w:spacing w:before="225" w:after="225" w:line="276" w:lineRule="auto"/>
        <w:jc w:val="both"/>
        <w:rPr>
          <w:rFonts w:ascii="Cambria" w:hAnsi="Cambria" w:eastAsia="Times New Roman" w:cs="Times New Roman"/>
          <w:lang w:eastAsia="pt-BR"/>
        </w:rPr>
      </w:pPr>
      <w:bookmarkStart w:id="51" w:name="art159p"/>
      <w:bookmarkEnd w:id="51"/>
      <w:bookmarkStart w:id="52" w:name="art160"/>
      <w:bookmarkEnd w:id="52"/>
      <w:r>
        <w:rPr>
          <w:rFonts w:ascii="Cambria" w:hAnsi="Cambria" w:eastAsia="Times New Roman" w:cs="Arial"/>
          <w:b/>
          <w:bCs/>
          <w:lang w:eastAsia="pt-BR"/>
        </w:rPr>
        <w:t>19.15</w:t>
      </w:r>
      <w:r>
        <w:rPr>
          <w:rFonts w:ascii="Cambria" w:hAnsi="Cambria" w:eastAsia="Times New Roman" w:cs="Arial"/>
          <w:lang w:eastAsia="pt-BR"/>
        </w:rPr>
        <w:t xml:space="preserve"> A personalidade jurídica poderá ser desconsiderada sempre que utilizada com abuso do direito para facilitar, encobrir ou dissimular a prática dos atos ilícitos previstos na Lei Federal nº 14.133, de 2021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6F87BD70">
      <w:pPr>
        <w:spacing w:before="225" w:after="225" w:line="276" w:lineRule="auto"/>
        <w:jc w:val="both"/>
        <w:rPr>
          <w:rFonts w:ascii="Cambria" w:hAnsi="Cambria" w:eastAsia="Times New Roman" w:cs="Times New Roman"/>
          <w:lang w:eastAsia="pt-BR"/>
        </w:rPr>
      </w:pPr>
      <w:bookmarkStart w:id="53" w:name="art161"/>
      <w:bookmarkEnd w:id="53"/>
      <w:r>
        <w:rPr>
          <w:rFonts w:ascii="Cambria" w:hAnsi="Cambria" w:eastAsia="Times New Roman" w:cs="Arial"/>
          <w:b/>
          <w:bCs/>
          <w:lang w:eastAsia="pt-BR"/>
        </w:rPr>
        <w:t>19.16</w:t>
      </w:r>
      <w:r>
        <w:rPr>
          <w:rFonts w:ascii="Cambria" w:hAnsi="Cambria" w:eastAsia="Times New Roman" w:cs="Arial"/>
          <w:lang w:eastAsia="pt-BR"/>
        </w:rPr>
        <w:t xml:space="preserve"> Os órgãos e entidades dos Poderes Executivo, deverão, no prazo máximo 15 (quinze) dias úteis, contado da data de aplicação da sanção, informar e manter atualizados os dados relativos às sanções por eles aplicadas, para fins de publicidade no Cadastro Nacional de Empresas Inidôneas e Suspensas (CEIS) e no Cadastro Nacional de Empresas Punidas (CNEP), instituídos no âmbito do Poder Executivo Federal.</w:t>
      </w:r>
    </w:p>
    <w:p w14:paraId="457B5C9C">
      <w:pPr>
        <w:spacing w:before="225" w:after="225" w:line="276" w:lineRule="auto"/>
        <w:ind w:firstLine="570"/>
        <w:jc w:val="both"/>
        <w:rPr>
          <w:rFonts w:ascii="Cambria" w:hAnsi="Cambria" w:eastAsia="Times New Roman" w:cs="Times New Roman"/>
          <w:lang w:eastAsia="pt-BR"/>
        </w:rPr>
      </w:pPr>
      <w:bookmarkStart w:id="54" w:name="art161p"/>
      <w:bookmarkEnd w:id="54"/>
      <w:r>
        <w:rPr>
          <w:rFonts w:ascii="Cambria" w:hAnsi="Cambria" w:eastAsia="Times New Roman" w:cs="Arial"/>
          <w:b/>
          <w:bCs/>
          <w:lang w:eastAsia="pt-BR"/>
        </w:rPr>
        <w:t>I.</w:t>
      </w:r>
      <w:r>
        <w:rPr>
          <w:rFonts w:ascii="Cambria" w:hAnsi="Cambria" w:eastAsia="Times New Roman" w:cs="Arial"/>
          <w:lang w:eastAsia="pt-BR"/>
        </w:rPr>
        <w:t xml:space="preserve"> Para fins de aplicação das sanções previstas no subitem 19.2, o Poder Executivo regulamentará a forma de cômputo e as consequências da soma de diversas sanções aplicadas a uma mesma empresa e derivadas de contratos distintos.</w:t>
      </w:r>
    </w:p>
    <w:p w14:paraId="289CAE4E">
      <w:pPr>
        <w:spacing w:before="225" w:after="225" w:line="276" w:lineRule="auto"/>
        <w:jc w:val="both"/>
        <w:rPr>
          <w:rFonts w:ascii="Cambria" w:hAnsi="Cambria" w:eastAsia="Times New Roman" w:cs="Times New Roman"/>
          <w:lang w:eastAsia="pt-BR"/>
        </w:rPr>
      </w:pPr>
      <w:bookmarkStart w:id="55" w:name="art162"/>
      <w:bookmarkEnd w:id="55"/>
      <w:r>
        <w:rPr>
          <w:rFonts w:ascii="Cambria" w:hAnsi="Cambria" w:eastAsia="Times New Roman" w:cs="Arial"/>
          <w:b/>
          <w:bCs/>
          <w:lang w:eastAsia="pt-BR"/>
        </w:rPr>
        <w:t>19.17</w:t>
      </w:r>
      <w:r>
        <w:rPr>
          <w:rFonts w:ascii="Cambria" w:hAnsi="Cambria" w:eastAsia="Times New Roman" w:cs="Arial"/>
          <w:lang w:eastAsia="pt-BR"/>
        </w:rPr>
        <w:t xml:space="preserve"> O atraso injustificado na execução do contrato sujeitará o contratado a multa de mora, na forma prevista em edital ou em contrato.</w:t>
      </w:r>
    </w:p>
    <w:p w14:paraId="1DD7B3D0">
      <w:pPr>
        <w:spacing w:before="225" w:after="225" w:line="276" w:lineRule="auto"/>
        <w:ind w:firstLine="570"/>
        <w:jc w:val="both"/>
        <w:rPr>
          <w:rFonts w:ascii="Cambria" w:hAnsi="Cambria" w:eastAsia="Times New Roman" w:cs="Times New Roman"/>
          <w:lang w:eastAsia="pt-BR"/>
        </w:rPr>
      </w:pPr>
      <w:bookmarkStart w:id="56" w:name="art162p"/>
      <w:bookmarkEnd w:id="56"/>
      <w:r>
        <w:rPr>
          <w:rFonts w:ascii="Cambria" w:hAnsi="Cambria" w:eastAsia="Times New Roman" w:cs="Arial"/>
          <w:b/>
          <w:bCs/>
          <w:lang w:eastAsia="pt-BR"/>
        </w:rPr>
        <w:t>I.</w:t>
      </w:r>
      <w:r>
        <w:rPr>
          <w:rFonts w:ascii="Cambria" w:hAnsi="Cambria" w:eastAsia="Times New Roman" w:cs="Arial"/>
          <w:lang w:eastAsia="pt-BR"/>
        </w:rPr>
        <w:t xml:space="preserve"> A aplicação de multa de mora não impedirá que a Administração a converta em compensatória e promova a extinção unilateral do contrato com a aplicação cumulada de outras sanções previstas nesta Lei.</w:t>
      </w:r>
    </w:p>
    <w:p w14:paraId="771A055B">
      <w:pPr>
        <w:spacing w:before="225" w:after="225" w:line="276" w:lineRule="auto"/>
        <w:jc w:val="both"/>
        <w:rPr>
          <w:rFonts w:ascii="Cambria" w:hAnsi="Cambria" w:eastAsia="Times New Roman" w:cs="Times New Roman"/>
          <w:lang w:eastAsia="pt-BR"/>
        </w:rPr>
      </w:pPr>
      <w:bookmarkStart w:id="57" w:name="art163"/>
      <w:bookmarkEnd w:id="57"/>
      <w:r>
        <w:rPr>
          <w:rFonts w:ascii="Cambria" w:hAnsi="Cambria" w:eastAsia="Times New Roman" w:cs="Arial"/>
          <w:b/>
          <w:bCs/>
          <w:lang w:eastAsia="pt-BR"/>
        </w:rPr>
        <w:t>19.18</w:t>
      </w:r>
      <w:r>
        <w:rPr>
          <w:rFonts w:ascii="Cambria" w:hAnsi="Cambria" w:eastAsia="Times New Roman" w:cs="Arial"/>
          <w:lang w:eastAsia="pt-BR"/>
        </w:rPr>
        <w:t xml:space="preserve"> É admitida a reabilitação do licitante ou contratado perante a própria autoridade que aplicou a penalidade, exigidos, cumulativamente:</w:t>
      </w:r>
    </w:p>
    <w:p w14:paraId="3C4C693F">
      <w:pPr>
        <w:spacing w:before="225" w:after="225" w:line="276" w:lineRule="auto"/>
        <w:ind w:firstLine="570"/>
        <w:jc w:val="both"/>
        <w:rPr>
          <w:rFonts w:ascii="Cambria" w:hAnsi="Cambria" w:eastAsia="Times New Roman" w:cs="Times New Roman"/>
          <w:lang w:eastAsia="pt-BR"/>
        </w:rPr>
      </w:pPr>
      <w:bookmarkStart w:id="58" w:name="art163i"/>
      <w:bookmarkEnd w:id="58"/>
      <w:r>
        <w:rPr>
          <w:rFonts w:ascii="Cambria" w:hAnsi="Cambria" w:eastAsia="Times New Roman" w:cs="Arial"/>
          <w:b/>
          <w:bCs/>
          <w:lang w:eastAsia="pt-BR"/>
        </w:rPr>
        <w:t>I.</w:t>
      </w:r>
      <w:r>
        <w:rPr>
          <w:rFonts w:ascii="Cambria" w:hAnsi="Cambria" w:eastAsia="Times New Roman" w:cs="Arial"/>
          <w:lang w:eastAsia="pt-BR"/>
        </w:rPr>
        <w:t xml:space="preserve"> Reparação integral do dano causado à Administração Pública.</w:t>
      </w:r>
    </w:p>
    <w:p w14:paraId="5A6E7305">
      <w:pPr>
        <w:spacing w:before="225" w:after="225" w:line="276" w:lineRule="auto"/>
        <w:ind w:firstLine="570"/>
        <w:jc w:val="both"/>
        <w:rPr>
          <w:rFonts w:ascii="Cambria" w:hAnsi="Cambria" w:eastAsia="Times New Roman" w:cs="Times New Roman"/>
          <w:lang w:eastAsia="pt-BR"/>
        </w:rPr>
      </w:pPr>
      <w:bookmarkStart w:id="59" w:name="art163ii"/>
      <w:bookmarkEnd w:id="59"/>
      <w:r>
        <w:rPr>
          <w:rFonts w:ascii="Cambria" w:hAnsi="Cambria" w:eastAsia="Times New Roman" w:cs="Arial"/>
          <w:b/>
          <w:bCs/>
          <w:lang w:eastAsia="pt-BR"/>
        </w:rPr>
        <w:t>II.</w:t>
      </w:r>
      <w:r>
        <w:rPr>
          <w:rFonts w:ascii="Cambria" w:hAnsi="Cambria" w:eastAsia="Times New Roman" w:cs="Arial"/>
          <w:lang w:eastAsia="pt-BR"/>
        </w:rPr>
        <w:t xml:space="preserve"> Pagamento da multa.</w:t>
      </w:r>
    </w:p>
    <w:p w14:paraId="5A3F7E8D">
      <w:pPr>
        <w:spacing w:before="225" w:after="225" w:line="276" w:lineRule="auto"/>
        <w:ind w:firstLine="570"/>
        <w:jc w:val="both"/>
        <w:rPr>
          <w:rFonts w:ascii="Cambria" w:hAnsi="Cambria" w:eastAsia="Times New Roman" w:cs="Times New Roman"/>
          <w:lang w:eastAsia="pt-BR"/>
        </w:rPr>
      </w:pPr>
      <w:bookmarkStart w:id="60" w:name="art163iii"/>
      <w:bookmarkEnd w:id="60"/>
      <w:r>
        <w:rPr>
          <w:rFonts w:ascii="Cambria" w:hAnsi="Cambria" w:eastAsia="Times New Roman" w:cs="Arial"/>
          <w:b/>
          <w:bCs/>
          <w:lang w:eastAsia="pt-BR"/>
        </w:rPr>
        <w:t>III.</w:t>
      </w:r>
      <w:r>
        <w:rPr>
          <w:rFonts w:ascii="Cambria" w:hAnsi="Cambria" w:eastAsia="Times New Roman" w:cs="Arial"/>
          <w:lang w:eastAsia="pt-BR"/>
        </w:rPr>
        <w:t xml:space="preserve"> Transcurso do prazo mínimo de 01 (um) ano da aplicação da penalidade, no caso de impedimento de licitar e contratar, ou de 03 (três) anos da aplicação da penalidade, no caso de declaração de inidoneidade;</w:t>
      </w:r>
    </w:p>
    <w:p w14:paraId="50E6CB1A">
      <w:pPr>
        <w:spacing w:before="225" w:after="225" w:line="276" w:lineRule="auto"/>
        <w:ind w:firstLine="570"/>
        <w:jc w:val="both"/>
        <w:rPr>
          <w:rFonts w:ascii="Cambria" w:hAnsi="Cambria" w:eastAsia="Times New Roman" w:cs="Times New Roman"/>
          <w:lang w:eastAsia="pt-BR"/>
        </w:rPr>
      </w:pPr>
      <w:bookmarkStart w:id="61" w:name="art163iv"/>
      <w:bookmarkEnd w:id="61"/>
      <w:r>
        <w:rPr>
          <w:rFonts w:ascii="Cambria" w:hAnsi="Cambria" w:eastAsia="Times New Roman" w:cs="Arial"/>
          <w:b/>
          <w:bCs/>
          <w:lang w:eastAsia="pt-BR"/>
        </w:rPr>
        <w:t>IV.</w:t>
      </w:r>
      <w:r>
        <w:rPr>
          <w:rFonts w:ascii="Cambria" w:hAnsi="Cambria" w:eastAsia="Times New Roman" w:cs="Arial"/>
          <w:lang w:eastAsia="pt-BR"/>
        </w:rPr>
        <w:t xml:space="preserve"> Cumprimento das condições de reabilitação definidas no ato punitivo.</w:t>
      </w:r>
    </w:p>
    <w:p w14:paraId="410A8328">
      <w:pPr>
        <w:spacing w:before="225" w:after="225" w:line="276" w:lineRule="auto"/>
        <w:ind w:firstLine="570"/>
        <w:jc w:val="both"/>
        <w:rPr>
          <w:rFonts w:ascii="Cambria" w:hAnsi="Cambria" w:eastAsia="Times New Roman" w:cs="Times New Roman"/>
          <w:lang w:eastAsia="pt-BR"/>
        </w:rPr>
      </w:pPr>
      <w:bookmarkStart w:id="62" w:name="art163v"/>
      <w:bookmarkEnd w:id="62"/>
      <w:r>
        <w:rPr>
          <w:rFonts w:ascii="Cambria" w:hAnsi="Cambria" w:eastAsia="Times New Roman" w:cs="Arial"/>
          <w:b/>
          <w:bCs/>
          <w:lang w:eastAsia="pt-BR"/>
        </w:rPr>
        <w:t>V.</w:t>
      </w:r>
      <w:r>
        <w:rPr>
          <w:rFonts w:ascii="Cambria" w:hAnsi="Cambria" w:eastAsia="Times New Roman" w:cs="Arial"/>
          <w:lang w:eastAsia="pt-BR"/>
        </w:rPr>
        <w:t xml:space="preserve"> Análise jurídica prévia, com posicionamento conclusivo quanto ao cumprimento dos requisitos definidos neste subitem.</w:t>
      </w:r>
    </w:p>
    <w:p w14:paraId="4B565FC9">
      <w:pPr>
        <w:spacing w:before="225" w:after="225" w:line="276" w:lineRule="auto"/>
        <w:ind w:left="567" w:firstLine="570"/>
        <w:jc w:val="both"/>
        <w:rPr>
          <w:rFonts w:ascii="Times New Roman" w:hAnsi="Times New Roman" w:eastAsia="Times New Roman" w:cs="Times New Roman"/>
          <w:sz w:val="27"/>
          <w:szCs w:val="27"/>
          <w:lang w:eastAsia="pt-BR"/>
        </w:rPr>
      </w:pPr>
      <w:bookmarkStart w:id="63" w:name="art163p"/>
      <w:bookmarkEnd w:id="63"/>
      <w:r>
        <w:rPr>
          <w:rFonts w:ascii="Cambria" w:hAnsi="Cambria" w:eastAsia="Times New Roman" w:cs="Arial"/>
          <w:b/>
          <w:bCs/>
          <w:lang w:eastAsia="pt-BR"/>
        </w:rPr>
        <w:t>a)</w:t>
      </w:r>
      <w:r>
        <w:rPr>
          <w:rFonts w:ascii="Cambria" w:hAnsi="Cambria" w:eastAsia="Times New Roman" w:cs="Arial"/>
          <w:lang w:eastAsia="pt-BR"/>
        </w:rPr>
        <w:t xml:space="preserve"> A sanção pelas infrações previstas nos </w:t>
      </w:r>
      <w:r>
        <w:fldChar w:fldCharType="begin"/>
      </w:r>
      <w:r>
        <w:instrText xml:space="preserve"> HYPERLINK "https://www.planalto.gov.br/ccivil_03/_ato2019-2022/2021/lei/l14133.htm" \l "art155viii" </w:instrText>
      </w:r>
      <w:r>
        <w:fldChar w:fldCharType="separate"/>
      </w:r>
      <w:r>
        <w:rPr>
          <w:rFonts w:ascii="Cambria" w:hAnsi="Cambria" w:eastAsia="Times New Roman" w:cs="Arial"/>
          <w:lang w:eastAsia="pt-BR"/>
        </w:rPr>
        <w:t>incisos VIII</w:t>
      </w:r>
      <w:r>
        <w:rPr>
          <w:rFonts w:ascii="Cambria" w:hAnsi="Cambria" w:eastAsia="Times New Roman" w:cs="Arial"/>
          <w:lang w:eastAsia="pt-BR"/>
        </w:rPr>
        <w:fldChar w:fldCharType="end"/>
      </w:r>
      <w:r>
        <w:rPr>
          <w:rFonts w:ascii="Cambria" w:hAnsi="Cambria" w:eastAsia="Times New Roman" w:cs="Arial"/>
          <w:lang w:eastAsia="pt-BR"/>
        </w:rPr>
        <w:t> e </w:t>
      </w:r>
      <w:r>
        <w:fldChar w:fldCharType="begin"/>
      </w:r>
      <w:r>
        <w:instrText xml:space="preserve"> HYPERLINK "https://www.planalto.gov.br/ccivil_03/_ato2019-2022/2021/lei/l14133.htm" \l "art155xii" </w:instrText>
      </w:r>
      <w:r>
        <w:fldChar w:fldCharType="separate"/>
      </w:r>
      <w:r>
        <w:rPr>
          <w:rFonts w:ascii="Cambria" w:hAnsi="Cambria" w:eastAsia="Times New Roman" w:cs="Arial"/>
          <w:lang w:eastAsia="pt-BR"/>
        </w:rPr>
        <w:t>XII do subitem 19.1</w:t>
      </w:r>
      <w:r>
        <w:rPr>
          <w:rFonts w:ascii="Cambria" w:hAnsi="Cambria" w:eastAsia="Times New Roman" w:cs="Arial"/>
          <w:lang w:eastAsia="pt-BR"/>
        </w:rPr>
        <w:fldChar w:fldCharType="end"/>
      </w:r>
      <w:r>
        <w:rPr>
          <w:rFonts w:ascii="Cambria" w:hAnsi="Cambria" w:eastAsia="Times New Roman" w:cs="Arial"/>
          <w:lang w:eastAsia="pt-BR"/>
        </w:rPr>
        <w:t xml:space="preserve"> exigirá, como condição de reabilitação do licitante ou contratado, a implantação ou aperfeiçoamento de programa de integridade pelo responsável</w:t>
      </w:r>
      <w:r>
        <w:rPr>
          <w:rFonts w:ascii="Arial" w:hAnsi="Arial" w:eastAsia="Times New Roman" w:cs="Arial"/>
          <w:sz w:val="20"/>
          <w:szCs w:val="20"/>
          <w:lang w:eastAsia="pt-BR"/>
        </w:rPr>
        <w:t>.</w:t>
      </w:r>
    </w:p>
    <w:p w14:paraId="1FDB700B">
      <w:pPr>
        <w:pBdr>
          <w:top w:val="single" w:color="auto" w:sz="4" w:space="1"/>
          <w:left w:val="single" w:color="auto" w:sz="4" w:space="4"/>
          <w:bottom w:val="single" w:color="auto" w:sz="4" w:space="1"/>
          <w:right w:val="single" w:color="auto" w:sz="4" w:space="4"/>
        </w:pBdr>
        <w:shd w:val="clear" w:color="auto" w:fill="D8D8D8" w:themeFill="background1" w:themeFillShade="D9"/>
        <w:tabs>
          <w:tab w:val="left" w:pos="1701"/>
        </w:tabs>
        <w:spacing w:before="240" w:after="240" w:line="276" w:lineRule="auto"/>
        <w:jc w:val="both"/>
        <w:rPr>
          <w:rFonts w:ascii="Cambria" w:hAnsi="Cambria"/>
          <w:b/>
          <w:bCs/>
        </w:rPr>
      </w:pPr>
      <w:r>
        <w:rPr>
          <w:rFonts w:ascii="Cambria" w:hAnsi="Cambria"/>
          <w:b/>
          <w:bCs/>
        </w:rPr>
        <w:t>20. DO ÓRGÃO GERENCIADOR E FISCALIZAÇÃO</w:t>
      </w:r>
    </w:p>
    <w:p w14:paraId="40660E58">
      <w:pPr>
        <w:tabs>
          <w:tab w:val="left" w:pos="1701"/>
        </w:tabs>
        <w:spacing w:before="240" w:line="276" w:lineRule="auto"/>
        <w:jc w:val="both"/>
        <w:rPr>
          <w:rFonts w:ascii="Cambria" w:hAnsi="Cambria"/>
          <w:bCs/>
        </w:rPr>
      </w:pPr>
      <w:r>
        <w:rPr>
          <w:rFonts w:ascii="Cambria" w:hAnsi="Cambria"/>
          <w:b/>
          <w:bCs/>
        </w:rPr>
        <w:t xml:space="preserve">20.1 </w:t>
      </w:r>
      <w:r>
        <w:rPr>
          <w:rFonts w:ascii="Cambria" w:hAnsi="Cambria"/>
          <w:bCs/>
        </w:rPr>
        <w:t>O Órgão Gerenciador da Ata de Registro de Preços a ser firmada mediante a realização do presente Pregão Eletrônico será a Secretaria Municipal de Saúde de Piracanjuba/GO.</w:t>
      </w:r>
    </w:p>
    <w:p w14:paraId="2616145D">
      <w:pPr>
        <w:tabs>
          <w:tab w:val="left" w:pos="1701"/>
        </w:tabs>
        <w:spacing w:before="240" w:line="276" w:lineRule="auto"/>
        <w:jc w:val="both"/>
        <w:rPr>
          <w:rFonts w:ascii="Cambria" w:hAnsi="Cambria"/>
        </w:rPr>
      </w:pPr>
      <w:r>
        <w:rPr>
          <w:rFonts w:ascii="Cambria" w:hAnsi="Cambria"/>
          <w:b/>
        </w:rPr>
        <w:t>20.2</w:t>
      </w:r>
      <w:r>
        <w:rPr>
          <w:rFonts w:ascii="Cambria" w:hAnsi="Cambria"/>
          <w:bCs/>
        </w:rPr>
        <w:t xml:space="preserve"> O Órgão Gerenciador designará representante da Administração Pública para acompanhamento, fiscalização da execução da Ata de Registro de Preços e suas respectivas atribuições nos moldes </w:t>
      </w:r>
      <w:r>
        <w:rPr>
          <w:rFonts w:ascii="Cambria" w:hAnsi="Cambria"/>
        </w:rPr>
        <w:t>do art. 117, da Lei Federal nº 14.133, de 01 de abril de 2021 e art. 13, da Instrução Normativa nº 09, de 01 de junho de 2023 do Tribunal de Contas dos Municípios do Estado de Goiás.</w:t>
      </w:r>
    </w:p>
    <w:p w14:paraId="08BFB1DF">
      <w:pPr>
        <w:tabs>
          <w:tab w:val="left" w:pos="1701"/>
        </w:tabs>
        <w:spacing w:before="240" w:line="276" w:lineRule="auto"/>
        <w:jc w:val="both"/>
        <w:rPr>
          <w:rFonts w:ascii="Cambria" w:hAnsi="Cambria"/>
        </w:rPr>
      </w:pPr>
    </w:p>
    <w:p w14:paraId="26411039">
      <w:pPr>
        <w:pBdr>
          <w:top w:val="single" w:color="auto" w:sz="4" w:space="1"/>
          <w:left w:val="single" w:color="auto" w:sz="4" w:space="4"/>
          <w:bottom w:val="single" w:color="auto" w:sz="4" w:space="1"/>
          <w:right w:val="single" w:color="auto" w:sz="4" w:space="4"/>
        </w:pBdr>
        <w:shd w:val="clear" w:color="auto" w:fill="D8D8D8" w:themeFill="background1" w:themeFillShade="D9"/>
        <w:tabs>
          <w:tab w:val="left" w:pos="1701"/>
        </w:tabs>
        <w:spacing w:before="240" w:line="276" w:lineRule="auto"/>
        <w:jc w:val="both"/>
        <w:rPr>
          <w:rFonts w:ascii="Cambria" w:hAnsi="Cambria"/>
          <w:b/>
        </w:rPr>
      </w:pPr>
      <w:r>
        <w:rPr>
          <w:rFonts w:ascii="Cambria" w:hAnsi="Cambria"/>
          <w:b/>
        </w:rPr>
        <w:t>21. DAS DISPOSIÇÕES FINAIS</w:t>
      </w:r>
    </w:p>
    <w:p w14:paraId="291834C6">
      <w:pPr>
        <w:tabs>
          <w:tab w:val="left" w:pos="1701"/>
        </w:tabs>
        <w:spacing w:before="240" w:line="276" w:lineRule="auto"/>
        <w:jc w:val="both"/>
        <w:rPr>
          <w:rFonts w:ascii="Cambria" w:hAnsi="Cambria"/>
        </w:rPr>
      </w:pPr>
      <w:r>
        <w:rPr>
          <w:rFonts w:ascii="Cambria" w:hAnsi="Cambria"/>
          <w:b/>
        </w:rPr>
        <w:t>21.1</w:t>
      </w:r>
      <w:r>
        <w:rPr>
          <w:rFonts w:ascii="Cambria" w:hAnsi="Cambria"/>
        </w:rPr>
        <w:t xml:space="preserve"> É facultado a Pregoeira ou à Autoridade Superior, em qualquer fase da licitação a promoção de diligência destinada a esclarecer ou complementar a instrução do processo, vedada à inclusão posterior de documento ou informação que deveria constar no ato da sessão eletrônica.</w:t>
      </w:r>
    </w:p>
    <w:p w14:paraId="20AD5025">
      <w:pPr>
        <w:tabs>
          <w:tab w:val="left" w:pos="1701"/>
        </w:tabs>
        <w:spacing w:before="240" w:line="276" w:lineRule="auto"/>
        <w:jc w:val="both"/>
        <w:rPr>
          <w:rFonts w:ascii="Cambria" w:hAnsi="Cambria"/>
        </w:rPr>
      </w:pPr>
      <w:r>
        <w:rPr>
          <w:rFonts w:ascii="Cambria" w:hAnsi="Cambria"/>
          <w:b/>
        </w:rPr>
        <w:t xml:space="preserve">21.2 </w:t>
      </w:r>
      <w:r>
        <w:rPr>
          <w:rFonts w:ascii="Cambria" w:hAnsi="Cambria"/>
        </w:rPr>
        <w:t xml:space="preserve">Fica segurado à Autoridade Competente, mediante justificativa motivada, o direito de a qualquer tempo e no interesse da Administração, adiar a data de abertura, anular ou revogar a presente licitação, total ou parcialmente, sem que caiba direito de qualquer indenização, bem como alterar as condições deste Edital, divulgando-o pela mesma forma que se deu o texto original, fiando novo prazo inicialmente estabelecido, exceto quando, a alteração não afetar a formulação das propostas, nos termos do </w:t>
      </w:r>
      <w:r>
        <w:rPr>
          <w:rFonts w:ascii="Cambria" w:hAnsi="Cambria" w:cs="Arial"/>
        </w:rPr>
        <w:t>§</w:t>
      </w:r>
      <w:r>
        <w:rPr>
          <w:rFonts w:ascii="Cambria" w:hAnsi="Cambria"/>
        </w:rPr>
        <w:t xml:space="preserve"> 1º, art. 155, de Lei Federal nº 14.133, de 2021.</w:t>
      </w:r>
    </w:p>
    <w:p w14:paraId="33E86878">
      <w:pPr>
        <w:tabs>
          <w:tab w:val="left" w:pos="1701"/>
        </w:tabs>
        <w:spacing w:before="240" w:line="276" w:lineRule="auto"/>
        <w:jc w:val="both"/>
        <w:rPr>
          <w:rFonts w:ascii="Cambria" w:hAnsi="Cambria"/>
        </w:rPr>
      </w:pPr>
      <w:r>
        <w:rPr>
          <w:rFonts w:ascii="Cambria" w:hAnsi="Cambria"/>
          <w:b/>
        </w:rPr>
        <w:t>21.3</w:t>
      </w:r>
      <w:r>
        <w:rPr>
          <w:rFonts w:ascii="Cambria" w:hAnsi="Cambria"/>
        </w:rPr>
        <w:t xml:space="preserve"> Os proponentes são responsáveis pela fidelidade e legitimidade das informações e dos documentos apresentados em qualquer da fase de licitação.</w:t>
      </w:r>
    </w:p>
    <w:p w14:paraId="75FC92F1">
      <w:pPr>
        <w:tabs>
          <w:tab w:val="left" w:pos="1701"/>
        </w:tabs>
        <w:spacing w:before="240" w:line="276" w:lineRule="auto"/>
        <w:jc w:val="both"/>
        <w:rPr>
          <w:rFonts w:ascii="Cambria" w:hAnsi="Cambria"/>
        </w:rPr>
      </w:pPr>
      <w:r>
        <w:rPr>
          <w:rFonts w:ascii="Cambria" w:hAnsi="Cambria"/>
          <w:b/>
        </w:rPr>
        <w:t>21.4</w:t>
      </w:r>
      <w:r>
        <w:rPr>
          <w:rFonts w:ascii="Cambria" w:hAnsi="Cambria"/>
        </w:rPr>
        <w:t xml:space="preserve"> As normas disciplinadoras desta Licitação serão interpretadas em favor da ampliação da disputa, respeitada a igualdade de oportunidade entre os licitantes e desde que não comprometam o interesse público, a finalidade e a segurança da contratação.</w:t>
      </w:r>
    </w:p>
    <w:p w14:paraId="759E0F19">
      <w:pPr>
        <w:pStyle w:val="22"/>
        <w:spacing w:before="240" w:line="276" w:lineRule="auto"/>
        <w:jc w:val="both"/>
        <w:rPr>
          <w:rFonts w:ascii="Cambria" w:hAnsi="Cambria"/>
        </w:rPr>
      </w:pPr>
      <w:r>
        <w:rPr>
          <w:rFonts w:ascii="Cambria" w:hAnsi="Cambria"/>
          <w:b/>
        </w:rPr>
        <w:t>21.5</w:t>
      </w:r>
      <w:r>
        <w:rPr>
          <w:rFonts w:ascii="Cambria" w:hAnsi="Cambria"/>
        </w:rPr>
        <w:t xml:space="preserve"> Os casos omissos do presente Pregão serão solucionados </w:t>
      </w:r>
      <w:r>
        <w:rPr>
          <w:rFonts w:ascii="Cambria" w:hAnsi="Cambria"/>
          <w:bCs/>
        </w:rPr>
        <w:t>pela Pregoeira</w:t>
      </w:r>
      <w:r>
        <w:rPr>
          <w:rFonts w:ascii="Cambria" w:hAnsi="Cambria"/>
        </w:rPr>
        <w:t xml:space="preserve"> ou Autoridade Superior que decidirá com base na legislação em vigor.</w:t>
      </w:r>
    </w:p>
    <w:p w14:paraId="27E1EA33">
      <w:pPr>
        <w:tabs>
          <w:tab w:val="left" w:pos="1701"/>
        </w:tabs>
        <w:spacing w:before="240" w:line="276" w:lineRule="auto"/>
        <w:jc w:val="both"/>
        <w:rPr>
          <w:rFonts w:ascii="Cambria" w:hAnsi="Cambria"/>
        </w:rPr>
      </w:pPr>
      <w:r>
        <w:rPr>
          <w:rFonts w:ascii="Cambria" w:hAnsi="Cambria"/>
          <w:b/>
        </w:rPr>
        <w:t xml:space="preserve">21.6 </w:t>
      </w:r>
      <w:r>
        <w:rPr>
          <w:rFonts w:ascii="Cambria" w:hAnsi="Cambria"/>
        </w:rPr>
        <w:t>Os documentos eletrônicos produzidos com a utilização de processo de certificação disponibilizada pela ICP-Brasil, nos termos da Medida Provisória nº 2.200-2, de 24 de agosto de 2001, serão recebidos e presumidos verdadeiros em relação aos signatários.</w:t>
      </w:r>
    </w:p>
    <w:p w14:paraId="2F5A52D5">
      <w:pPr>
        <w:tabs>
          <w:tab w:val="left" w:pos="1701"/>
        </w:tabs>
        <w:spacing w:before="240" w:line="276" w:lineRule="auto"/>
        <w:jc w:val="both"/>
        <w:rPr>
          <w:rFonts w:ascii="Cambria" w:hAnsi="Cambria"/>
        </w:rPr>
      </w:pPr>
      <w:r>
        <w:rPr>
          <w:rFonts w:ascii="Cambria" w:hAnsi="Cambria"/>
          <w:b/>
          <w:bCs/>
        </w:rPr>
        <w:t>21.7</w:t>
      </w:r>
      <w:r>
        <w:rPr>
          <w:rFonts w:ascii="Cambria" w:hAnsi="Cambria"/>
        </w:rPr>
        <w:t xml:space="preserve"> Os horários estabelecidos no edital e durante a sessão eletrônica observarão o horário de Brasília/DF, inclusive para contagem de tempo e registro no sistema e na documentação relativa ao certame.</w:t>
      </w:r>
    </w:p>
    <w:p w14:paraId="4E3937ED">
      <w:pPr>
        <w:tabs>
          <w:tab w:val="left" w:pos="1701"/>
        </w:tabs>
        <w:spacing w:after="0" w:line="276" w:lineRule="auto"/>
        <w:jc w:val="both"/>
        <w:rPr>
          <w:rFonts w:ascii="Cambria" w:hAnsi="Cambria"/>
        </w:rPr>
      </w:pPr>
      <w:r>
        <w:rPr>
          <w:rFonts w:ascii="Cambria" w:hAnsi="Cambria"/>
          <w:b/>
        </w:rPr>
        <w:t xml:space="preserve">21.8 </w:t>
      </w:r>
      <w:r>
        <w:rPr>
          <w:rFonts w:ascii="Cambria" w:hAnsi="Cambria"/>
        </w:rPr>
        <w:t>Fica eleito o Foro da Comarca de Piracanjuba/GO, por mais privilegiado que outro seja para serem dirimidas eventuais dúvidas decorrentes desta Licitação, não resolvidas na esfera Administrativa.</w:t>
      </w:r>
    </w:p>
    <w:p w14:paraId="48451322">
      <w:pPr>
        <w:pBdr>
          <w:top w:val="single" w:color="auto" w:sz="4" w:space="1"/>
          <w:left w:val="single" w:color="auto" w:sz="4" w:space="4"/>
          <w:bottom w:val="single" w:color="auto" w:sz="4" w:space="1"/>
          <w:right w:val="single" w:color="auto" w:sz="4" w:space="4"/>
        </w:pBdr>
        <w:shd w:val="clear" w:color="auto" w:fill="D8D8D8" w:themeFill="background1" w:themeFillShade="D9"/>
        <w:tabs>
          <w:tab w:val="left" w:pos="1701"/>
        </w:tabs>
        <w:spacing w:before="240" w:line="276" w:lineRule="auto"/>
        <w:jc w:val="both"/>
        <w:rPr>
          <w:rFonts w:ascii="Cambria" w:hAnsi="Cambria"/>
          <w:b/>
        </w:rPr>
      </w:pPr>
      <w:r>
        <w:rPr>
          <w:rFonts w:ascii="Cambria" w:hAnsi="Cambria"/>
          <w:b/>
        </w:rPr>
        <w:t>22. DOS ANEXOS</w:t>
      </w:r>
    </w:p>
    <w:p w14:paraId="72D416DE">
      <w:pPr>
        <w:pStyle w:val="22"/>
        <w:spacing w:before="240" w:line="276" w:lineRule="auto"/>
        <w:jc w:val="both"/>
        <w:rPr>
          <w:rFonts w:ascii="Cambria" w:hAnsi="Cambria"/>
        </w:rPr>
      </w:pPr>
      <w:r>
        <w:rPr>
          <w:rFonts w:ascii="Cambria" w:hAnsi="Cambria"/>
          <w:b/>
          <w:bCs/>
        </w:rPr>
        <w:t>22.1</w:t>
      </w:r>
      <w:r>
        <w:rPr>
          <w:rFonts w:ascii="Cambria" w:hAnsi="Cambria"/>
        </w:rPr>
        <w:t xml:space="preserve"> Constituem como parte integrante e complementar do presente Edital, os seguintes elementos:</w:t>
      </w:r>
    </w:p>
    <w:p w14:paraId="4D7E3E5B">
      <w:pPr>
        <w:pStyle w:val="22"/>
        <w:spacing w:before="240" w:line="360" w:lineRule="auto"/>
        <w:ind w:firstLine="567"/>
        <w:jc w:val="both"/>
        <w:rPr>
          <w:rFonts w:ascii="Cambria" w:hAnsi="Cambria"/>
        </w:rPr>
      </w:pPr>
      <w:r>
        <w:rPr>
          <w:rFonts w:ascii="Cambria" w:hAnsi="Cambria"/>
          <w:b/>
        </w:rPr>
        <w:t>ANEXO I –</w:t>
      </w:r>
      <w:r>
        <w:rPr>
          <w:rFonts w:ascii="Cambria" w:hAnsi="Cambria"/>
        </w:rPr>
        <w:t xml:space="preserve"> Termo de Referência;</w:t>
      </w:r>
    </w:p>
    <w:p w14:paraId="58F09A57">
      <w:pPr>
        <w:pStyle w:val="22"/>
        <w:spacing w:line="360" w:lineRule="auto"/>
        <w:ind w:firstLine="567"/>
        <w:jc w:val="both"/>
        <w:rPr>
          <w:rFonts w:ascii="Cambria" w:hAnsi="Cambria"/>
        </w:rPr>
      </w:pPr>
      <w:r>
        <w:rPr>
          <w:rFonts w:ascii="Cambria" w:hAnsi="Cambria"/>
          <w:b/>
          <w:bCs/>
        </w:rPr>
        <w:t>ANEXO II –</w:t>
      </w:r>
      <w:r>
        <w:rPr>
          <w:rFonts w:ascii="Cambria" w:hAnsi="Cambria"/>
        </w:rPr>
        <w:t xml:space="preserve"> Estudo Técnico Preliminar</w:t>
      </w:r>
    </w:p>
    <w:p w14:paraId="7F2AFEB3">
      <w:pPr>
        <w:pStyle w:val="22"/>
        <w:spacing w:line="360" w:lineRule="auto"/>
        <w:ind w:firstLine="567"/>
        <w:jc w:val="both"/>
        <w:rPr>
          <w:rFonts w:ascii="Cambria" w:hAnsi="Cambria"/>
        </w:rPr>
      </w:pPr>
      <w:r>
        <w:rPr>
          <w:rFonts w:ascii="Cambria" w:hAnsi="Cambria"/>
          <w:b/>
        </w:rPr>
        <w:t>ANEXO III -</w:t>
      </w:r>
      <w:r>
        <w:rPr>
          <w:rFonts w:ascii="Cambria" w:hAnsi="Cambria"/>
        </w:rPr>
        <w:t xml:space="preserve"> Modelo de Proposta Comercial;</w:t>
      </w:r>
    </w:p>
    <w:p w14:paraId="2F7A0A78">
      <w:pPr>
        <w:pStyle w:val="22"/>
        <w:spacing w:line="360" w:lineRule="auto"/>
        <w:ind w:firstLine="567"/>
        <w:jc w:val="both"/>
        <w:rPr>
          <w:rFonts w:ascii="Cambria" w:hAnsi="Cambria"/>
        </w:rPr>
      </w:pPr>
      <w:r>
        <w:rPr>
          <w:rFonts w:ascii="Cambria" w:hAnsi="Cambria"/>
          <w:b/>
          <w:bCs/>
        </w:rPr>
        <w:t>ANEXO IV –</w:t>
      </w:r>
      <w:r>
        <w:rPr>
          <w:rFonts w:ascii="Cambria" w:hAnsi="Cambria"/>
        </w:rPr>
        <w:t xml:space="preserve"> Modelo Declaração Conjunta;</w:t>
      </w:r>
    </w:p>
    <w:p w14:paraId="7365AF20">
      <w:pPr>
        <w:pStyle w:val="22"/>
        <w:spacing w:line="360" w:lineRule="auto"/>
        <w:ind w:firstLine="567"/>
        <w:jc w:val="both"/>
        <w:rPr>
          <w:rFonts w:ascii="Cambria" w:hAnsi="Cambria"/>
        </w:rPr>
      </w:pPr>
      <w:r>
        <w:rPr>
          <w:rFonts w:ascii="Cambria" w:hAnsi="Cambria"/>
          <w:b/>
          <w:bCs/>
        </w:rPr>
        <w:t>ANEXO V –</w:t>
      </w:r>
      <w:r>
        <w:rPr>
          <w:rFonts w:ascii="Cambria" w:hAnsi="Cambria"/>
        </w:rPr>
        <w:t xml:space="preserve"> Minuta da Ata de Registro de Preços;</w:t>
      </w:r>
    </w:p>
    <w:p w14:paraId="77F077BB">
      <w:pPr>
        <w:pStyle w:val="22"/>
        <w:spacing w:line="360" w:lineRule="auto"/>
        <w:ind w:firstLine="567"/>
        <w:jc w:val="both"/>
        <w:rPr>
          <w:rFonts w:ascii="Cambria" w:hAnsi="Cambria"/>
        </w:rPr>
      </w:pPr>
      <w:r>
        <w:rPr>
          <w:rFonts w:ascii="Cambria" w:hAnsi="Cambria"/>
          <w:b/>
        </w:rPr>
        <w:t>ANEXO VI –</w:t>
      </w:r>
      <w:r>
        <w:rPr>
          <w:rFonts w:ascii="Cambria" w:hAnsi="Cambria"/>
        </w:rPr>
        <w:t xml:space="preserve"> Minuta do Contrato de Fornecimento.</w:t>
      </w:r>
    </w:p>
    <w:p w14:paraId="5D385180">
      <w:pPr>
        <w:pStyle w:val="12"/>
        <w:spacing w:before="240" w:after="240" w:line="276" w:lineRule="auto"/>
        <w:jc w:val="right"/>
        <w:rPr>
          <w:rFonts w:ascii="Cambria" w:hAnsi="Cambria"/>
          <w:sz w:val="22"/>
          <w:szCs w:val="22"/>
        </w:rPr>
      </w:pPr>
      <w:r>
        <w:rPr>
          <w:rFonts w:ascii="Cambria" w:hAnsi="Cambria"/>
          <w:sz w:val="22"/>
          <w:szCs w:val="22"/>
        </w:rPr>
        <w:t>Piracanjuba/GO, aos 30 dias do mês de outubro do ano de 2024</w:t>
      </w:r>
    </w:p>
    <w:p w14:paraId="4A924481">
      <w:pPr>
        <w:pStyle w:val="12"/>
        <w:spacing w:before="0" w:beforeAutospacing="0" w:after="0" w:afterAutospacing="0" w:line="276" w:lineRule="auto"/>
        <w:jc w:val="center"/>
        <w:rPr>
          <w:rFonts w:ascii="Cambria" w:hAnsi="Cambria"/>
          <w:b/>
          <w:bCs/>
          <w:sz w:val="22"/>
          <w:szCs w:val="22"/>
        </w:rPr>
      </w:pPr>
    </w:p>
    <w:p w14:paraId="64F5445C">
      <w:pPr>
        <w:pStyle w:val="12"/>
        <w:spacing w:before="0" w:beforeAutospacing="0" w:after="0" w:afterAutospacing="0" w:line="276" w:lineRule="auto"/>
        <w:jc w:val="center"/>
        <w:rPr>
          <w:rFonts w:ascii="Cambria" w:hAnsi="Cambria"/>
          <w:b/>
          <w:bCs/>
          <w:sz w:val="22"/>
          <w:szCs w:val="22"/>
        </w:rPr>
      </w:pPr>
    </w:p>
    <w:p w14:paraId="35050AE4">
      <w:pPr>
        <w:pStyle w:val="12"/>
        <w:spacing w:before="0" w:beforeAutospacing="0" w:after="0" w:afterAutospacing="0" w:line="276" w:lineRule="auto"/>
        <w:jc w:val="center"/>
        <w:rPr>
          <w:rFonts w:ascii="Cambria" w:hAnsi="Cambria"/>
          <w:b/>
          <w:bCs/>
          <w:sz w:val="22"/>
          <w:szCs w:val="22"/>
        </w:rPr>
      </w:pPr>
    </w:p>
    <w:p w14:paraId="457A3C2C">
      <w:pPr>
        <w:pStyle w:val="12"/>
        <w:spacing w:before="0" w:beforeAutospacing="0" w:after="0" w:afterAutospacing="0" w:line="276" w:lineRule="auto"/>
        <w:jc w:val="center"/>
        <w:rPr>
          <w:rFonts w:ascii="Cambria" w:hAnsi="Cambria"/>
          <w:b/>
          <w:bCs/>
          <w:sz w:val="22"/>
          <w:szCs w:val="22"/>
        </w:rPr>
      </w:pPr>
    </w:p>
    <w:p w14:paraId="51A0C449">
      <w:pPr>
        <w:pStyle w:val="12"/>
        <w:spacing w:before="0" w:beforeAutospacing="0" w:after="0" w:afterAutospacing="0" w:line="276" w:lineRule="auto"/>
        <w:jc w:val="center"/>
        <w:rPr>
          <w:rFonts w:ascii="Cambria" w:hAnsi="Cambria"/>
          <w:b/>
          <w:bCs/>
          <w:sz w:val="22"/>
          <w:szCs w:val="22"/>
        </w:rPr>
      </w:pPr>
      <w:r>
        <w:rPr>
          <w:rFonts w:ascii="Cambria" w:hAnsi="Cambria"/>
          <w:b/>
          <w:bCs/>
          <w:sz w:val="22"/>
          <w:szCs w:val="22"/>
        </w:rPr>
        <w:t>Jacqueline Silva Campos</w:t>
      </w:r>
    </w:p>
    <w:p w14:paraId="15974BCB">
      <w:pPr>
        <w:pStyle w:val="12"/>
        <w:spacing w:before="0" w:beforeAutospacing="0" w:after="0" w:afterAutospacing="0" w:line="276" w:lineRule="auto"/>
        <w:jc w:val="center"/>
        <w:rPr>
          <w:rFonts w:ascii="Cambria" w:hAnsi="Cambria"/>
          <w:sz w:val="22"/>
          <w:szCs w:val="22"/>
        </w:rPr>
      </w:pPr>
      <w:r>
        <w:rPr>
          <w:rFonts w:ascii="Cambria" w:hAnsi="Cambria"/>
          <w:sz w:val="22"/>
          <w:szCs w:val="22"/>
        </w:rPr>
        <w:t>Agente de Contratação</w:t>
      </w:r>
    </w:p>
    <w:p w14:paraId="1A193A48">
      <w:pPr>
        <w:pStyle w:val="12"/>
        <w:spacing w:before="0" w:beforeAutospacing="0" w:after="0" w:afterAutospacing="0" w:line="276" w:lineRule="auto"/>
        <w:jc w:val="center"/>
        <w:rPr>
          <w:rFonts w:ascii="Cambria" w:hAnsi="Cambria"/>
        </w:rPr>
      </w:pPr>
      <w:r>
        <w:rPr>
          <w:rFonts w:ascii="Cambria" w:hAnsi="Cambria"/>
          <w:sz w:val="22"/>
          <w:szCs w:val="22"/>
        </w:rPr>
        <w:t>Pregoeira Oficial</w:t>
      </w:r>
      <w:r>
        <w:rPr>
          <w:rFonts w:ascii="Cambria" w:hAnsi="Cambria"/>
        </w:rPr>
        <w:br w:type="page"/>
      </w:r>
    </w:p>
    <w:p w14:paraId="35D29A52">
      <w:pPr>
        <w:tabs>
          <w:tab w:val="left" w:pos="1701"/>
        </w:tabs>
        <w:spacing w:before="240" w:line="276" w:lineRule="auto"/>
        <w:jc w:val="center"/>
        <w:rPr>
          <w:rFonts w:ascii="Cambria" w:hAnsi="Cambria"/>
          <w:b/>
        </w:rPr>
      </w:pPr>
      <w:r>
        <w:rPr>
          <w:rFonts w:ascii="Cambria" w:hAnsi="Cambria"/>
          <w:b/>
        </w:rPr>
        <w:t>PREGÃO ELETRÔNICO Nº 53/2024</w:t>
      </w:r>
    </w:p>
    <w:p w14:paraId="6B76F974">
      <w:pPr>
        <w:tabs>
          <w:tab w:val="left" w:pos="1701"/>
        </w:tabs>
        <w:spacing w:before="240" w:line="276" w:lineRule="auto"/>
        <w:jc w:val="center"/>
        <w:rPr>
          <w:rFonts w:ascii="Cambria" w:hAnsi="Cambria"/>
          <w:b/>
        </w:rPr>
      </w:pPr>
      <w:r>
        <w:rPr>
          <w:rFonts w:ascii="Cambria" w:hAnsi="Cambria"/>
          <w:b/>
        </w:rPr>
        <w:t>ANEXO I</w:t>
      </w:r>
    </w:p>
    <w:p w14:paraId="2279A417">
      <w:pPr>
        <w:pStyle w:val="12"/>
        <w:spacing w:before="0" w:beforeAutospacing="0" w:after="0" w:afterAutospacing="0" w:line="276" w:lineRule="auto"/>
        <w:jc w:val="center"/>
        <w:rPr>
          <w:rFonts w:ascii="Cambria" w:hAnsi="Cambria"/>
          <w:b/>
          <w:sz w:val="22"/>
          <w:szCs w:val="22"/>
          <w:u w:val="single"/>
        </w:rPr>
      </w:pPr>
      <w:r>
        <w:rPr>
          <w:rFonts w:ascii="Cambria" w:hAnsi="Cambria"/>
          <w:b/>
          <w:sz w:val="22"/>
          <w:szCs w:val="22"/>
          <w:u w:val="single"/>
        </w:rPr>
        <w:t>TERMO DE REFERÊNCIA</w:t>
      </w:r>
    </w:p>
    <w:p w14:paraId="27834581">
      <w:pPr>
        <w:pStyle w:val="28"/>
        <w:rPr>
          <w:rFonts w:eastAsia="Arial" w:cs="Times New Roman"/>
        </w:rPr>
      </w:pPr>
      <w:r>
        <w:rPr>
          <w:rFonts w:cs="Times New Roman"/>
        </w:rPr>
        <w:t>1. CONDIÇÕES GERAIS DA CONTRATAÇÃO</w:t>
      </w:r>
    </w:p>
    <w:p w14:paraId="21FFEA28">
      <w:pPr>
        <w:tabs>
          <w:tab w:val="center" w:pos="4536"/>
          <w:tab w:val="left" w:pos="4820"/>
          <w:tab w:val="right" w:pos="9072"/>
        </w:tabs>
        <w:spacing w:before="72" w:beforeLines="30" w:after="72" w:afterLines="30" w:line="276" w:lineRule="auto"/>
        <w:ind w:hanging="2"/>
        <w:jc w:val="both"/>
        <w:rPr>
          <w:rStyle w:val="5"/>
          <w:rFonts w:ascii="Cambria" w:hAnsi="Cambria" w:cs="Times New Roman"/>
          <w:b w:val="0"/>
          <w:bCs w:val="0"/>
        </w:rPr>
      </w:pPr>
      <w:r>
        <w:rPr>
          <w:rFonts w:ascii="Cambria" w:hAnsi="Cambria"/>
        </w:rPr>
        <w:t xml:space="preserve">1.1 O presente termo de referência tem como objeto a aquisição de  </w:t>
      </w:r>
      <w:r>
        <w:rPr>
          <w:rFonts w:ascii="Cambria" w:hAnsi="Cambria"/>
          <w:b/>
          <w:u w:val="single"/>
        </w:rPr>
        <w:t>medicamentos, materiais médicos hospitalares e laboratoriais,  que foram fracassados nos Pregões 010/2024, 018/2024, 031/2024 e 035/2024</w:t>
      </w:r>
      <w:r>
        <w:rPr>
          <w:rFonts w:ascii="Cambria" w:hAnsi="Cambria"/>
          <w:b/>
        </w:rPr>
        <w:t xml:space="preserve">, </w:t>
      </w:r>
      <w:r>
        <w:rPr>
          <w:rFonts w:ascii="Cambria" w:hAnsi="Cambria"/>
        </w:rPr>
        <w:t>através de Processo Licitatório,  destinados a atender as demandas das unidades de saúde do nosso município no ano de 2024/2025, sendo o Hospital Municipal Thuany Garcia Ribeiro, Laboratório, EMAD, SAMU, PSF’s, Centro de Saúde, CEO, Atenção Básica, Farmácia Básica e Centro Clínico de Especialidades, sendo medicamentos de assistência à população deste município,</w:t>
      </w:r>
      <w:r>
        <w:rPr>
          <w:rFonts w:ascii="Cambria" w:hAnsi="Cambria" w:eastAsia="Helvetica"/>
          <w:kern w:val="16"/>
        </w:rPr>
        <w:t xml:space="preserve"> através da Secretaria Municipal de Saúde, pelo período de </w:t>
      </w:r>
      <w:r>
        <w:rPr>
          <w:rFonts w:ascii="Cambria" w:hAnsi="Cambria" w:eastAsia="Helvetica"/>
          <w:b/>
          <w:kern w:val="16"/>
          <w:u w:val="single"/>
        </w:rPr>
        <w:t xml:space="preserve">12 meses,  </w:t>
      </w:r>
      <w:r>
        <w:rPr>
          <w:rFonts w:ascii="Cambria" w:hAnsi="Cambria" w:eastAsia="Helvetica"/>
          <w:kern w:val="16"/>
        </w:rPr>
        <w:t>pagos com recursos FMS, PAB, SAMU, CAPS, EMAD, VISA, LEITOS PSQUIÁTRICOS, FARMÁCIA BÁSICA, CUSTEIO DO MAC.</w:t>
      </w:r>
    </w:p>
    <w:tbl>
      <w:tblPr>
        <w:tblStyle w:val="4"/>
        <w:tblW w:w="92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4106"/>
        <w:gridCol w:w="709"/>
        <w:gridCol w:w="997"/>
        <w:gridCol w:w="1276"/>
        <w:gridCol w:w="1559"/>
      </w:tblGrid>
      <w:tr w14:paraId="2A86C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003529B">
            <w:pPr>
              <w:widowControl w:val="0"/>
              <w:suppressAutoHyphens/>
              <w:spacing w:after="288" w:afterLines="120" w:line="276" w:lineRule="auto"/>
              <w:ind w:left="-108" w:right="-108"/>
              <w:jc w:val="center"/>
              <w:rPr>
                <w:rFonts w:ascii="Cambria" w:hAnsi="Cambria" w:eastAsia="Arial" w:cs="Arial"/>
                <w:b/>
                <w:bCs/>
              </w:rPr>
            </w:pPr>
            <w:r>
              <w:rPr>
                <w:rFonts w:ascii="Cambria" w:hAnsi="Cambria" w:eastAsia="Arial" w:cs="Arial"/>
                <w:b/>
                <w:bCs/>
              </w:rPr>
              <w:t>Item</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A84ECC1">
            <w:pPr>
              <w:widowControl w:val="0"/>
              <w:suppressAutoHyphens/>
              <w:spacing w:after="288" w:afterLines="120" w:line="276" w:lineRule="auto"/>
              <w:jc w:val="center"/>
              <w:rPr>
                <w:rFonts w:ascii="Cambria" w:hAnsi="Cambria" w:eastAsia="Arial" w:cs="Arial"/>
              </w:rPr>
            </w:pPr>
            <w:r>
              <w:rPr>
                <w:rFonts w:ascii="Cambria" w:hAnsi="Cambria" w:eastAsia="Arial" w:cs="Arial"/>
                <w:b/>
                <w:bCs/>
              </w:rPr>
              <w:t>Especificação</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87BB042">
            <w:pPr>
              <w:widowControl w:val="0"/>
              <w:suppressAutoHyphens/>
              <w:spacing w:after="288" w:afterLines="120" w:line="276" w:lineRule="auto"/>
              <w:ind w:left="-108" w:right="-108"/>
              <w:jc w:val="center"/>
              <w:rPr>
                <w:rFonts w:ascii="Cambria" w:hAnsi="Cambria" w:eastAsia="Arial" w:cs="Arial"/>
                <w:b/>
                <w:bCs/>
              </w:rPr>
            </w:pPr>
            <w:r>
              <w:rPr>
                <w:rFonts w:ascii="Cambria" w:hAnsi="Cambria" w:eastAsia="Arial" w:cs="Arial"/>
                <w:b/>
                <w:bCs/>
              </w:rPr>
              <w:t>Und</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C25AF77">
            <w:pPr>
              <w:widowControl w:val="0"/>
              <w:suppressAutoHyphens/>
              <w:spacing w:after="288" w:afterLines="120" w:line="276" w:lineRule="auto"/>
              <w:jc w:val="center"/>
              <w:rPr>
                <w:rFonts w:ascii="Cambria" w:hAnsi="Cambria" w:eastAsia="Arial" w:cs="Arial"/>
                <w:b/>
                <w:bCs/>
              </w:rPr>
            </w:pPr>
            <w:r>
              <w:rPr>
                <w:rFonts w:ascii="Cambria" w:hAnsi="Cambria" w:eastAsia="Arial" w:cs="Arial"/>
                <w:b/>
                <w:bCs/>
              </w:rPr>
              <w:t>Qtd</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CC939C0">
            <w:pPr>
              <w:widowControl w:val="0"/>
              <w:suppressAutoHyphens/>
              <w:spacing w:after="288" w:afterLines="120" w:line="276" w:lineRule="auto"/>
              <w:ind w:left="-113" w:right="-103"/>
              <w:jc w:val="center"/>
              <w:rPr>
                <w:rFonts w:ascii="Cambria" w:hAnsi="Cambria" w:eastAsia="Arial" w:cs="Arial"/>
                <w:b/>
                <w:bCs/>
              </w:rPr>
            </w:pPr>
            <w:r>
              <w:rPr>
                <w:rFonts w:ascii="Cambria" w:hAnsi="Cambria" w:eastAsia="Arial" w:cs="Arial"/>
                <w:b/>
                <w:bCs/>
              </w:rPr>
              <w:t>Valor Unitário</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EB96C90">
            <w:pPr>
              <w:widowControl w:val="0"/>
              <w:suppressAutoHyphens/>
              <w:spacing w:after="288" w:afterLines="120" w:line="276" w:lineRule="auto"/>
              <w:ind w:left="-113" w:right="-103"/>
              <w:jc w:val="center"/>
              <w:rPr>
                <w:rFonts w:ascii="Cambria" w:hAnsi="Cambria" w:eastAsia="Arial" w:cs="Arial"/>
                <w:b/>
                <w:bCs/>
              </w:rPr>
            </w:pPr>
            <w:r>
              <w:rPr>
                <w:rFonts w:ascii="Cambria" w:hAnsi="Cambria" w:eastAsia="Arial" w:cs="Arial"/>
                <w:b/>
                <w:bCs/>
              </w:rPr>
              <w:t>Valor Total</w:t>
            </w:r>
          </w:p>
        </w:tc>
      </w:tr>
      <w:tr w14:paraId="6F075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07BAF65">
            <w:pPr>
              <w:widowControl w:val="0"/>
              <w:suppressAutoHyphens/>
              <w:spacing w:after="288" w:afterLines="120" w:line="276" w:lineRule="auto"/>
              <w:ind w:left="-108" w:right="-108"/>
              <w:jc w:val="center"/>
              <w:rPr>
                <w:rFonts w:ascii="Cambria" w:hAnsi="Cambria" w:eastAsia="Times New Roman" w:cs="Arial"/>
                <w:lang w:eastAsia="pt-BR"/>
              </w:rPr>
            </w:pPr>
            <w:r>
              <w:rPr>
                <w:rFonts w:ascii="Cambria" w:hAnsi="Cambria"/>
              </w:rPr>
              <w:t>01</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4046531">
            <w:pPr>
              <w:widowControl w:val="0"/>
              <w:suppressAutoHyphens/>
              <w:spacing w:after="288" w:afterLines="120" w:line="276" w:lineRule="auto"/>
              <w:jc w:val="both"/>
              <w:rPr>
                <w:rFonts w:ascii="Cambria" w:hAnsi="Cambria" w:eastAsia="Arial" w:cs="Arial"/>
                <w:b/>
                <w:bCs/>
              </w:rPr>
            </w:pPr>
            <w:r>
              <w:rPr>
                <w:rFonts w:ascii="Cambria" w:hAnsi="Cambria"/>
              </w:rPr>
              <w:t>Clorafenicol</w:t>
            </w:r>
            <w:r>
              <w:rPr>
                <w:rFonts w:ascii="Cambria" w:hAnsi="Cambria"/>
                <w:spacing w:val="-6"/>
              </w:rPr>
              <w:t xml:space="preserve"> </w:t>
            </w:r>
            <w:r>
              <w:rPr>
                <w:rFonts w:ascii="Cambria" w:hAnsi="Cambria"/>
              </w:rPr>
              <w:t>1 g</w:t>
            </w:r>
            <w:r>
              <w:rPr>
                <w:rFonts w:ascii="Cambria" w:hAnsi="Cambria"/>
                <w:spacing w:val="-8"/>
              </w:rPr>
              <w:t xml:space="preserve"> </w:t>
            </w:r>
            <w:r>
              <w:rPr>
                <w:rFonts w:ascii="Cambria" w:hAnsi="Cambria"/>
              </w:rPr>
              <w:t>ampola</w:t>
            </w:r>
            <w:r>
              <w:rPr>
                <w:rFonts w:ascii="Cambria" w:hAnsi="Cambria"/>
                <w:spacing w:val="-8"/>
              </w:rPr>
              <w:t xml:space="preserve"> </w:t>
            </w:r>
            <w:r>
              <w:rPr>
                <w:rFonts w:ascii="Cambria" w:hAnsi="Cambria"/>
              </w:rPr>
              <w:t>5 ml</w:t>
            </w:r>
            <w:r>
              <w:rPr>
                <w:rFonts w:ascii="Cambria" w:hAnsi="Cambria"/>
                <w:spacing w:val="-6"/>
              </w:rPr>
              <w:t xml:space="preserve"> </w:t>
            </w:r>
            <w:r>
              <w:rPr>
                <w:rFonts w:ascii="Cambria" w:hAnsi="Cambria"/>
              </w:rPr>
              <w:t>injetável</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7AB0F25">
            <w:pPr>
              <w:widowControl w:val="0"/>
              <w:suppressAutoHyphens/>
              <w:spacing w:after="288" w:afterLines="120" w:line="276" w:lineRule="auto"/>
              <w:ind w:left="-108" w:right="-108"/>
              <w:jc w:val="center"/>
              <w:rPr>
                <w:rFonts w:ascii="Cambria" w:hAnsi="Cambria" w:eastAsia="Arial" w:cs="Arial"/>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870F282">
            <w:pPr>
              <w:widowControl w:val="0"/>
              <w:suppressAutoHyphens/>
              <w:spacing w:after="288" w:afterLines="120" w:line="276" w:lineRule="auto"/>
              <w:jc w:val="center"/>
              <w:rPr>
                <w:rFonts w:ascii="Cambria" w:hAnsi="Cambria" w:eastAsia="Arial" w:cs="Arial"/>
              </w:rPr>
            </w:pPr>
            <w:r>
              <w:rPr>
                <w:rFonts w:ascii="Cambria" w:hAnsi="Cambria"/>
              </w:rPr>
              <w:t>200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0142691">
            <w:pPr>
              <w:widowControl w:val="0"/>
              <w:suppressAutoHyphens/>
              <w:spacing w:after="288" w:afterLines="120" w:line="276" w:lineRule="auto"/>
              <w:ind w:left="-113" w:right="-103"/>
              <w:jc w:val="center"/>
              <w:rPr>
                <w:rFonts w:ascii="Cambria" w:hAnsi="Cambria" w:eastAsia="Arial" w:cs="Arial"/>
              </w:rPr>
            </w:pPr>
            <w:r>
              <w:rPr>
                <w:rFonts w:ascii="Cambria" w:hAnsi="Cambria" w:eastAsia="Times New Roman" w:cs="Calibri"/>
                <w:lang w:eastAsia="pt-BR"/>
              </w:rPr>
              <w:t>R$ 7,91</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0184B22">
            <w:pPr>
              <w:widowControl w:val="0"/>
              <w:suppressAutoHyphens/>
              <w:spacing w:after="288" w:afterLines="120" w:line="276" w:lineRule="auto"/>
              <w:ind w:left="-113" w:right="-103"/>
              <w:jc w:val="center"/>
              <w:rPr>
                <w:rFonts w:ascii="Cambria" w:hAnsi="Cambria" w:eastAsia="Arial" w:cs="Arial"/>
              </w:rPr>
            </w:pPr>
            <w:r>
              <w:rPr>
                <w:rFonts w:ascii="Cambria" w:hAnsi="Cambria" w:eastAsia="Times New Roman" w:cs="Calibri"/>
                <w:lang w:eastAsia="pt-BR"/>
              </w:rPr>
              <w:t>R$ 1.582,00</w:t>
            </w:r>
          </w:p>
        </w:tc>
      </w:tr>
      <w:tr w14:paraId="5C6E9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C4E83D1">
            <w:pPr>
              <w:widowControl w:val="0"/>
              <w:suppressAutoHyphens/>
              <w:spacing w:after="288" w:afterLines="120" w:line="276" w:lineRule="auto"/>
              <w:ind w:left="-108" w:right="-108"/>
              <w:jc w:val="center"/>
              <w:rPr>
                <w:rFonts w:ascii="Cambria" w:hAnsi="Cambria"/>
              </w:rPr>
            </w:pPr>
            <w:r>
              <w:rPr>
                <w:rFonts w:ascii="Cambria" w:hAnsi="Cambria"/>
              </w:rPr>
              <w:t>02</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B239702">
            <w:pPr>
              <w:widowControl w:val="0"/>
              <w:suppressAutoHyphens/>
              <w:spacing w:after="288" w:afterLines="120" w:line="276" w:lineRule="auto"/>
              <w:jc w:val="both"/>
              <w:rPr>
                <w:rFonts w:ascii="Cambria" w:hAnsi="Cambria"/>
              </w:rPr>
            </w:pPr>
            <w:r>
              <w:rPr>
                <w:rFonts w:ascii="Cambria" w:hAnsi="Cambria"/>
              </w:rPr>
              <w:t>Cloridrato de Clorpromazina solução 40 mg/ml (gotas)</w:t>
            </w:r>
            <w:r>
              <w:rPr>
                <w:rFonts w:ascii="Cambria" w:hAnsi="Cambria"/>
                <w:spacing w:val="-37"/>
              </w:rPr>
              <w:t xml:space="preserve"> </w:t>
            </w:r>
            <w:r>
              <w:rPr>
                <w:rFonts w:ascii="Cambria" w:hAnsi="Cambria"/>
              </w:rPr>
              <w:t>com 20 ml</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F64F666">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F4D9C9E">
            <w:pPr>
              <w:widowControl w:val="0"/>
              <w:suppressAutoHyphens/>
              <w:spacing w:after="288" w:afterLines="120" w:line="276" w:lineRule="auto"/>
              <w:jc w:val="center"/>
              <w:rPr>
                <w:rFonts w:ascii="Cambria" w:hAnsi="Cambria"/>
              </w:rPr>
            </w:pPr>
            <w:r>
              <w:rPr>
                <w:rFonts w:ascii="Cambria" w:hAnsi="Cambria"/>
              </w:rPr>
              <w:t>10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F7E3304">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R$ 10,83</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777DD38">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R$ 108,30</w:t>
            </w:r>
          </w:p>
        </w:tc>
      </w:tr>
      <w:tr w14:paraId="58549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7FE3C43">
            <w:pPr>
              <w:widowControl w:val="0"/>
              <w:suppressAutoHyphens/>
              <w:spacing w:after="288" w:afterLines="120" w:line="276" w:lineRule="auto"/>
              <w:ind w:left="-108" w:right="-108"/>
              <w:jc w:val="center"/>
              <w:rPr>
                <w:rFonts w:ascii="Cambria" w:hAnsi="Cambria"/>
              </w:rPr>
            </w:pPr>
            <w:r>
              <w:rPr>
                <w:rFonts w:ascii="Cambria" w:hAnsi="Cambria"/>
              </w:rPr>
              <w:t>03</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F5A992D">
            <w:pPr>
              <w:widowControl w:val="0"/>
              <w:suppressAutoHyphens/>
              <w:spacing w:after="288" w:afterLines="120" w:line="276" w:lineRule="auto"/>
              <w:jc w:val="both"/>
              <w:rPr>
                <w:rFonts w:ascii="Cambria" w:hAnsi="Cambria"/>
              </w:rPr>
            </w:pPr>
            <w:r>
              <w:rPr>
                <w:rFonts w:ascii="Cambria" w:hAnsi="Cambria"/>
              </w:rPr>
              <w:t>Halotano</w:t>
            </w:r>
            <w:r>
              <w:rPr>
                <w:rFonts w:ascii="Cambria" w:hAnsi="Cambria"/>
                <w:spacing w:val="-3"/>
              </w:rPr>
              <w:t xml:space="preserve"> </w:t>
            </w:r>
            <w:r>
              <w:rPr>
                <w:rFonts w:ascii="Cambria" w:hAnsi="Cambria"/>
              </w:rPr>
              <w:t>frasco</w:t>
            </w:r>
            <w:r>
              <w:rPr>
                <w:rFonts w:ascii="Cambria" w:hAnsi="Cambria"/>
                <w:spacing w:val="-2"/>
              </w:rPr>
              <w:t xml:space="preserve"> </w:t>
            </w:r>
            <w:r>
              <w:rPr>
                <w:rFonts w:ascii="Cambria" w:hAnsi="Cambria"/>
              </w:rPr>
              <w:t>com</w:t>
            </w:r>
            <w:r>
              <w:rPr>
                <w:rFonts w:ascii="Cambria" w:hAnsi="Cambria"/>
                <w:spacing w:val="-2"/>
              </w:rPr>
              <w:t xml:space="preserve"> </w:t>
            </w:r>
            <w:r>
              <w:rPr>
                <w:rFonts w:ascii="Cambria" w:hAnsi="Cambria"/>
              </w:rPr>
              <w:t>100</w:t>
            </w:r>
            <w:r>
              <w:rPr>
                <w:rFonts w:ascii="Cambria" w:hAnsi="Cambria"/>
                <w:spacing w:val="-2"/>
              </w:rPr>
              <w:t xml:space="preserve"> </w:t>
            </w:r>
            <w:r>
              <w:rPr>
                <w:rFonts w:ascii="Cambria" w:hAnsi="Cambria"/>
              </w:rPr>
              <w:t>ml</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1B32E16">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1FBDA8F">
            <w:pPr>
              <w:widowControl w:val="0"/>
              <w:suppressAutoHyphens/>
              <w:spacing w:after="288" w:afterLines="120" w:line="276" w:lineRule="auto"/>
              <w:jc w:val="center"/>
              <w:rPr>
                <w:rFonts w:ascii="Cambria" w:hAnsi="Cambria"/>
              </w:rPr>
            </w:pPr>
            <w:r>
              <w:rPr>
                <w:rFonts w:ascii="Cambria" w:hAnsi="Cambria"/>
              </w:rPr>
              <w:t>10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5FC6E3F">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R$ 167,19</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01E5FF8">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R$ 1.671,90</w:t>
            </w:r>
          </w:p>
        </w:tc>
      </w:tr>
      <w:tr w14:paraId="16404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6DD9713">
            <w:pPr>
              <w:widowControl w:val="0"/>
              <w:suppressAutoHyphens/>
              <w:spacing w:after="288" w:afterLines="120" w:line="276" w:lineRule="auto"/>
              <w:ind w:left="-108" w:right="-108"/>
              <w:jc w:val="center"/>
              <w:rPr>
                <w:rFonts w:ascii="Cambria" w:hAnsi="Cambria"/>
              </w:rPr>
            </w:pPr>
            <w:r>
              <w:rPr>
                <w:rFonts w:ascii="Cambria" w:hAnsi="Cambria"/>
              </w:rPr>
              <w:t>04</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DF9978E">
            <w:pPr>
              <w:widowControl w:val="0"/>
              <w:suppressAutoHyphens/>
              <w:spacing w:after="288" w:afterLines="120" w:line="276" w:lineRule="auto"/>
              <w:jc w:val="both"/>
              <w:rPr>
                <w:rFonts w:ascii="Cambria" w:hAnsi="Cambria"/>
              </w:rPr>
            </w:pPr>
            <w:r>
              <w:rPr>
                <w:rFonts w:ascii="Cambria" w:hAnsi="Cambria"/>
              </w:rPr>
              <w:t>Hidralazina</w:t>
            </w:r>
            <w:r>
              <w:rPr>
                <w:rFonts w:ascii="Cambria" w:hAnsi="Cambria"/>
                <w:spacing w:val="-8"/>
              </w:rPr>
              <w:t xml:space="preserve"> </w:t>
            </w:r>
            <w:r>
              <w:rPr>
                <w:rFonts w:ascii="Cambria" w:hAnsi="Cambria"/>
              </w:rPr>
              <w:t>20mg</w:t>
            </w:r>
            <w:r>
              <w:rPr>
                <w:rFonts w:ascii="Cambria" w:hAnsi="Cambria"/>
                <w:spacing w:val="-8"/>
              </w:rPr>
              <w:t xml:space="preserve"> </w:t>
            </w:r>
            <w:r>
              <w:rPr>
                <w:rFonts w:ascii="Cambria" w:hAnsi="Cambria"/>
              </w:rPr>
              <w:t>amp</w:t>
            </w:r>
            <w:r>
              <w:rPr>
                <w:rFonts w:ascii="Cambria" w:hAnsi="Cambria"/>
                <w:spacing w:val="-3"/>
              </w:rPr>
              <w:t xml:space="preserve"> </w:t>
            </w:r>
            <w:r>
              <w:rPr>
                <w:rFonts w:ascii="Cambria" w:hAnsi="Cambria"/>
              </w:rPr>
              <w:t>1ml</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B3812C2">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1344CCE">
            <w:pPr>
              <w:widowControl w:val="0"/>
              <w:suppressAutoHyphens/>
              <w:spacing w:after="288" w:afterLines="120" w:line="276" w:lineRule="auto"/>
              <w:jc w:val="center"/>
              <w:rPr>
                <w:rFonts w:ascii="Cambria" w:hAnsi="Cambria"/>
              </w:rPr>
            </w:pPr>
            <w:r>
              <w:rPr>
                <w:rFonts w:ascii="Cambria" w:hAnsi="Cambria"/>
              </w:rPr>
              <w:t>400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E735ABE">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R$ 8,49</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A6D180C">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R$ 3.396,00</w:t>
            </w:r>
          </w:p>
        </w:tc>
      </w:tr>
      <w:tr w14:paraId="7110D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BAE1024">
            <w:pPr>
              <w:widowControl w:val="0"/>
              <w:suppressAutoHyphens/>
              <w:spacing w:after="288" w:afterLines="120" w:line="276" w:lineRule="auto"/>
              <w:ind w:left="-108" w:right="-108"/>
              <w:jc w:val="center"/>
              <w:rPr>
                <w:rFonts w:ascii="Cambria" w:hAnsi="Cambria"/>
              </w:rPr>
            </w:pPr>
            <w:r>
              <w:rPr>
                <w:rFonts w:ascii="Cambria" w:hAnsi="Cambria"/>
              </w:rPr>
              <w:t>05</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FADE780">
            <w:pPr>
              <w:widowControl w:val="0"/>
              <w:suppressAutoHyphens/>
              <w:spacing w:after="288" w:afterLines="120" w:line="276" w:lineRule="auto"/>
              <w:jc w:val="both"/>
              <w:rPr>
                <w:rFonts w:ascii="Cambria" w:hAnsi="Cambria"/>
              </w:rPr>
            </w:pPr>
            <w:r>
              <w:rPr>
                <w:rFonts w:ascii="Cambria" w:hAnsi="Cambria"/>
              </w:rPr>
              <w:t>Mononitrato de isassorbida com 40 mg</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D972311">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A292FE6">
            <w:pPr>
              <w:widowControl w:val="0"/>
              <w:suppressAutoHyphens/>
              <w:spacing w:after="288" w:afterLines="120" w:line="276" w:lineRule="auto"/>
              <w:jc w:val="center"/>
              <w:rPr>
                <w:rFonts w:ascii="Cambria" w:hAnsi="Cambria"/>
              </w:rPr>
            </w:pPr>
            <w:r>
              <w:rPr>
                <w:rFonts w:ascii="Cambria" w:hAnsi="Cambria"/>
              </w:rPr>
              <w:t>2.500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91F5389">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R$ 0,93</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1D48577">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R$ 2.325,00</w:t>
            </w:r>
          </w:p>
        </w:tc>
      </w:tr>
      <w:tr w14:paraId="3A8A8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E8FDD89">
            <w:pPr>
              <w:widowControl w:val="0"/>
              <w:suppressAutoHyphens/>
              <w:spacing w:after="288" w:afterLines="120" w:line="276" w:lineRule="auto"/>
              <w:ind w:left="-108" w:right="-108"/>
              <w:jc w:val="center"/>
              <w:rPr>
                <w:rFonts w:ascii="Cambria" w:hAnsi="Cambria"/>
              </w:rPr>
            </w:pPr>
            <w:r>
              <w:rPr>
                <w:rFonts w:ascii="Cambria" w:hAnsi="Cambria"/>
              </w:rPr>
              <w:t>06</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0329568">
            <w:pPr>
              <w:widowControl w:val="0"/>
              <w:suppressAutoHyphens/>
              <w:spacing w:after="288" w:afterLines="120" w:line="276" w:lineRule="auto"/>
              <w:jc w:val="both"/>
              <w:rPr>
                <w:rFonts w:ascii="Cambria" w:hAnsi="Cambria"/>
              </w:rPr>
            </w:pPr>
            <w:r>
              <w:rPr>
                <w:rFonts w:ascii="Cambria" w:hAnsi="Cambria"/>
                <w:spacing w:val="-1"/>
              </w:rPr>
              <w:t>Bromidrato</w:t>
            </w:r>
            <w:r>
              <w:rPr>
                <w:rFonts w:ascii="Cambria" w:hAnsi="Cambria"/>
                <w:spacing w:val="-4"/>
              </w:rPr>
              <w:t xml:space="preserve"> </w:t>
            </w:r>
            <w:r>
              <w:rPr>
                <w:rFonts w:ascii="Cambria" w:hAnsi="Cambria"/>
              </w:rPr>
              <w:t>de</w:t>
            </w:r>
            <w:r>
              <w:rPr>
                <w:rFonts w:ascii="Cambria" w:hAnsi="Cambria"/>
                <w:spacing w:val="-3"/>
              </w:rPr>
              <w:t xml:space="preserve"> </w:t>
            </w:r>
            <w:r>
              <w:rPr>
                <w:rFonts w:ascii="Cambria" w:hAnsi="Cambria"/>
              </w:rPr>
              <w:t>fenoterol</w:t>
            </w:r>
            <w:r>
              <w:rPr>
                <w:rFonts w:ascii="Cambria" w:hAnsi="Cambria"/>
                <w:spacing w:val="-8"/>
              </w:rPr>
              <w:t xml:space="preserve"> </w:t>
            </w:r>
            <w:r>
              <w:rPr>
                <w:rFonts w:ascii="Cambria" w:hAnsi="Cambria"/>
              </w:rPr>
              <w:t>5</w:t>
            </w:r>
            <w:r>
              <w:rPr>
                <w:rFonts w:ascii="Cambria" w:hAnsi="Cambria"/>
                <w:spacing w:val="-3"/>
              </w:rPr>
              <w:t xml:space="preserve"> </w:t>
            </w:r>
            <w:r>
              <w:rPr>
                <w:rFonts w:ascii="Cambria" w:hAnsi="Cambria"/>
              </w:rPr>
              <w:t>mg/ml</w:t>
            </w:r>
            <w:r>
              <w:rPr>
                <w:rFonts w:ascii="Cambria" w:hAnsi="Cambria"/>
                <w:spacing w:val="-9"/>
              </w:rPr>
              <w:t xml:space="preserve"> </w:t>
            </w:r>
            <w:r>
              <w:rPr>
                <w:rFonts w:ascii="Cambria" w:hAnsi="Cambria"/>
              </w:rPr>
              <w:t>gts</w:t>
            </w:r>
            <w:r>
              <w:rPr>
                <w:rFonts w:ascii="Cambria" w:hAnsi="Cambria"/>
                <w:spacing w:val="-3"/>
              </w:rPr>
              <w:t xml:space="preserve"> </w:t>
            </w:r>
            <w:r>
              <w:rPr>
                <w:rFonts w:ascii="Cambria" w:hAnsi="Cambria"/>
              </w:rPr>
              <w:t>20</w:t>
            </w:r>
            <w:r>
              <w:rPr>
                <w:rFonts w:ascii="Cambria" w:hAnsi="Cambria"/>
                <w:spacing w:val="-36"/>
              </w:rPr>
              <w:t xml:space="preserve"> </w:t>
            </w:r>
            <w:r>
              <w:rPr>
                <w:rFonts w:ascii="Cambria" w:hAnsi="Cambria"/>
              </w:rPr>
              <w:t>ml</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F9A78F2">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41E9E4E">
            <w:pPr>
              <w:widowControl w:val="0"/>
              <w:suppressAutoHyphens/>
              <w:spacing w:after="288" w:afterLines="120" w:line="276" w:lineRule="auto"/>
              <w:jc w:val="center"/>
              <w:rPr>
                <w:rFonts w:ascii="Cambria" w:hAnsi="Cambria"/>
              </w:rPr>
            </w:pPr>
            <w:r>
              <w:rPr>
                <w:rFonts w:ascii="Cambria" w:hAnsi="Cambria"/>
              </w:rPr>
              <w:t>650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5ABC744">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R$ 8,10</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A0846A2">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R$ 5.265,00</w:t>
            </w:r>
          </w:p>
        </w:tc>
      </w:tr>
      <w:tr w14:paraId="44E52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B272D9E">
            <w:pPr>
              <w:widowControl w:val="0"/>
              <w:suppressAutoHyphens/>
              <w:spacing w:after="288" w:afterLines="120" w:line="276" w:lineRule="auto"/>
              <w:ind w:left="-108" w:right="-108"/>
              <w:jc w:val="center"/>
              <w:rPr>
                <w:rFonts w:ascii="Cambria" w:hAnsi="Cambria"/>
              </w:rPr>
            </w:pPr>
            <w:r>
              <w:rPr>
                <w:rFonts w:ascii="Cambria" w:hAnsi="Cambria"/>
              </w:rPr>
              <w:t>07</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90DCAF5">
            <w:pPr>
              <w:widowControl w:val="0"/>
              <w:suppressAutoHyphens/>
              <w:spacing w:after="288" w:afterLines="120" w:line="276" w:lineRule="auto"/>
              <w:jc w:val="both"/>
              <w:rPr>
                <w:rFonts w:ascii="Cambria" w:hAnsi="Cambria"/>
                <w:spacing w:val="-1"/>
              </w:rPr>
            </w:pPr>
            <w:r>
              <w:rPr>
                <w:rFonts w:ascii="Cambria" w:hAnsi="Cambria"/>
              </w:rPr>
              <w:t>Gel de silicone para cicatrização, prevenção de</w:t>
            </w:r>
            <w:r>
              <w:rPr>
                <w:rFonts w:ascii="Cambria" w:hAnsi="Cambria"/>
                <w:spacing w:val="1"/>
              </w:rPr>
              <w:t xml:space="preserve"> </w:t>
            </w:r>
            <w:r>
              <w:rPr>
                <w:rFonts w:ascii="Cambria" w:hAnsi="Cambria"/>
              </w:rPr>
              <w:t>quelóides ou hipertrofia tipo kelo cote tubo 15 g ou</w:t>
            </w:r>
            <w:r>
              <w:rPr>
                <w:rFonts w:ascii="Cambria" w:hAnsi="Cambria"/>
                <w:spacing w:val="-37"/>
              </w:rPr>
              <w:t xml:space="preserve"> </w:t>
            </w:r>
            <w:r>
              <w:rPr>
                <w:rFonts w:ascii="Cambria" w:hAnsi="Cambria"/>
              </w:rPr>
              <w:t>similar ou melhor qualidade.</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12FFA90">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8AC2CD3">
            <w:pPr>
              <w:widowControl w:val="0"/>
              <w:suppressAutoHyphens/>
              <w:spacing w:after="288" w:afterLines="120" w:line="276" w:lineRule="auto"/>
              <w:jc w:val="center"/>
              <w:rPr>
                <w:rFonts w:ascii="Cambria" w:hAnsi="Cambria"/>
              </w:rPr>
            </w:pPr>
            <w:r>
              <w:rPr>
                <w:rFonts w:ascii="Cambria" w:hAnsi="Cambria"/>
              </w:rPr>
              <w:t>06</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0404B35">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R$ 48,18</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D91FEB4">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R$ 289,08</w:t>
            </w:r>
          </w:p>
        </w:tc>
      </w:tr>
      <w:tr w14:paraId="6E6EB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D8026B6">
            <w:pPr>
              <w:widowControl w:val="0"/>
              <w:suppressAutoHyphens/>
              <w:spacing w:after="288" w:afterLines="120" w:line="276" w:lineRule="auto"/>
              <w:ind w:left="-108" w:right="-108"/>
              <w:jc w:val="center"/>
              <w:rPr>
                <w:rFonts w:ascii="Cambria" w:hAnsi="Cambria"/>
              </w:rPr>
            </w:pPr>
            <w:r>
              <w:rPr>
                <w:rFonts w:ascii="Cambria" w:hAnsi="Cambria"/>
              </w:rPr>
              <w:t>08</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859BE3B">
            <w:pPr>
              <w:widowControl w:val="0"/>
              <w:suppressAutoHyphens/>
              <w:spacing w:after="288" w:afterLines="120" w:line="276" w:lineRule="auto"/>
              <w:jc w:val="both"/>
              <w:rPr>
                <w:rFonts w:ascii="Cambria" w:hAnsi="Cambria"/>
              </w:rPr>
            </w:pPr>
            <w:r>
              <w:rPr>
                <w:rFonts w:ascii="Cambria" w:hAnsi="Cambria"/>
                <w:spacing w:val="-1"/>
              </w:rPr>
              <w:t>Hidróxido</w:t>
            </w:r>
            <w:r>
              <w:rPr>
                <w:rFonts w:ascii="Cambria" w:hAnsi="Cambria"/>
                <w:spacing w:val="-2"/>
              </w:rPr>
              <w:t xml:space="preserve"> </w:t>
            </w:r>
            <w:r>
              <w:rPr>
                <w:rFonts w:ascii="Cambria" w:hAnsi="Cambria"/>
              </w:rPr>
              <w:t>de</w:t>
            </w:r>
            <w:r>
              <w:rPr>
                <w:rFonts w:ascii="Cambria" w:hAnsi="Cambria"/>
                <w:spacing w:val="-9"/>
              </w:rPr>
              <w:t xml:space="preserve"> </w:t>
            </w:r>
            <w:r>
              <w:rPr>
                <w:rFonts w:ascii="Cambria" w:hAnsi="Cambria"/>
              </w:rPr>
              <w:t>alumínio</w:t>
            </w:r>
            <w:r>
              <w:rPr>
                <w:rFonts w:ascii="Cambria" w:hAnsi="Cambria"/>
                <w:spacing w:val="-1"/>
              </w:rPr>
              <w:t xml:space="preserve"> </w:t>
            </w:r>
            <w:r>
              <w:rPr>
                <w:rFonts w:ascii="Cambria" w:hAnsi="Cambria"/>
              </w:rPr>
              <w:t>61,5</w:t>
            </w:r>
            <w:r>
              <w:rPr>
                <w:rFonts w:ascii="Cambria" w:hAnsi="Cambria"/>
                <w:spacing w:val="-2"/>
              </w:rPr>
              <w:t xml:space="preserve"> </w:t>
            </w:r>
            <w:r>
              <w:rPr>
                <w:rFonts w:ascii="Cambria" w:hAnsi="Cambria"/>
              </w:rPr>
              <w:t>mg/ml</w:t>
            </w:r>
            <w:r>
              <w:rPr>
                <w:rFonts w:ascii="Cambria" w:hAnsi="Cambria"/>
                <w:spacing w:val="-7"/>
              </w:rPr>
              <w:t xml:space="preserve"> </w:t>
            </w:r>
            <w:r>
              <w:rPr>
                <w:rFonts w:ascii="Cambria" w:hAnsi="Cambria"/>
              </w:rPr>
              <w:t>frasco</w:t>
            </w:r>
            <w:r>
              <w:rPr>
                <w:rFonts w:ascii="Cambria" w:hAnsi="Cambria"/>
                <w:spacing w:val="-36"/>
              </w:rPr>
              <w:t xml:space="preserve"> </w:t>
            </w:r>
            <w:r>
              <w:rPr>
                <w:rFonts w:ascii="Cambria" w:hAnsi="Cambria"/>
              </w:rPr>
              <w:t>240 ml</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5E3940E">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6B3C6E3">
            <w:pPr>
              <w:widowControl w:val="0"/>
              <w:suppressAutoHyphens/>
              <w:spacing w:after="288" w:afterLines="120" w:line="276" w:lineRule="auto"/>
              <w:jc w:val="center"/>
              <w:rPr>
                <w:rFonts w:ascii="Cambria" w:hAnsi="Cambria"/>
              </w:rPr>
            </w:pPr>
            <w:r>
              <w:rPr>
                <w:rFonts w:ascii="Cambria" w:hAnsi="Cambria"/>
              </w:rPr>
              <w:t>3.000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9E1B83A">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R$ 3,64</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36540AB">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R$ 10.920,00</w:t>
            </w:r>
          </w:p>
        </w:tc>
      </w:tr>
      <w:tr w14:paraId="738E8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B8FECC6">
            <w:pPr>
              <w:widowControl w:val="0"/>
              <w:suppressAutoHyphens/>
              <w:spacing w:after="288" w:afterLines="120" w:line="276" w:lineRule="auto"/>
              <w:ind w:left="-108" w:right="-108"/>
              <w:jc w:val="center"/>
              <w:rPr>
                <w:rFonts w:ascii="Cambria" w:hAnsi="Cambria"/>
              </w:rPr>
            </w:pPr>
            <w:r>
              <w:rPr>
                <w:rFonts w:ascii="Cambria" w:hAnsi="Cambria"/>
              </w:rPr>
              <w:t>09</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B7B7205">
            <w:pPr>
              <w:widowControl w:val="0"/>
              <w:suppressAutoHyphens/>
              <w:spacing w:after="288" w:afterLines="120" w:line="276" w:lineRule="auto"/>
              <w:jc w:val="both"/>
              <w:rPr>
                <w:rFonts w:ascii="Cambria" w:hAnsi="Cambria"/>
                <w:spacing w:val="-1"/>
              </w:rPr>
            </w:pPr>
            <w:r>
              <w:rPr>
                <w:rFonts w:ascii="Cambria" w:hAnsi="Cambria"/>
                <w:spacing w:val="-1"/>
              </w:rPr>
              <w:t>Insulina</w:t>
            </w:r>
            <w:r>
              <w:rPr>
                <w:rFonts w:ascii="Cambria" w:hAnsi="Cambria"/>
                <w:spacing w:val="-8"/>
              </w:rPr>
              <w:t xml:space="preserve"> </w:t>
            </w:r>
            <w:r>
              <w:rPr>
                <w:rFonts w:ascii="Cambria" w:hAnsi="Cambria"/>
                <w:spacing w:val="-1"/>
              </w:rPr>
              <w:t>degludeca</w:t>
            </w:r>
            <w:r>
              <w:rPr>
                <w:rFonts w:ascii="Cambria" w:hAnsi="Cambria"/>
                <w:spacing w:val="-8"/>
              </w:rPr>
              <w:t xml:space="preserve"> </w:t>
            </w:r>
            <w:r>
              <w:rPr>
                <w:rFonts w:ascii="Cambria" w:hAnsi="Cambria"/>
              </w:rPr>
              <w:t>100 u/ml</w:t>
            </w:r>
            <w:r>
              <w:rPr>
                <w:rFonts w:ascii="Cambria" w:hAnsi="Cambria"/>
                <w:spacing w:val="-5"/>
              </w:rPr>
              <w:t xml:space="preserve"> </w:t>
            </w:r>
            <w:r>
              <w:rPr>
                <w:rFonts w:ascii="Cambria" w:hAnsi="Cambria"/>
              </w:rPr>
              <w:t>caixa</w:t>
            </w:r>
            <w:r>
              <w:rPr>
                <w:rFonts w:ascii="Cambria" w:hAnsi="Cambria"/>
                <w:spacing w:val="-36"/>
              </w:rPr>
              <w:t xml:space="preserve"> </w:t>
            </w:r>
            <w:r>
              <w:rPr>
                <w:rFonts w:ascii="Cambria" w:hAnsi="Cambria"/>
              </w:rPr>
              <w:t>contendo 5 refis de 3 ml</w:t>
            </w:r>
            <w:r>
              <w:rPr>
                <w:rFonts w:ascii="Cambria" w:hAnsi="Cambria"/>
                <w:spacing w:val="-6"/>
              </w:rPr>
              <w:t xml:space="preserve"> </w:t>
            </w:r>
            <w:r>
              <w:rPr>
                <w:rFonts w:ascii="Cambria" w:hAnsi="Cambria"/>
              </w:rPr>
              <w:t>cada</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9D22107">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D49E301">
            <w:pPr>
              <w:widowControl w:val="0"/>
              <w:suppressAutoHyphens/>
              <w:spacing w:after="288" w:afterLines="120" w:line="276" w:lineRule="auto"/>
              <w:jc w:val="center"/>
              <w:rPr>
                <w:rFonts w:ascii="Cambria" w:hAnsi="Cambria"/>
              </w:rPr>
            </w:pPr>
            <w:r>
              <w:rPr>
                <w:rFonts w:ascii="Cambria" w:hAnsi="Cambria"/>
              </w:rPr>
              <w:t>48</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69698EC">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R$ 172,85</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A755D71">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R$ 8.296,80</w:t>
            </w:r>
          </w:p>
        </w:tc>
      </w:tr>
      <w:tr w14:paraId="0E731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BF47FBE">
            <w:pPr>
              <w:widowControl w:val="0"/>
              <w:suppressAutoHyphens/>
              <w:spacing w:after="288" w:afterLines="120" w:line="276" w:lineRule="auto"/>
              <w:ind w:left="-108" w:right="-108"/>
              <w:jc w:val="center"/>
              <w:rPr>
                <w:rFonts w:ascii="Cambria" w:hAnsi="Cambria"/>
              </w:rPr>
            </w:pPr>
            <w:r>
              <w:rPr>
                <w:rFonts w:ascii="Cambria" w:hAnsi="Cambria"/>
              </w:rPr>
              <w:t>10</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DD5788E">
            <w:pPr>
              <w:widowControl w:val="0"/>
              <w:suppressAutoHyphens/>
              <w:spacing w:after="288" w:afterLines="120" w:line="276" w:lineRule="auto"/>
              <w:jc w:val="both"/>
              <w:rPr>
                <w:rFonts w:ascii="Cambria" w:hAnsi="Cambria"/>
                <w:spacing w:val="-1"/>
              </w:rPr>
            </w:pPr>
            <w:r>
              <w:rPr>
                <w:rFonts w:ascii="Cambria" w:hAnsi="Cambria"/>
              </w:rPr>
              <w:t>Insulina lispro refil 3ml</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17EEC4E">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D3C249B">
            <w:pPr>
              <w:widowControl w:val="0"/>
              <w:suppressAutoHyphens/>
              <w:spacing w:after="288" w:afterLines="120" w:line="276" w:lineRule="auto"/>
              <w:jc w:val="center"/>
              <w:rPr>
                <w:rFonts w:ascii="Cambria" w:hAnsi="Cambria"/>
              </w:rPr>
            </w:pPr>
            <w:r>
              <w:rPr>
                <w:rFonts w:ascii="Cambria" w:hAnsi="Cambria"/>
              </w:rPr>
              <w:t>400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75537F6">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R$ 74,29</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B509BBA">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R$ 29.716,00</w:t>
            </w:r>
          </w:p>
        </w:tc>
      </w:tr>
      <w:tr w14:paraId="580EA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D8DDCFE">
            <w:pPr>
              <w:widowControl w:val="0"/>
              <w:suppressAutoHyphens/>
              <w:spacing w:after="288" w:afterLines="120" w:line="276" w:lineRule="auto"/>
              <w:ind w:left="-108" w:right="-108"/>
              <w:jc w:val="center"/>
              <w:rPr>
                <w:rFonts w:ascii="Cambria" w:hAnsi="Cambria"/>
              </w:rPr>
            </w:pPr>
            <w:r>
              <w:rPr>
                <w:rFonts w:ascii="Cambria" w:hAnsi="Cambria"/>
              </w:rPr>
              <w:t>11</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663E10D">
            <w:pPr>
              <w:widowControl w:val="0"/>
              <w:suppressAutoHyphens/>
              <w:spacing w:after="288" w:afterLines="120" w:line="276" w:lineRule="auto"/>
              <w:jc w:val="both"/>
              <w:rPr>
                <w:rFonts w:ascii="Cambria" w:hAnsi="Cambria"/>
              </w:rPr>
            </w:pPr>
            <w:r>
              <w:rPr>
                <w:rFonts w:ascii="Cambria" w:hAnsi="Cambria"/>
                <w:spacing w:val="-1"/>
              </w:rPr>
              <w:t xml:space="preserve">Metilfenidato </w:t>
            </w:r>
            <w:r>
              <w:rPr>
                <w:rFonts w:ascii="Cambria" w:hAnsi="Cambria"/>
              </w:rPr>
              <w:t>LA 10 mg cápsula gelatinosa dura com</w:t>
            </w:r>
            <w:r>
              <w:rPr>
                <w:rFonts w:ascii="Cambria" w:hAnsi="Cambria"/>
                <w:spacing w:val="-36"/>
              </w:rPr>
              <w:t xml:space="preserve"> </w:t>
            </w:r>
            <w:r>
              <w:rPr>
                <w:rFonts w:ascii="Cambria" w:hAnsi="Cambria"/>
              </w:rPr>
              <w:t>microgranulos de liberação controlada.</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0BD9553">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41676AF">
            <w:pPr>
              <w:widowControl w:val="0"/>
              <w:suppressAutoHyphens/>
              <w:spacing w:after="288" w:afterLines="120" w:line="276" w:lineRule="auto"/>
              <w:jc w:val="center"/>
              <w:rPr>
                <w:rFonts w:ascii="Cambria" w:hAnsi="Cambria"/>
              </w:rPr>
            </w:pPr>
            <w:r>
              <w:rPr>
                <w:rFonts w:ascii="Cambria" w:hAnsi="Cambria"/>
              </w:rPr>
              <w:t>1.440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CD3CFC5">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R$ 1,60</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4D69B40">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R$ 2.304,00</w:t>
            </w:r>
          </w:p>
        </w:tc>
      </w:tr>
      <w:tr w14:paraId="5759A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38B42D8">
            <w:pPr>
              <w:widowControl w:val="0"/>
              <w:suppressAutoHyphens/>
              <w:spacing w:after="288" w:afterLines="120" w:line="276" w:lineRule="auto"/>
              <w:ind w:left="-108" w:right="-108"/>
              <w:jc w:val="center"/>
              <w:rPr>
                <w:rFonts w:ascii="Cambria" w:hAnsi="Cambria"/>
              </w:rPr>
            </w:pPr>
            <w:r>
              <w:rPr>
                <w:rFonts w:ascii="Cambria" w:hAnsi="Cambria"/>
              </w:rPr>
              <w:t>12</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0902A97">
            <w:pPr>
              <w:widowControl w:val="0"/>
              <w:suppressAutoHyphens/>
              <w:spacing w:after="288" w:afterLines="120" w:line="276" w:lineRule="auto"/>
              <w:jc w:val="both"/>
              <w:rPr>
                <w:rFonts w:ascii="Cambria" w:hAnsi="Cambria"/>
                <w:spacing w:val="-1"/>
              </w:rPr>
            </w:pPr>
            <w:r>
              <w:rPr>
                <w:rFonts w:ascii="Cambria" w:hAnsi="Cambria"/>
                <w:spacing w:val="-1"/>
              </w:rPr>
              <w:t>Dimenidrinato</w:t>
            </w:r>
            <w:r>
              <w:rPr>
                <w:rFonts w:ascii="Cambria" w:hAnsi="Cambria"/>
                <w:spacing w:val="-9"/>
              </w:rPr>
              <w:t xml:space="preserve"> </w:t>
            </w:r>
            <w:r>
              <w:rPr>
                <w:rFonts w:ascii="Cambria" w:hAnsi="Cambria"/>
              </w:rPr>
              <w:t>50mg+</w:t>
            </w:r>
            <w:r>
              <w:rPr>
                <w:rFonts w:ascii="Cambria" w:hAnsi="Cambria"/>
                <w:spacing w:val="-9"/>
              </w:rPr>
              <w:t xml:space="preserve"> </w:t>
            </w:r>
            <w:r>
              <w:rPr>
                <w:rFonts w:ascii="Cambria" w:hAnsi="Cambria"/>
              </w:rPr>
              <w:t>cloridrato</w:t>
            </w:r>
            <w:r>
              <w:rPr>
                <w:rFonts w:ascii="Cambria" w:hAnsi="Cambria"/>
                <w:spacing w:val="-8"/>
              </w:rPr>
              <w:t xml:space="preserve"> </w:t>
            </w:r>
            <w:r>
              <w:rPr>
                <w:rFonts w:ascii="Cambria" w:hAnsi="Cambria"/>
              </w:rPr>
              <w:t>de</w:t>
            </w:r>
            <w:r>
              <w:rPr>
                <w:rFonts w:ascii="Cambria" w:hAnsi="Cambria"/>
                <w:spacing w:val="-36"/>
              </w:rPr>
              <w:t xml:space="preserve"> </w:t>
            </w:r>
            <w:r>
              <w:rPr>
                <w:rFonts w:ascii="Cambria" w:hAnsi="Cambria"/>
              </w:rPr>
              <w:t>piridoxina</w:t>
            </w:r>
            <w:r>
              <w:rPr>
                <w:rFonts w:ascii="Cambria" w:hAnsi="Cambria"/>
                <w:spacing w:val="-8"/>
              </w:rPr>
              <w:t xml:space="preserve"> </w:t>
            </w:r>
            <w:r>
              <w:rPr>
                <w:rFonts w:ascii="Cambria" w:hAnsi="Cambria"/>
              </w:rPr>
              <w:t>50mg,</w:t>
            </w:r>
            <w:r>
              <w:rPr>
                <w:rFonts w:ascii="Cambria" w:hAnsi="Cambria"/>
                <w:spacing w:val="-8"/>
              </w:rPr>
              <w:t xml:space="preserve"> </w:t>
            </w:r>
            <w:r>
              <w:rPr>
                <w:rFonts w:ascii="Cambria" w:hAnsi="Cambria"/>
              </w:rPr>
              <w:t>ampola</w:t>
            </w:r>
            <w:r>
              <w:rPr>
                <w:rFonts w:ascii="Cambria" w:hAnsi="Cambria"/>
                <w:spacing w:val="-8"/>
              </w:rPr>
              <w:t xml:space="preserve"> </w:t>
            </w:r>
            <w:r>
              <w:rPr>
                <w:rFonts w:ascii="Cambria" w:hAnsi="Cambria"/>
              </w:rPr>
              <w:t>de 1ml</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5BEBFB2">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1CCC52A">
            <w:pPr>
              <w:widowControl w:val="0"/>
              <w:suppressAutoHyphens/>
              <w:spacing w:after="288" w:afterLines="120" w:line="276" w:lineRule="auto"/>
              <w:jc w:val="center"/>
              <w:rPr>
                <w:rFonts w:ascii="Cambria" w:hAnsi="Cambria"/>
              </w:rPr>
            </w:pPr>
            <w:r>
              <w:rPr>
                <w:rFonts w:ascii="Cambria" w:hAnsi="Cambria"/>
              </w:rPr>
              <w:t>2.000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7B4AA42">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R$ 7,33</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8F4832F">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R$ 14.660,00</w:t>
            </w:r>
          </w:p>
        </w:tc>
      </w:tr>
      <w:tr w14:paraId="11B56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E54E78E">
            <w:pPr>
              <w:widowControl w:val="0"/>
              <w:suppressAutoHyphens/>
              <w:spacing w:after="288" w:afterLines="120" w:line="276" w:lineRule="auto"/>
              <w:ind w:left="-108" w:right="-108"/>
              <w:jc w:val="center"/>
              <w:rPr>
                <w:rFonts w:ascii="Cambria" w:hAnsi="Cambria"/>
              </w:rPr>
            </w:pPr>
            <w:r>
              <w:rPr>
                <w:rFonts w:ascii="Cambria" w:hAnsi="Cambria"/>
              </w:rPr>
              <w:t>13</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A441C89">
            <w:pPr>
              <w:widowControl w:val="0"/>
              <w:suppressAutoHyphens/>
              <w:spacing w:after="288" w:afterLines="120" w:line="276" w:lineRule="auto"/>
              <w:jc w:val="both"/>
              <w:rPr>
                <w:rFonts w:ascii="Cambria" w:hAnsi="Cambria"/>
                <w:spacing w:val="-1"/>
              </w:rPr>
            </w:pPr>
            <w:r>
              <w:rPr>
                <w:rFonts w:ascii="Cambria" w:hAnsi="Cambria"/>
              </w:rPr>
              <w:t>Vitelinato</w:t>
            </w:r>
            <w:r>
              <w:rPr>
                <w:rFonts w:ascii="Cambria" w:hAnsi="Cambria"/>
                <w:spacing w:val="-1"/>
              </w:rPr>
              <w:t xml:space="preserve"> </w:t>
            </w:r>
            <w:r>
              <w:rPr>
                <w:rFonts w:ascii="Cambria" w:hAnsi="Cambria"/>
              </w:rPr>
              <w:t>de prata</w:t>
            </w:r>
            <w:r>
              <w:rPr>
                <w:rFonts w:ascii="Cambria" w:hAnsi="Cambria"/>
                <w:spacing w:val="-1"/>
              </w:rPr>
              <w:t xml:space="preserve"> </w:t>
            </w:r>
            <w:r>
              <w:rPr>
                <w:rFonts w:ascii="Cambria" w:hAnsi="Cambria"/>
              </w:rPr>
              <w:t>0,1% fr</w:t>
            </w:r>
            <w:r>
              <w:rPr>
                <w:rFonts w:ascii="Cambria" w:hAnsi="Cambria"/>
                <w:spacing w:val="-1"/>
              </w:rPr>
              <w:t xml:space="preserve"> </w:t>
            </w:r>
            <w:r>
              <w:rPr>
                <w:rFonts w:ascii="Cambria" w:hAnsi="Cambria"/>
              </w:rPr>
              <w:t>5 ml</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207879E">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5EA75B0">
            <w:pPr>
              <w:widowControl w:val="0"/>
              <w:suppressAutoHyphens/>
              <w:spacing w:after="288" w:afterLines="120" w:line="276" w:lineRule="auto"/>
              <w:jc w:val="center"/>
              <w:rPr>
                <w:rFonts w:ascii="Cambria" w:hAnsi="Cambria"/>
              </w:rPr>
            </w:pPr>
            <w:r>
              <w:rPr>
                <w:rFonts w:ascii="Cambria" w:hAnsi="Cambria"/>
              </w:rPr>
              <w:t>10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EB1D11A">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R$ 37,85</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6AFCF6D">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R$ 378,50</w:t>
            </w:r>
          </w:p>
        </w:tc>
      </w:tr>
      <w:tr w14:paraId="5B243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5168655">
            <w:pPr>
              <w:widowControl w:val="0"/>
              <w:suppressAutoHyphens/>
              <w:spacing w:after="288" w:afterLines="120" w:line="276" w:lineRule="auto"/>
              <w:ind w:left="-108" w:right="-108"/>
              <w:jc w:val="center"/>
              <w:rPr>
                <w:rFonts w:ascii="Cambria" w:hAnsi="Cambria"/>
              </w:rPr>
            </w:pPr>
            <w:r>
              <w:rPr>
                <w:rFonts w:ascii="Cambria" w:hAnsi="Cambria"/>
              </w:rPr>
              <w:t>14</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C2C38A7">
            <w:pPr>
              <w:widowControl w:val="0"/>
              <w:suppressAutoHyphens/>
              <w:spacing w:after="288" w:afterLines="120" w:line="276" w:lineRule="auto"/>
              <w:jc w:val="both"/>
              <w:rPr>
                <w:rFonts w:ascii="Cambria" w:hAnsi="Cambria"/>
              </w:rPr>
            </w:pPr>
            <w:r>
              <w:rPr>
                <w:rFonts w:ascii="Cambria" w:hAnsi="Cambria"/>
              </w:rPr>
              <w:t>Alteplase</w:t>
            </w:r>
            <w:r>
              <w:rPr>
                <w:rFonts w:ascii="Cambria" w:hAnsi="Cambria"/>
                <w:spacing w:val="-4"/>
              </w:rPr>
              <w:t xml:space="preserve"> </w:t>
            </w:r>
            <w:r>
              <w:rPr>
                <w:rFonts w:ascii="Cambria" w:hAnsi="Cambria"/>
              </w:rPr>
              <w:t>10mg/10ml,</w:t>
            </w:r>
            <w:r>
              <w:rPr>
                <w:rFonts w:ascii="Cambria" w:hAnsi="Cambria"/>
                <w:spacing w:val="-3"/>
              </w:rPr>
              <w:t xml:space="preserve"> </w:t>
            </w:r>
            <w:r>
              <w:rPr>
                <w:rFonts w:ascii="Cambria" w:hAnsi="Cambria"/>
              </w:rPr>
              <w:t>frasco-ampola</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7864D56">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651C105">
            <w:pPr>
              <w:widowControl w:val="0"/>
              <w:suppressAutoHyphens/>
              <w:spacing w:after="288" w:afterLines="120" w:line="276" w:lineRule="auto"/>
              <w:jc w:val="center"/>
              <w:rPr>
                <w:rFonts w:ascii="Cambria" w:hAnsi="Cambria"/>
              </w:rPr>
            </w:pPr>
            <w:r>
              <w:rPr>
                <w:rFonts w:ascii="Cambria" w:hAnsi="Cambria"/>
              </w:rPr>
              <w:t>200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966C27F">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R$ 727,75</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6404858">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R$ 145.550,00</w:t>
            </w:r>
          </w:p>
        </w:tc>
      </w:tr>
      <w:tr w14:paraId="33912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5981153">
            <w:pPr>
              <w:widowControl w:val="0"/>
              <w:suppressAutoHyphens/>
              <w:spacing w:after="288" w:afterLines="120" w:line="276" w:lineRule="auto"/>
              <w:ind w:left="-108" w:right="-108"/>
              <w:jc w:val="center"/>
              <w:rPr>
                <w:rFonts w:ascii="Cambria" w:hAnsi="Cambria"/>
              </w:rPr>
            </w:pPr>
            <w:r>
              <w:rPr>
                <w:rFonts w:ascii="Cambria" w:hAnsi="Cambria"/>
              </w:rPr>
              <w:t>15</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5DD61A4">
            <w:pPr>
              <w:widowControl w:val="0"/>
              <w:suppressAutoHyphens/>
              <w:spacing w:after="288" w:afterLines="120" w:line="276" w:lineRule="auto"/>
              <w:jc w:val="both"/>
              <w:rPr>
                <w:rFonts w:ascii="Cambria" w:hAnsi="Cambria"/>
              </w:rPr>
            </w:pPr>
            <w:r>
              <w:rPr>
                <w:rFonts w:ascii="Cambria" w:hAnsi="Cambria"/>
              </w:rPr>
              <w:t>Alteplase</w:t>
            </w:r>
            <w:r>
              <w:rPr>
                <w:rFonts w:ascii="Cambria" w:hAnsi="Cambria"/>
                <w:spacing w:val="-4"/>
              </w:rPr>
              <w:t xml:space="preserve"> </w:t>
            </w:r>
            <w:r>
              <w:rPr>
                <w:rFonts w:ascii="Cambria" w:hAnsi="Cambria"/>
              </w:rPr>
              <w:t>20mg/20ml,</w:t>
            </w:r>
            <w:r>
              <w:rPr>
                <w:rFonts w:ascii="Cambria" w:hAnsi="Cambria"/>
                <w:spacing w:val="-3"/>
              </w:rPr>
              <w:t xml:space="preserve"> </w:t>
            </w:r>
            <w:r>
              <w:rPr>
                <w:rFonts w:ascii="Cambria" w:hAnsi="Cambria"/>
              </w:rPr>
              <w:t>frasco-ampola</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8F784CE">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AAE9D76">
            <w:pPr>
              <w:widowControl w:val="0"/>
              <w:suppressAutoHyphens/>
              <w:spacing w:after="288" w:afterLines="120" w:line="276" w:lineRule="auto"/>
              <w:jc w:val="center"/>
              <w:rPr>
                <w:rFonts w:ascii="Cambria" w:hAnsi="Cambria"/>
              </w:rPr>
            </w:pPr>
            <w:r>
              <w:rPr>
                <w:rFonts w:ascii="Cambria" w:hAnsi="Cambria"/>
              </w:rPr>
              <w:t>200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7DBB4C6">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R$ 1.394,55</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2B2E1E7">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R$ 278.910,00</w:t>
            </w:r>
          </w:p>
        </w:tc>
      </w:tr>
      <w:tr w14:paraId="0A738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4B375BB">
            <w:pPr>
              <w:widowControl w:val="0"/>
              <w:suppressAutoHyphens/>
              <w:spacing w:after="288" w:afterLines="120" w:line="276" w:lineRule="auto"/>
              <w:ind w:left="-108" w:right="-108"/>
              <w:jc w:val="center"/>
              <w:rPr>
                <w:rFonts w:ascii="Cambria" w:hAnsi="Cambria"/>
              </w:rPr>
            </w:pPr>
            <w:r>
              <w:rPr>
                <w:rFonts w:ascii="Cambria" w:hAnsi="Cambria"/>
              </w:rPr>
              <w:t>16</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3B84BB8">
            <w:pPr>
              <w:widowControl w:val="0"/>
              <w:suppressAutoHyphens/>
              <w:spacing w:after="288" w:afterLines="120" w:line="276" w:lineRule="auto"/>
              <w:jc w:val="both"/>
              <w:rPr>
                <w:rFonts w:ascii="Cambria" w:hAnsi="Cambria"/>
              </w:rPr>
            </w:pPr>
            <w:r>
              <w:rPr>
                <w:rFonts w:ascii="Cambria" w:hAnsi="Cambria"/>
              </w:rPr>
              <w:t>Loção hidratante corporal fps 60- com</w:t>
            </w:r>
            <w:r>
              <w:rPr>
                <w:rFonts w:ascii="Cambria" w:hAnsi="Cambria"/>
                <w:spacing w:val="1"/>
              </w:rPr>
              <w:t xml:space="preserve"> </w:t>
            </w:r>
            <w:r>
              <w:rPr>
                <w:rFonts w:ascii="Cambria" w:hAnsi="Cambria"/>
              </w:rPr>
              <w:t>nictinamida e manteiga de karité para</w:t>
            </w:r>
            <w:r>
              <w:rPr>
                <w:rFonts w:ascii="Cambria" w:hAnsi="Cambria"/>
                <w:spacing w:val="1"/>
              </w:rPr>
              <w:t xml:space="preserve"> </w:t>
            </w:r>
            <w:r>
              <w:rPr>
                <w:rFonts w:ascii="Cambria" w:hAnsi="Cambria"/>
                <w:spacing w:val="-1"/>
              </w:rPr>
              <w:t>pele</w:t>
            </w:r>
            <w:r>
              <w:rPr>
                <w:rFonts w:ascii="Cambria" w:hAnsi="Cambria"/>
                <w:spacing w:val="-2"/>
              </w:rPr>
              <w:t xml:space="preserve"> </w:t>
            </w:r>
            <w:r>
              <w:rPr>
                <w:rFonts w:ascii="Cambria" w:hAnsi="Cambria"/>
              </w:rPr>
              <w:t>seca</w:t>
            </w:r>
            <w:r>
              <w:rPr>
                <w:rFonts w:ascii="Cambria" w:hAnsi="Cambria"/>
                <w:spacing w:val="-10"/>
              </w:rPr>
              <w:t xml:space="preserve"> </w:t>
            </w:r>
            <w:r>
              <w:rPr>
                <w:rFonts w:ascii="Cambria" w:hAnsi="Cambria"/>
              </w:rPr>
              <w:t>e</w:t>
            </w:r>
            <w:r>
              <w:rPr>
                <w:rFonts w:ascii="Cambria" w:hAnsi="Cambria"/>
                <w:spacing w:val="-2"/>
              </w:rPr>
              <w:t xml:space="preserve"> </w:t>
            </w:r>
            <w:r>
              <w:rPr>
                <w:rFonts w:ascii="Cambria" w:hAnsi="Cambria"/>
              </w:rPr>
              <w:t>sensível,</w:t>
            </w:r>
            <w:r>
              <w:rPr>
                <w:rFonts w:ascii="Cambria" w:hAnsi="Cambria"/>
                <w:spacing w:val="-5"/>
              </w:rPr>
              <w:t xml:space="preserve"> </w:t>
            </w:r>
            <w:r>
              <w:rPr>
                <w:rFonts w:ascii="Cambria" w:hAnsi="Cambria"/>
              </w:rPr>
              <w:t>tubo</w:t>
            </w:r>
            <w:r>
              <w:rPr>
                <w:rFonts w:ascii="Cambria" w:hAnsi="Cambria"/>
                <w:spacing w:val="-2"/>
              </w:rPr>
              <w:t xml:space="preserve"> </w:t>
            </w:r>
            <w:r>
              <w:rPr>
                <w:rFonts w:ascii="Cambria" w:hAnsi="Cambria"/>
              </w:rPr>
              <w:t>contendo</w:t>
            </w:r>
            <w:r>
              <w:rPr>
                <w:rFonts w:ascii="Cambria" w:hAnsi="Cambria"/>
                <w:spacing w:val="-2"/>
              </w:rPr>
              <w:t xml:space="preserve"> </w:t>
            </w:r>
            <w:r>
              <w:rPr>
                <w:rFonts w:ascii="Cambria" w:hAnsi="Cambria"/>
              </w:rPr>
              <w:t>200</w:t>
            </w:r>
            <w:r>
              <w:rPr>
                <w:rFonts w:ascii="Cambria" w:hAnsi="Cambria"/>
                <w:spacing w:val="-36"/>
              </w:rPr>
              <w:t xml:space="preserve"> </w:t>
            </w:r>
            <w:r>
              <w:rPr>
                <w:rFonts w:ascii="Cambria" w:hAnsi="Cambria"/>
              </w:rPr>
              <w:t>ml tipo lipikaraox 60 ou melhor</w:t>
            </w:r>
            <w:r>
              <w:rPr>
                <w:rFonts w:ascii="Cambria" w:hAnsi="Cambria"/>
                <w:spacing w:val="1"/>
              </w:rPr>
              <w:t xml:space="preserve"> </w:t>
            </w:r>
            <w:r>
              <w:rPr>
                <w:rFonts w:ascii="Cambria" w:hAnsi="Cambria"/>
              </w:rPr>
              <w:t>qualidade. Protetor solar contendo</w:t>
            </w:r>
            <w:r>
              <w:rPr>
                <w:rFonts w:ascii="Cambria" w:hAnsi="Cambria"/>
                <w:spacing w:val="1"/>
              </w:rPr>
              <w:t xml:space="preserve"> </w:t>
            </w:r>
            <w:r>
              <w:rPr>
                <w:rFonts w:ascii="Cambria" w:hAnsi="Cambria"/>
              </w:rPr>
              <w:t>antioxidantes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03DA1F2">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77A7B0F">
            <w:pPr>
              <w:widowControl w:val="0"/>
              <w:suppressAutoHyphens/>
              <w:spacing w:after="288" w:afterLines="120" w:line="276" w:lineRule="auto"/>
              <w:jc w:val="center"/>
              <w:rPr>
                <w:rFonts w:ascii="Cambria" w:hAnsi="Cambria"/>
              </w:rPr>
            </w:pPr>
            <w:r>
              <w:rPr>
                <w:rFonts w:ascii="Cambria" w:hAnsi="Cambria"/>
              </w:rPr>
              <w:t>12</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0CFC67E">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R$ 37,42</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DFE93A8">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R$ 449,04</w:t>
            </w:r>
          </w:p>
        </w:tc>
      </w:tr>
      <w:tr w14:paraId="2A569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82C5A03">
            <w:pPr>
              <w:widowControl w:val="0"/>
              <w:suppressAutoHyphens/>
              <w:spacing w:after="288" w:afterLines="120" w:line="276" w:lineRule="auto"/>
              <w:ind w:left="-108" w:right="-108"/>
              <w:jc w:val="center"/>
              <w:rPr>
                <w:rFonts w:ascii="Cambria" w:hAnsi="Cambria"/>
              </w:rPr>
            </w:pPr>
            <w:r>
              <w:rPr>
                <w:rFonts w:ascii="Cambria" w:hAnsi="Cambria"/>
              </w:rPr>
              <w:t>17</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886060C">
            <w:pPr>
              <w:widowControl w:val="0"/>
              <w:suppressAutoHyphens/>
              <w:spacing w:after="288" w:afterLines="120" w:line="276" w:lineRule="auto"/>
              <w:jc w:val="both"/>
              <w:rPr>
                <w:rFonts w:ascii="Cambria" w:hAnsi="Cambria"/>
              </w:rPr>
            </w:pPr>
            <w:r>
              <w:rPr>
                <w:rFonts w:ascii="Cambria" w:hAnsi="Cambria"/>
                <w:spacing w:val="-1"/>
              </w:rPr>
              <w:t>Divalproato</w:t>
            </w:r>
            <w:r>
              <w:rPr>
                <w:rFonts w:ascii="Cambria" w:hAnsi="Cambria"/>
                <w:spacing w:val="-9"/>
              </w:rPr>
              <w:t xml:space="preserve"> </w:t>
            </w:r>
            <w:r>
              <w:rPr>
                <w:rFonts w:ascii="Cambria" w:hAnsi="Cambria"/>
              </w:rPr>
              <w:t>de</w:t>
            </w:r>
            <w:r>
              <w:rPr>
                <w:rFonts w:ascii="Cambria" w:hAnsi="Cambria"/>
                <w:spacing w:val="-8"/>
              </w:rPr>
              <w:t xml:space="preserve"> </w:t>
            </w:r>
            <w:r>
              <w:rPr>
                <w:rFonts w:ascii="Cambria" w:hAnsi="Cambria"/>
              </w:rPr>
              <w:t>sódio</w:t>
            </w:r>
            <w:r>
              <w:rPr>
                <w:rFonts w:ascii="Cambria" w:hAnsi="Cambria"/>
                <w:spacing w:val="-9"/>
              </w:rPr>
              <w:t xml:space="preserve"> </w:t>
            </w:r>
            <w:r>
              <w:rPr>
                <w:rFonts w:ascii="Cambria" w:hAnsi="Cambria"/>
              </w:rPr>
              <w:t>250mg/5ml,</w:t>
            </w:r>
            <w:r>
              <w:rPr>
                <w:rFonts w:ascii="Cambria" w:hAnsi="Cambria"/>
                <w:spacing w:val="-35"/>
              </w:rPr>
              <w:t xml:space="preserve"> </w:t>
            </w:r>
            <w:r>
              <w:rPr>
                <w:rFonts w:ascii="Cambria" w:hAnsi="Cambria"/>
              </w:rPr>
              <w:t>suspensão oral</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8A2D5DA">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9F2B75A">
            <w:pPr>
              <w:widowControl w:val="0"/>
              <w:suppressAutoHyphens/>
              <w:spacing w:after="288" w:afterLines="120" w:line="276" w:lineRule="auto"/>
              <w:jc w:val="center"/>
              <w:rPr>
                <w:rFonts w:ascii="Cambria" w:hAnsi="Cambria"/>
              </w:rPr>
            </w:pPr>
            <w:r>
              <w:rPr>
                <w:rFonts w:ascii="Cambria" w:hAnsi="Cambria"/>
              </w:rPr>
              <w:t>100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F70E984">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R$ 2,60</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9BB1D0F">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R$ 260,00</w:t>
            </w:r>
          </w:p>
        </w:tc>
      </w:tr>
      <w:tr w14:paraId="242E7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CB647B6">
            <w:pPr>
              <w:widowControl w:val="0"/>
              <w:suppressAutoHyphens/>
              <w:spacing w:after="288" w:afterLines="120" w:line="276" w:lineRule="auto"/>
              <w:ind w:left="-108" w:right="-108"/>
              <w:jc w:val="center"/>
              <w:rPr>
                <w:rFonts w:ascii="Cambria" w:hAnsi="Cambria"/>
              </w:rPr>
            </w:pPr>
            <w:r>
              <w:rPr>
                <w:rFonts w:ascii="Cambria" w:hAnsi="Cambria"/>
              </w:rPr>
              <w:t>18</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7E9EB8F">
            <w:pPr>
              <w:widowControl w:val="0"/>
              <w:suppressAutoHyphens/>
              <w:spacing w:after="288" w:afterLines="120" w:line="276" w:lineRule="auto"/>
              <w:jc w:val="both"/>
              <w:rPr>
                <w:rFonts w:ascii="Cambria" w:hAnsi="Cambria"/>
                <w:spacing w:val="-1"/>
              </w:rPr>
            </w:pPr>
            <w:r>
              <w:rPr>
                <w:rFonts w:ascii="Cambria" w:hAnsi="Cambria"/>
              </w:rPr>
              <w:t>Cloridrato de oxibuprocaína, solução</w:t>
            </w:r>
            <w:r>
              <w:rPr>
                <w:rFonts w:ascii="Cambria" w:hAnsi="Cambria"/>
                <w:spacing w:val="-36"/>
              </w:rPr>
              <w:t xml:space="preserve"> </w:t>
            </w:r>
            <w:r>
              <w:rPr>
                <w:rFonts w:ascii="Cambria" w:hAnsi="Cambria"/>
                <w:spacing w:val="-1"/>
              </w:rPr>
              <w:t xml:space="preserve">oftálmica estéril, </w:t>
            </w:r>
            <w:r>
              <w:rPr>
                <w:rFonts w:ascii="Cambria" w:hAnsi="Cambria"/>
              </w:rPr>
              <w:t>4mg/ml (0,4%), frasco</w:t>
            </w:r>
            <w:r>
              <w:rPr>
                <w:rFonts w:ascii="Cambria" w:hAnsi="Cambria"/>
                <w:spacing w:val="-36"/>
              </w:rPr>
              <w:t xml:space="preserve"> </w:t>
            </w:r>
            <w:r>
              <w:rPr>
                <w:rFonts w:ascii="Cambria" w:hAnsi="Cambria"/>
              </w:rPr>
              <w:t>de 10ml</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3FE89A4">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6F3375D">
            <w:pPr>
              <w:widowControl w:val="0"/>
              <w:suppressAutoHyphens/>
              <w:spacing w:after="288" w:afterLines="120" w:line="276" w:lineRule="auto"/>
              <w:jc w:val="center"/>
              <w:rPr>
                <w:rFonts w:ascii="Cambria" w:hAnsi="Cambria"/>
              </w:rPr>
            </w:pPr>
            <w:r>
              <w:rPr>
                <w:rFonts w:ascii="Cambria" w:hAnsi="Cambria"/>
              </w:rPr>
              <w:t>10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B9FBC01">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R$ 32,27</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9FC6EAC">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R$ 322,70</w:t>
            </w:r>
          </w:p>
        </w:tc>
      </w:tr>
      <w:tr w14:paraId="5BE75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A66CDF0">
            <w:pPr>
              <w:widowControl w:val="0"/>
              <w:suppressAutoHyphens/>
              <w:spacing w:after="288" w:afterLines="120" w:line="276" w:lineRule="auto"/>
              <w:ind w:left="-108" w:right="-108"/>
              <w:jc w:val="center"/>
              <w:rPr>
                <w:rFonts w:ascii="Cambria" w:hAnsi="Cambria"/>
              </w:rPr>
            </w:pPr>
            <w:r>
              <w:rPr>
                <w:rFonts w:ascii="Cambria" w:hAnsi="Cambria"/>
              </w:rPr>
              <w:t>19</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4F73D70">
            <w:pPr>
              <w:widowControl w:val="0"/>
              <w:suppressAutoHyphens/>
              <w:spacing w:after="288" w:afterLines="120" w:line="276" w:lineRule="auto"/>
              <w:jc w:val="both"/>
              <w:rPr>
                <w:rFonts w:ascii="Cambria" w:hAnsi="Cambria"/>
              </w:rPr>
            </w:pPr>
            <w:r>
              <w:rPr>
                <w:rFonts w:ascii="Cambria" w:hAnsi="Cambria"/>
              </w:rPr>
              <w:t>Hidroxiuréia</w:t>
            </w:r>
            <w:r>
              <w:rPr>
                <w:rFonts w:ascii="Cambria" w:hAnsi="Cambria"/>
                <w:spacing w:val="-8"/>
              </w:rPr>
              <w:t xml:space="preserve"> </w:t>
            </w:r>
            <w:r>
              <w:rPr>
                <w:rFonts w:ascii="Cambria" w:hAnsi="Cambria"/>
              </w:rPr>
              <w:t>500 mg comprimidos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BFCD5F1">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DA859E4">
            <w:pPr>
              <w:widowControl w:val="0"/>
              <w:suppressAutoHyphens/>
              <w:spacing w:after="288" w:afterLines="120" w:line="276" w:lineRule="auto"/>
              <w:jc w:val="center"/>
              <w:rPr>
                <w:rFonts w:ascii="Cambria" w:hAnsi="Cambria"/>
              </w:rPr>
            </w:pPr>
            <w:r>
              <w:rPr>
                <w:rFonts w:ascii="Cambria" w:hAnsi="Cambria"/>
              </w:rPr>
              <w:t>1.000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E8D4369">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R$ 1,70</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C600D35">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R$ 1.700,00</w:t>
            </w:r>
          </w:p>
        </w:tc>
      </w:tr>
      <w:tr w14:paraId="0D9B0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699CDD0">
            <w:pPr>
              <w:widowControl w:val="0"/>
              <w:suppressAutoHyphens/>
              <w:spacing w:after="288" w:afterLines="120" w:line="276" w:lineRule="auto"/>
              <w:ind w:left="-108" w:right="-108"/>
              <w:jc w:val="center"/>
              <w:rPr>
                <w:rFonts w:ascii="Cambria" w:hAnsi="Cambria"/>
              </w:rPr>
            </w:pPr>
            <w:r>
              <w:rPr>
                <w:rFonts w:ascii="Cambria" w:hAnsi="Cambria"/>
              </w:rPr>
              <w:t>20</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5797C00">
            <w:pPr>
              <w:widowControl w:val="0"/>
              <w:suppressAutoHyphens/>
              <w:spacing w:after="288" w:afterLines="120" w:line="276" w:lineRule="auto"/>
              <w:jc w:val="both"/>
              <w:rPr>
                <w:rFonts w:ascii="Cambria" w:hAnsi="Cambria"/>
              </w:rPr>
            </w:pPr>
            <w:r>
              <w:rPr>
                <w:rFonts w:ascii="Cambria" w:hAnsi="Cambria"/>
              </w:rPr>
              <w:t>Semaglutida 1,5 ml com 01 sistema de</w:t>
            </w:r>
            <w:r>
              <w:rPr>
                <w:rFonts w:ascii="Cambria" w:hAnsi="Cambria"/>
                <w:spacing w:val="-36"/>
              </w:rPr>
              <w:t xml:space="preserve"> </w:t>
            </w:r>
            <w:r>
              <w:rPr>
                <w:rFonts w:ascii="Cambria" w:hAnsi="Cambria"/>
                <w:spacing w:val="-1"/>
              </w:rPr>
              <w:t>aplicação e</w:t>
            </w:r>
            <w:r>
              <w:rPr>
                <w:rFonts w:ascii="Cambria" w:hAnsi="Cambria"/>
              </w:rPr>
              <w:t xml:space="preserve"> </w:t>
            </w:r>
            <w:r>
              <w:rPr>
                <w:rFonts w:ascii="Cambria" w:hAnsi="Cambria"/>
                <w:spacing w:val="-1"/>
              </w:rPr>
              <w:t>06</w:t>
            </w:r>
            <w:r>
              <w:rPr>
                <w:rFonts w:ascii="Cambria" w:hAnsi="Cambria"/>
                <w:spacing w:val="-8"/>
              </w:rPr>
              <w:t xml:space="preserve"> </w:t>
            </w:r>
            <w:r>
              <w:rPr>
                <w:rFonts w:ascii="Cambria" w:hAnsi="Cambria"/>
                <w:spacing w:val="-1"/>
              </w:rPr>
              <w:t>agulhas</w:t>
            </w:r>
            <w:r>
              <w:rPr>
                <w:rFonts w:ascii="Cambria" w:hAnsi="Cambria"/>
              </w:rPr>
              <w:t xml:space="preserve"> descartáveis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0970B3C">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D969A3F">
            <w:pPr>
              <w:widowControl w:val="0"/>
              <w:suppressAutoHyphens/>
              <w:spacing w:after="288" w:afterLines="120" w:line="276" w:lineRule="auto"/>
              <w:jc w:val="center"/>
              <w:rPr>
                <w:rFonts w:ascii="Cambria" w:hAnsi="Cambria"/>
              </w:rPr>
            </w:pPr>
            <w:r>
              <w:rPr>
                <w:rFonts w:ascii="Cambria" w:hAnsi="Cambria"/>
              </w:rPr>
              <w:t>60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5A82520">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R$ 1.175,08</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EA51172">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R$ 70.504,80</w:t>
            </w:r>
          </w:p>
        </w:tc>
      </w:tr>
      <w:tr w14:paraId="2FC22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8C830E9">
            <w:pPr>
              <w:widowControl w:val="0"/>
              <w:suppressAutoHyphens/>
              <w:spacing w:after="288" w:afterLines="120" w:line="276" w:lineRule="auto"/>
              <w:ind w:left="-108" w:right="-108"/>
              <w:jc w:val="center"/>
              <w:rPr>
                <w:rFonts w:ascii="Cambria" w:hAnsi="Cambria"/>
              </w:rPr>
            </w:pPr>
            <w:r>
              <w:rPr>
                <w:rFonts w:ascii="Cambria" w:hAnsi="Cambria"/>
              </w:rPr>
              <w:t>21</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3094CC3">
            <w:pPr>
              <w:widowControl w:val="0"/>
              <w:suppressAutoHyphens/>
              <w:spacing w:after="288" w:afterLines="120" w:line="276" w:lineRule="auto"/>
              <w:jc w:val="both"/>
              <w:rPr>
                <w:rFonts w:ascii="Cambria" w:hAnsi="Cambria"/>
              </w:rPr>
            </w:pPr>
            <w:r>
              <w:rPr>
                <w:rFonts w:ascii="Cambria" w:hAnsi="Cambria"/>
              </w:rPr>
              <w:t>Fórmula infantil extensamente</w:t>
            </w:r>
            <w:r>
              <w:rPr>
                <w:rFonts w:ascii="Cambria" w:hAnsi="Cambria"/>
                <w:spacing w:val="1"/>
              </w:rPr>
              <w:t xml:space="preserve"> </w:t>
            </w:r>
            <w:r>
              <w:rPr>
                <w:rFonts w:ascii="Cambria" w:hAnsi="Cambria"/>
                <w:spacing w:val="-1"/>
              </w:rPr>
              <w:t>hidrolisada</w:t>
            </w:r>
            <w:r>
              <w:rPr>
                <w:rFonts w:ascii="Cambria" w:hAnsi="Cambria"/>
                <w:spacing w:val="-9"/>
              </w:rPr>
              <w:t xml:space="preserve"> </w:t>
            </w:r>
            <w:r>
              <w:rPr>
                <w:rFonts w:ascii="Cambria" w:hAnsi="Cambria"/>
                <w:spacing w:val="-1"/>
              </w:rPr>
              <w:t>de</w:t>
            </w:r>
            <w:r>
              <w:rPr>
                <w:rFonts w:ascii="Cambria" w:hAnsi="Cambria"/>
                <w:spacing w:val="-8"/>
              </w:rPr>
              <w:t xml:space="preserve"> </w:t>
            </w:r>
            <w:r>
              <w:rPr>
                <w:rFonts w:ascii="Cambria" w:hAnsi="Cambria"/>
                <w:spacing w:val="-1"/>
              </w:rPr>
              <w:t>arroz</w:t>
            </w:r>
            <w:r>
              <w:rPr>
                <w:rFonts w:ascii="Cambria" w:hAnsi="Cambria"/>
              </w:rPr>
              <w:t xml:space="preserve"> </w:t>
            </w:r>
            <w:r>
              <w:rPr>
                <w:rFonts w:ascii="Cambria" w:hAnsi="Cambria"/>
                <w:spacing w:val="-1"/>
              </w:rPr>
              <w:t>(novamil</w:t>
            </w:r>
            <w:r>
              <w:rPr>
                <w:rFonts w:ascii="Cambria" w:hAnsi="Cambria"/>
                <w:spacing w:val="-6"/>
              </w:rPr>
              <w:t xml:space="preserve"> </w:t>
            </w:r>
            <w:r>
              <w:rPr>
                <w:rFonts w:ascii="Cambria" w:hAnsi="Cambria"/>
              </w:rPr>
              <w:t>rice ou</w:t>
            </w:r>
            <w:r>
              <w:rPr>
                <w:rFonts w:ascii="Cambria" w:hAnsi="Cambria"/>
                <w:spacing w:val="-36"/>
              </w:rPr>
              <w:t xml:space="preserve"> </w:t>
            </w:r>
            <w:r>
              <w:rPr>
                <w:rFonts w:ascii="Cambria" w:hAnsi="Cambria"/>
              </w:rPr>
              <w:t>similar)</w:t>
            </w:r>
            <w:r>
              <w:rPr>
                <w:rFonts w:ascii="Cambria" w:hAnsi="Cambria"/>
                <w:spacing w:val="-1"/>
              </w:rPr>
              <w:t xml:space="preserve"> </w:t>
            </w:r>
            <w:r>
              <w:rPr>
                <w:rFonts w:ascii="Cambria" w:hAnsi="Cambria"/>
              </w:rPr>
              <w:t>lata</w:t>
            </w:r>
            <w:r>
              <w:rPr>
                <w:rFonts w:ascii="Cambria" w:hAnsi="Cambria"/>
                <w:spacing w:val="-8"/>
              </w:rPr>
              <w:t xml:space="preserve"> </w:t>
            </w:r>
            <w:r>
              <w:rPr>
                <w:rFonts w:ascii="Cambria" w:hAnsi="Cambria"/>
              </w:rPr>
              <w:t>de</w:t>
            </w:r>
            <w:r>
              <w:rPr>
                <w:rFonts w:ascii="Cambria" w:hAnsi="Cambria"/>
                <w:spacing w:val="-1"/>
              </w:rPr>
              <w:t xml:space="preserve"> </w:t>
            </w:r>
            <w:r>
              <w:rPr>
                <w:rFonts w:ascii="Cambria" w:hAnsi="Cambria"/>
              </w:rPr>
              <w:t>400g</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6D2A0E5">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97332AD">
            <w:pPr>
              <w:widowControl w:val="0"/>
              <w:suppressAutoHyphens/>
              <w:spacing w:after="288" w:afterLines="120" w:line="276" w:lineRule="auto"/>
              <w:jc w:val="center"/>
              <w:rPr>
                <w:rFonts w:ascii="Cambria" w:hAnsi="Cambria"/>
              </w:rPr>
            </w:pPr>
            <w:r>
              <w:rPr>
                <w:rFonts w:ascii="Cambria" w:hAnsi="Cambria"/>
              </w:rPr>
              <w:t>180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36C0D9C">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R$ 141,53</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352EFB0">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R$ 25.475,40</w:t>
            </w:r>
          </w:p>
        </w:tc>
      </w:tr>
      <w:tr w14:paraId="003E9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E9E1D96">
            <w:pPr>
              <w:widowControl w:val="0"/>
              <w:suppressAutoHyphens/>
              <w:spacing w:after="288" w:afterLines="120" w:line="276" w:lineRule="auto"/>
              <w:ind w:left="-108" w:right="-108"/>
              <w:jc w:val="center"/>
              <w:rPr>
                <w:rFonts w:ascii="Cambria" w:hAnsi="Cambria"/>
              </w:rPr>
            </w:pPr>
            <w:r>
              <w:rPr>
                <w:rFonts w:ascii="Cambria" w:hAnsi="Cambria"/>
              </w:rPr>
              <w:t>22</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2E1D3AA">
            <w:pPr>
              <w:widowControl w:val="0"/>
              <w:suppressAutoHyphens/>
              <w:spacing w:after="288" w:afterLines="120" w:line="276" w:lineRule="auto"/>
              <w:jc w:val="both"/>
              <w:rPr>
                <w:rFonts w:ascii="Cambria" w:hAnsi="Cambria"/>
              </w:rPr>
            </w:pPr>
            <w:r>
              <w:rPr>
                <w:rFonts w:ascii="Cambria" w:hAnsi="Cambria"/>
              </w:rPr>
              <w:t>Aminofilina</w:t>
            </w:r>
            <w:r>
              <w:rPr>
                <w:rFonts w:ascii="Cambria" w:hAnsi="Cambria"/>
                <w:spacing w:val="-8"/>
              </w:rPr>
              <w:t xml:space="preserve"> </w:t>
            </w:r>
            <w:r>
              <w:rPr>
                <w:rFonts w:ascii="Cambria" w:hAnsi="Cambria"/>
              </w:rPr>
              <w:t>injetável</w:t>
            </w:r>
            <w:r>
              <w:rPr>
                <w:rFonts w:ascii="Cambria" w:hAnsi="Cambria"/>
                <w:spacing w:val="-6"/>
              </w:rPr>
              <w:t xml:space="preserve"> </w:t>
            </w:r>
            <w:r>
              <w:rPr>
                <w:rFonts w:ascii="Cambria" w:hAnsi="Cambria"/>
              </w:rPr>
              <w:t>10 ml</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C82083C">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382B9B7">
            <w:pPr>
              <w:widowControl w:val="0"/>
              <w:suppressAutoHyphens/>
              <w:spacing w:after="288" w:afterLines="120" w:line="276" w:lineRule="auto"/>
              <w:jc w:val="center"/>
              <w:rPr>
                <w:rFonts w:ascii="Cambria" w:hAnsi="Cambria"/>
              </w:rPr>
            </w:pPr>
            <w:r>
              <w:rPr>
                <w:rFonts w:ascii="Cambria" w:hAnsi="Cambria"/>
              </w:rPr>
              <w:t>500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91B8C1B">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R$ 5,33</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0DAAD7E">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R$ 2.665,00</w:t>
            </w:r>
          </w:p>
        </w:tc>
      </w:tr>
      <w:tr w14:paraId="5CF87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39441F5">
            <w:pPr>
              <w:widowControl w:val="0"/>
              <w:suppressAutoHyphens/>
              <w:spacing w:after="288" w:afterLines="120" w:line="276" w:lineRule="auto"/>
              <w:ind w:left="-108" w:right="-108"/>
              <w:jc w:val="center"/>
              <w:rPr>
                <w:rFonts w:ascii="Cambria" w:hAnsi="Cambria"/>
              </w:rPr>
            </w:pPr>
            <w:r>
              <w:rPr>
                <w:rFonts w:ascii="Cambria" w:hAnsi="Cambria"/>
              </w:rPr>
              <w:t>23</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9B30B01">
            <w:pPr>
              <w:widowControl w:val="0"/>
              <w:suppressAutoHyphens/>
              <w:spacing w:after="288" w:afterLines="120" w:line="276" w:lineRule="auto"/>
              <w:jc w:val="both"/>
              <w:rPr>
                <w:rFonts w:ascii="Cambria" w:hAnsi="Cambria"/>
              </w:rPr>
            </w:pPr>
            <w:r>
              <w:rPr>
                <w:rFonts w:ascii="Cambria" w:hAnsi="Cambria"/>
              </w:rPr>
              <w:t>Bissulfato de Clopidogrel 75 mg comprimidos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4B9E547">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A9DAC50">
            <w:pPr>
              <w:widowControl w:val="0"/>
              <w:suppressAutoHyphens/>
              <w:spacing w:after="288" w:afterLines="120" w:line="276" w:lineRule="auto"/>
              <w:jc w:val="center"/>
              <w:rPr>
                <w:rFonts w:ascii="Cambria" w:hAnsi="Cambria"/>
              </w:rPr>
            </w:pPr>
            <w:r>
              <w:rPr>
                <w:rFonts w:ascii="Cambria" w:hAnsi="Cambria"/>
              </w:rPr>
              <w:t>3.000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DE83288">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R$ 1,32</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FE77176">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R$ 3.960,00</w:t>
            </w:r>
          </w:p>
        </w:tc>
      </w:tr>
      <w:tr w14:paraId="3351C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F8FF3A5">
            <w:pPr>
              <w:widowControl w:val="0"/>
              <w:suppressAutoHyphens/>
              <w:spacing w:after="288" w:afterLines="120" w:line="276" w:lineRule="auto"/>
              <w:ind w:left="-108" w:right="-108"/>
              <w:jc w:val="center"/>
              <w:rPr>
                <w:rFonts w:ascii="Cambria" w:hAnsi="Cambria"/>
              </w:rPr>
            </w:pPr>
            <w:r>
              <w:rPr>
                <w:rFonts w:ascii="Cambria" w:hAnsi="Cambria"/>
              </w:rPr>
              <w:t>24</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082EB92">
            <w:pPr>
              <w:widowControl w:val="0"/>
              <w:suppressAutoHyphens/>
              <w:spacing w:after="288" w:afterLines="120" w:line="276" w:lineRule="auto"/>
              <w:jc w:val="both"/>
              <w:rPr>
                <w:rFonts w:ascii="Cambria" w:hAnsi="Cambria"/>
              </w:rPr>
            </w:pPr>
            <w:r>
              <w:rPr>
                <w:rFonts w:ascii="Cambria" w:hAnsi="Cambria"/>
              </w:rPr>
              <w:t>Sulfato de gentamicina inj. 40 mg</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993DF6F">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8EF8348">
            <w:pPr>
              <w:widowControl w:val="0"/>
              <w:suppressAutoHyphens/>
              <w:spacing w:after="288" w:afterLines="120" w:line="276" w:lineRule="auto"/>
              <w:jc w:val="center"/>
              <w:rPr>
                <w:rFonts w:ascii="Cambria" w:hAnsi="Cambria"/>
              </w:rPr>
            </w:pPr>
            <w:r>
              <w:rPr>
                <w:rFonts w:ascii="Cambria" w:hAnsi="Cambria"/>
              </w:rPr>
              <w:t>1.000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78C6449">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R$ 2,15</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FEFF332">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R$ 2.150,00</w:t>
            </w:r>
          </w:p>
        </w:tc>
      </w:tr>
      <w:tr w14:paraId="1EE4D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6CC0AD6">
            <w:pPr>
              <w:widowControl w:val="0"/>
              <w:suppressAutoHyphens/>
              <w:spacing w:after="288" w:afterLines="120" w:line="276" w:lineRule="auto"/>
              <w:ind w:left="-108" w:right="-108"/>
              <w:jc w:val="center"/>
              <w:rPr>
                <w:rFonts w:ascii="Cambria" w:hAnsi="Cambria"/>
              </w:rPr>
            </w:pPr>
            <w:r>
              <w:rPr>
                <w:rFonts w:ascii="Cambria" w:hAnsi="Cambria"/>
              </w:rPr>
              <w:t>25</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CC8B299">
            <w:pPr>
              <w:widowControl w:val="0"/>
              <w:suppressAutoHyphens/>
              <w:spacing w:after="288" w:afterLines="120" w:line="276" w:lineRule="auto"/>
              <w:jc w:val="both"/>
              <w:rPr>
                <w:rFonts w:ascii="Cambria" w:hAnsi="Cambria"/>
              </w:rPr>
            </w:pPr>
            <w:r>
              <w:rPr>
                <w:rFonts w:ascii="Cambria" w:hAnsi="Cambria"/>
              </w:rPr>
              <w:t>Besilato de atracúrio 10 mg/ml ampola 5 ml</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A785EE9">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6DE0DD9">
            <w:pPr>
              <w:widowControl w:val="0"/>
              <w:suppressAutoHyphens/>
              <w:spacing w:after="288" w:afterLines="120" w:line="276" w:lineRule="auto"/>
              <w:jc w:val="center"/>
              <w:rPr>
                <w:rFonts w:ascii="Cambria" w:hAnsi="Cambria"/>
              </w:rPr>
            </w:pPr>
            <w:r>
              <w:rPr>
                <w:rFonts w:ascii="Cambria" w:hAnsi="Cambria"/>
              </w:rPr>
              <w:t>300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FC62BC1">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R$ 21,24</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0895093">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R$ 6.372,00</w:t>
            </w:r>
          </w:p>
        </w:tc>
      </w:tr>
      <w:tr w14:paraId="502C7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403CFE5">
            <w:pPr>
              <w:widowControl w:val="0"/>
              <w:suppressAutoHyphens/>
              <w:spacing w:after="288" w:afterLines="120" w:line="276" w:lineRule="auto"/>
              <w:ind w:left="-108" w:right="-108"/>
              <w:jc w:val="center"/>
              <w:rPr>
                <w:rFonts w:ascii="Cambria" w:hAnsi="Cambria"/>
              </w:rPr>
            </w:pPr>
            <w:r>
              <w:rPr>
                <w:rFonts w:ascii="Cambria" w:hAnsi="Cambria"/>
              </w:rPr>
              <w:t>26</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14B6512">
            <w:pPr>
              <w:widowControl w:val="0"/>
              <w:suppressAutoHyphens/>
              <w:spacing w:after="288" w:afterLines="120" w:line="276" w:lineRule="auto"/>
              <w:jc w:val="both"/>
              <w:rPr>
                <w:rFonts w:ascii="Cambria" w:hAnsi="Cambria"/>
              </w:rPr>
            </w:pPr>
            <w:r>
              <w:rPr>
                <w:rFonts w:ascii="Cambria" w:hAnsi="Cambria"/>
                <w:spacing w:val="-1"/>
              </w:rPr>
              <w:t xml:space="preserve">Brometo de pancuronio 2 mg/ml ampola </w:t>
            </w:r>
            <w:r>
              <w:rPr>
                <w:rFonts w:ascii="Cambria" w:hAnsi="Cambria"/>
              </w:rPr>
              <w:t>2</w:t>
            </w:r>
            <w:r>
              <w:rPr>
                <w:rFonts w:ascii="Cambria" w:hAnsi="Cambria"/>
                <w:spacing w:val="-36"/>
              </w:rPr>
              <w:t xml:space="preserve"> </w:t>
            </w:r>
            <w:r>
              <w:rPr>
                <w:rFonts w:ascii="Cambria" w:hAnsi="Cambria"/>
              </w:rPr>
              <w:t>ml</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4715E6C">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C402AE1">
            <w:pPr>
              <w:widowControl w:val="0"/>
              <w:suppressAutoHyphens/>
              <w:spacing w:after="288" w:afterLines="120" w:line="276" w:lineRule="auto"/>
              <w:jc w:val="center"/>
              <w:rPr>
                <w:rFonts w:ascii="Cambria" w:hAnsi="Cambria"/>
              </w:rPr>
            </w:pPr>
            <w:r>
              <w:rPr>
                <w:rFonts w:ascii="Cambria" w:hAnsi="Cambria"/>
              </w:rPr>
              <w:t>300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4B9C4D1">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R$ 7,62</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5C05FEA">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R$ 2.286,00</w:t>
            </w:r>
          </w:p>
        </w:tc>
      </w:tr>
      <w:tr w14:paraId="56E65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C139CB1">
            <w:pPr>
              <w:widowControl w:val="0"/>
              <w:suppressAutoHyphens/>
              <w:spacing w:after="288" w:afterLines="120" w:line="276" w:lineRule="auto"/>
              <w:ind w:left="-108" w:right="-108"/>
              <w:jc w:val="center"/>
              <w:rPr>
                <w:rFonts w:ascii="Cambria" w:hAnsi="Cambria"/>
              </w:rPr>
            </w:pPr>
            <w:r>
              <w:rPr>
                <w:rFonts w:ascii="Cambria" w:hAnsi="Cambria"/>
              </w:rPr>
              <w:t>27</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76F1E6B">
            <w:pPr>
              <w:widowControl w:val="0"/>
              <w:suppressAutoHyphens/>
              <w:spacing w:after="288" w:afterLines="120" w:line="276" w:lineRule="auto"/>
              <w:jc w:val="both"/>
              <w:rPr>
                <w:rFonts w:ascii="Cambria" w:hAnsi="Cambria"/>
                <w:spacing w:val="-1"/>
              </w:rPr>
            </w:pPr>
            <w:r>
              <w:rPr>
                <w:rFonts w:ascii="Cambria" w:hAnsi="Cambria"/>
              </w:rPr>
              <w:t>Lidocaína spray 10% 50 ml</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CEEF331">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5F4969C">
            <w:pPr>
              <w:widowControl w:val="0"/>
              <w:suppressAutoHyphens/>
              <w:spacing w:after="288" w:afterLines="120" w:line="276" w:lineRule="auto"/>
              <w:jc w:val="center"/>
              <w:rPr>
                <w:rFonts w:ascii="Cambria" w:hAnsi="Cambria"/>
              </w:rPr>
            </w:pPr>
            <w:r>
              <w:rPr>
                <w:rFonts w:ascii="Cambria" w:hAnsi="Cambria"/>
              </w:rPr>
              <w:t>20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342C998">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R$ 56,23</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43CADD9">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R$ 1.124,60</w:t>
            </w:r>
          </w:p>
        </w:tc>
      </w:tr>
      <w:tr w14:paraId="5DBAA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A2E4A39">
            <w:pPr>
              <w:widowControl w:val="0"/>
              <w:suppressAutoHyphens/>
              <w:spacing w:after="288" w:afterLines="120" w:line="276" w:lineRule="auto"/>
              <w:ind w:left="-108" w:right="-108"/>
              <w:jc w:val="center"/>
              <w:rPr>
                <w:rFonts w:ascii="Cambria" w:hAnsi="Cambria"/>
              </w:rPr>
            </w:pPr>
            <w:r>
              <w:rPr>
                <w:rFonts w:ascii="Cambria" w:hAnsi="Cambria"/>
              </w:rPr>
              <w:t>28</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CE2510A">
            <w:pPr>
              <w:widowControl w:val="0"/>
              <w:suppressAutoHyphens/>
              <w:spacing w:after="288" w:afterLines="120" w:line="276" w:lineRule="auto"/>
              <w:jc w:val="both"/>
              <w:rPr>
                <w:rFonts w:ascii="Cambria" w:hAnsi="Cambria"/>
              </w:rPr>
            </w:pPr>
            <w:r>
              <w:rPr>
                <w:rFonts w:ascii="Cambria" w:hAnsi="Cambria"/>
              </w:rPr>
              <w:t>Isoflurano frasco 100 ml</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14BA86D">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E89357D">
            <w:pPr>
              <w:widowControl w:val="0"/>
              <w:suppressAutoHyphens/>
              <w:spacing w:after="288" w:afterLines="120" w:line="276" w:lineRule="auto"/>
              <w:jc w:val="center"/>
              <w:rPr>
                <w:rFonts w:ascii="Cambria" w:hAnsi="Cambria"/>
              </w:rPr>
            </w:pPr>
            <w:r>
              <w:rPr>
                <w:rFonts w:ascii="Cambria" w:hAnsi="Cambria"/>
              </w:rPr>
              <w:t>100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0D5D8B9">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R$ 246,19</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6E802A8">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R$ 24.619,00</w:t>
            </w:r>
          </w:p>
        </w:tc>
      </w:tr>
      <w:tr w14:paraId="192B2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4450C7F">
            <w:pPr>
              <w:widowControl w:val="0"/>
              <w:suppressAutoHyphens/>
              <w:spacing w:after="288" w:afterLines="120" w:line="276" w:lineRule="auto"/>
              <w:ind w:left="-108" w:right="-108"/>
              <w:jc w:val="center"/>
              <w:rPr>
                <w:rFonts w:ascii="Cambria" w:hAnsi="Cambria"/>
              </w:rPr>
            </w:pPr>
            <w:r>
              <w:rPr>
                <w:rFonts w:ascii="Cambria" w:hAnsi="Cambria"/>
              </w:rPr>
              <w:t>29</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7FD2E05">
            <w:pPr>
              <w:widowControl w:val="0"/>
              <w:suppressAutoHyphens/>
              <w:spacing w:after="288" w:afterLines="120" w:line="276" w:lineRule="auto"/>
              <w:jc w:val="both"/>
              <w:rPr>
                <w:rFonts w:ascii="Cambria" w:hAnsi="Cambria"/>
              </w:rPr>
            </w:pPr>
            <w:r>
              <w:rPr>
                <w:rFonts w:ascii="Cambria" w:hAnsi="Cambria"/>
              </w:rPr>
              <w:t>Betaístina dicloridrato 8 mg comprimido</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6DB2D0B">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15BAD73">
            <w:pPr>
              <w:widowControl w:val="0"/>
              <w:suppressAutoHyphens/>
              <w:spacing w:after="288" w:afterLines="120" w:line="276" w:lineRule="auto"/>
              <w:jc w:val="center"/>
              <w:rPr>
                <w:rFonts w:ascii="Cambria" w:hAnsi="Cambria"/>
              </w:rPr>
            </w:pPr>
            <w:r>
              <w:rPr>
                <w:rFonts w:ascii="Cambria" w:hAnsi="Cambria"/>
              </w:rPr>
              <w:t>1.500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51A064B">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R$ 0,62</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2704C48">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R$ 930,00</w:t>
            </w:r>
          </w:p>
        </w:tc>
      </w:tr>
      <w:tr w14:paraId="511BB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D2D83CF">
            <w:pPr>
              <w:widowControl w:val="0"/>
              <w:suppressAutoHyphens/>
              <w:spacing w:after="288" w:afterLines="120" w:line="276" w:lineRule="auto"/>
              <w:ind w:left="-108" w:right="-108"/>
              <w:jc w:val="center"/>
              <w:rPr>
                <w:rFonts w:ascii="Cambria" w:hAnsi="Cambria"/>
              </w:rPr>
            </w:pPr>
            <w:r>
              <w:rPr>
                <w:rFonts w:ascii="Cambria" w:hAnsi="Cambria"/>
              </w:rPr>
              <w:t>30</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626894B">
            <w:pPr>
              <w:widowControl w:val="0"/>
              <w:suppressAutoHyphens/>
              <w:spacing w:after="288" w:afterLines="120" w:line="276" w:lineRule="auto"/>
              <w:jc w:val="both"/>
              <w:rPr>
                <w:rFonts w:ascii="Cambria" w:hAnsi="Cambria"/>
              </w:rPr>
            </w:pPr>
            <w:r>
              <w:rPr>
                <w:rFonts w:ascii="Cambria" w:hAnsi="Cambria"/>
                <w:w w:val="95"/>
              </w:rPr>
              <w:t>Furosemida</w:t>
            </w:r>
            <w:r>
              <w:rPr>
                <w:rFonts w:ascii="Cambria" w:hAnsi="Cambria"/>
                <w:spacing w:val="23"/>
                <w:w w:val="95"/>
              </w:rPr>
              <w:t xml:space="preserve"> </w:t>
            </w:r>
            <w:r>
              <w:rPr>
                <w:rFonts w:ascii="Cambria" w:hAnsi="Cambria"/>
                <w:w w:val="95"/>
              </w:rPr>
              <w:t>injetável</w:t>
            </w:r>
            <w:r>
              <w:rPr>
                <w:rFonts w:ascii="Cambria" w:hAnsi="Cambria"/>
                <w:spacing w:val="26"/>
                <w:w w:val="95"/>
              </w:rPr>
              <w:t xml:space="preserve"> </w:t>
            </w:r>
            <w:r>
              <w:rPr>
                <w:rFonts w:ascii="Cambria" w:hAnsi="Cambria"/>
                <w:w w:val="95"/>
              </w:rPr>
              <w:t>10mg/ml</w:t>
            </w:r>
            <w:r>
              <w:rPr>
                <w:rFonts w:ascii="Cambria" w:hAnsi="Cambria"/>
                <w:spacing w:val="14"/>
                <w:w w:val="95"/>
              </w:rPr>
              <w:t xml:space="preserve"> </w:t>
            </w:r>
            <w:r>
              <w:rPr>
                <w:rFonts w:ascii="Cambria" w:hAnsi="Cambria"/>
                <w:w w:val="95"/>
              </w:rPr>
              <w:t>ampola</w:t>
            </w:r>
            <w:r>
              <w:rPr>
                <w:rFonts w:ascii="Cambria" w:hAnsi="Cambria"/>
                <w:spacing w:val="23"/>
                <w:w w:val="95"/>
              </w:rPr>
              <w:t xml:space="preserve"> </w:t>
            </w:r>
            <w:r>
              <w:rPr>
                <w:rFonts w:ascii="Cambria" w:hAnsi="Cambria"/>
                <w:w w:val="95"/>
              </w:rPr>
              <w:t>2ml</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F6DEE12">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752EAA0">
            <w:pPr>
              <w:widowControl w:val="0"/>
              <w:suppressAutoHyphens/>
              <w:spacing w:after="288" w:afterLines="120" w:line="276" w:lineRule="auto"/>
              <w:jc w:val="center"/>
              <w:rPr>
                <w:rFonts w:ascii="Cambria" w:hAnsi="Cambria"/>
              </w:rPr>
            </w:pPr>
            <w:r>
              <w:rPr>
                <w:rFonts w:ascii="Cambria" w:hAnsi="Cambria"/>
              </w:rPr>
              <w:t>15.000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2FFDDE9">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R$ 1,21</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CF0E8B1">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R$ 18.150,00</w:t>
            </w:r>
          </w:p>
        </w:tc>
      </w:tr>
      <w:tr w14:paraId="44A01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0E7C64A">
            <w:pPr>
              <w:widowControl w:val="0"/>
              <w:suppressAutoHyphens/>
              <w:spacing w:after="288" w:afterLines="120" w:line="276" w:lineRule="auto"/>
              <w:ind w:left="-108" w:right="-108"/>
              <w:jc w:val="center"/>
              <w:rPr>
                <w:rFonts w:ascii="Cambria" w:hAnsi="Cambria"/>
              </w:rPr>
            </w:pPr>
            <w:r>
              <w:rPr>
                <w:rFonts w:ascii="Cambria" w:hAnsi="Cambria"/>
              </w:rPr>
              <w:t>31</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6AEFB0C">
            <w:pPr>
              <w:widowControl w:val="0"/>
              <w:suppressAutoHyphens/>
              <w:spacing w:after="288" w:afterLines="120" w:line="276" w:lineRule="auto"/>
              <w:jc w:val="both"/>
              <w:rPr>
                <w:rFonts w:ascii="Cambria" w:hAnsi="Cambria"/>
                <w:w w:val="95"/>
              </w:rPr>
            </w:pPr>
            <w:r>
              <w:rPr>
                <w:rFonts w:ascii="Cambria" w:hAnsi="Cambria"/>
              </w:rPr>
              <w:t>Ocitocina</w:t>
            </w:r>
            <w:r>
              <w:rPr>
                <w:rFonts w:ascii="Cambria" w:hAnsi="Cambria"/>
                <w:spacing w:val="-9"/>
              </w:rPr>
              <w:t xml:space="preserve"> </w:t>
            </w:r>
            <w:r>
              <w:rPr>
                <w:rFonts w:ascii="Cambria" w:hAnsi="Cambria"/>
              </w:rPr>
              <w:t>5</w:t>
            </w:r>
            <w:r>
              <w:rPr>
                <w:rFonts w:ascii="Cambria" w:hAnsi="Cambria"/>
                <w:spacing w:val="-1"/>
              </w:rPr>
              <w:t xml:space="preserve"> </w:t>
            </w:r>
            <w:r>
              <w:rPr>
                <w:rFonts w:ascii="Cambria" w:hAnsi="Cambria"/>
              </w:rPr>
              <w:t>ui/ml</w:t>
            </w:r>
            <w:r>
              <w:rPr>
                <w:rFonts w:ascii="Cambria" w:hAnsi="Cambria"/>
                <w:spacing w:val="-7"/>
              </w:rPr>
              <w:t xml:space="preserve"> </w:t>
            </w:r>
            <w:r>
              <w:rPr>
                <w:rFonts w:ascii="Cambria" w:hAnsi="Cambria"/>
              </w:rPr>
              <w:t>injetável</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1E1C013">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C923BAB">
            <w:pPr>
              <w:widowControl w:val="0"/>
              <w:suppressAutoHyphens/>
              <w:spacing w:after="288" w:afterLines="120" w:line="276" w:lineRule="auto"/>
              <w:jc w:val="center"/>
              <w:rPr>
                <w:rFonts w:ascii="Cambria" w:hAnsi="Cambria"/>
              </w:rPr>
            </w:pPr>
            <w:r>
              <w:rPr>
                <w:rFonts w:ascii="Cambria" w:hAnsi="Cambria"/>
              </w:rPr>
              <w:t>1.000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107F3C1">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R$ 4,98</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91EFB6B">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R$ 4.980,00</w:t>
            </w:r>
          </w:p>
        </w:tc>
      </w:tr>
      <w:tr w14:paraId="14D37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458EF44">
            <w:pPr>
              <w:widowControl w:val="0"/>
              <w:suppressAutoHyphens/>
              <w:spacing w:after="288" w:afterLines="120" w:line="276" w:lineRule="auto"/>
              <w:ind w:left="-108" w:right="-108"/>
              <w:jc w:val="center"/>
              <w:rPr>
                <w:rFonts w:ascii="Cambria" w:hAnsi="Cambria"/>
              </w:rPr>
            </w:pPr>
            <w:r>
              <w:rPr>
                <w:rFonts w:ascii="Cambria" w:hAnsi="Cambria"/>
              </w:rPr>
              <w:t>32</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2DFDBDC">
            <w:pPr>
              <w:widowControl w:val="0"/>
              <w:suppressAutoHyphens/>
              <w:spacing w:after="288" w:afterLines="120" w:line="276" w:lineRule="auto"/>
              <w:jc w:val="both"/>
              <w:rPr>
                <w:rFonts w:ascii="Cambria" w:hAnsi="Cambria"/>
              </w:rPr>
            </w:pPr>
            <w:r>
              <w:rPr>
                <w:rFonts w:ascii="Cambria" w:hAnsi="Cambria"/>
                <w:spacing w:val="-1"/>
              </w:rPr>
              <w:t>Formula</w:t>
            </w:r>
            <w:r>
              <w:rPr>
                <w:rFonts w:ascii="Cambria" w:hAnsi="Cambria"/>
                <w:spacing w:val="-9"/>
              </w:rPr>
              <w:t xml:space="preserve"> </w:t>
            </w:r>
            <w:r>
              <w:rPr>
                <w:rFonts w:ascii="Cambria" w:hAnsi="Cambria"/>
                <w:spacing w:val="-1"/>
              </w:rPr>
              <w:t>pregomin plus</w:t>
            </w:r>
            <w:r>
              <w:rPr>
                <w:rFonts w:ascii="Cambria" w:hAnsi="Cambria"/>
              </w:rPr>
              <w:t xml:space="preserve"> lata</w:t>
            </w:r>
            <w:r>
              <w:rPr>
                <w:rFonts w:ascii="Cambria" w:hAnsi="Cambria"/>
                <w:spacing w:val="-9"/>
              </w:rPr>
              <w:t xml:space="preserve"> </w:t>
            </w:r>
            <w:r>
              <w:rPr>
                <w:rFonts w:ascii="Cambria" w:hAnsi="Cambria"/>
              </w:rPr>
              <w:t>400gramas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102421F">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EAF3F68">
            <w:pPr>
              <w:widowControl w:val="0"/>
              <w:suppressAutoHyphens/>
              <w:spacing w:after="288" w:afterLines="120" w:line="276" w:lineRule="auto"/>
              <w:jc w:val="center"/>
              <w:rPr>
                <w:rFonts w:ascii="Cambria" w:hAnsi="Cambria"/>
              </w:rPr>
            </w:pPr>
            <w:r>
              <w:rPr>
                <w:rFonts w:ascii="Cambria" w:hAnsi="Cambria"/>
              </w:rPr>
              <w:t>80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4204FB3">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R$ 144,56</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69E5FF1">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R$ 11.564,80</w:t>
            </w:r>
          </w:p>
        </w:tc>
      </w:tr>
      <w:tr w14:paraId="512FA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E08F05D">
            <w:pPr>
              <w:widowControl w:val="0"/>
              <w:suppressAutoHyphens/>
              <w:spacing w:after="288" w:afterLines="120" w:line="276" w:lineRule="auto"/>
              <w:ind w:left="-108" w:right="-108"/>
              <w:jc w:val="center"/>
              <w:rPr>
                <w:rFonts w:ascii="Cambria" w:hAnsi="Cambria"/>
              </w:rPr>
            </w:pPr>
            <w:r>
              <w:rPr>
                <w:rFonts w:ascii="Cambria" w:hAnsi="Cambria"/>
              </w:rPr>
              <w:t>33</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7FA0503">
            <w:pPr>
              <w:widowControl w:val="0"/>
              <w:suppressAutoHyphens/>
              <w:spacing w:after="288" w:afterLines="120" w:line="276" w:lineRule="auto"/>
              <w:jc w:val="both"/>
              <w:rPr>
                <w:rFonts w:ascii="Cambria" w:hAnsi="Cambria"/>
                <w:spacing w:val="-1"/>
              </w:rPr>
            </w:pPr>
            <w:r>
              <w:rPr>
                <w:rFonts w:ascii="Cambria" w:hAnsi="Cambria"/>
                <w:spacing w:val="-1"/>
              </w:rPr>
              <w:t xml:space="preserve">Coletor fecal com formalina </w:t>
            </w:r>
            <w:r>
              <w:rPr>
                <w:rFonts w:ascii="Cambria" w:hAnsi="Cambria"/>
              </w:rPr>
              <w:t>5% - para</w:t>
            </w:r>
            <w:r>
              <w:rPr>
                <w:rFonts w:ascii="Cambria" w:hAnsi="Cambria"/>
                <w:spacing w:val="-36"/>
              </w:rPr>
              <w:t xml:space="preserve"> </w:t>
            </w:r>
            <w:r>
              <w:rPr>
                <w:rFonts w:ascii="Cambria" w:hAnsi="Cambria"/>
                <w:spacing w:val="-1"/>
              </w:rPr>
              <w:t xml:space="preserve">amostra de fezes com tampa </w:t>
            </w:r>
            <w:r>
              <w:rPr>
                <w:rFonts w:ascii="Cambria" w:hAnsi="Cambria"/>
              </w:rPr>
              <w:t>afunilada</w:t>
            </w:r>
            <w:r>
              <w:rPr>
                <w:rFonts w:ascii="Cambria" w:hAnsi="Cambria"/>
                <w:spacing w:val="-36"/>
              </w:rPr>
              <w:t xml:space="preserve"> </w:t>
            </w:r>
            <w:r>
              <w:rPr>
                <w:rFonts w:ascii="Cambria" w:hAnsi="Cambria"/>
              </w:rPr>
              <w:t>caixa com 200 unidades – referência:</w:t>
            </w:r>
            <w:r>
              <w:rPr>
                <w:rFonts w:ascii="Cambria" w:hAnsi="Cambria"/>
                <w:spacing w:val="1"/>
              </w:rPr>
              <w:t xml:space="preserve"> </w:t>
            </w:r>
            <w:r>
              <w:rPr>
                <w:rFonts w:ascii="Cambria" w:hAnsi="Cambria"/>
              </w:rPr>
              <w:t>coproplus, paratest, parasitest ou</w:t>
            </w:r>
            <w:r>
              <w:rPr>
                <w:rFonts w:ascii="Cambria" w:hAnsi="Cambria"/>
                <w:spacing w:val="1"/>
              </w:rPr>
              <w:t xml:space="preserve"> </w:t>
            </w:r>
            <w:r>
              <w:rPr>
                <w:rFonts w:ascii="Cambria" w:hAnsi="Cambria"/>
              </w:rPr>
              <w:t>melhor qualidade</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D9F2D24">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E938B07">
            <w:pPr>
              <w:widowControl w:val="0"/>
              <w:suppressAutoHyphens/>
              <w:spacing w:after="288" w:afterLines="120" w:line="276" w:lineRule="auto"/>
              <w:jc w:val="center"/>
              <w:rPr>
                <w:rFonts w:ascii="Cambria" w:hAnsi="Cambria"/>
              </w:rPr>
            </w:pPr>
            <w:r>
              <w:rPr>
                <w:rFonts w:ascii="Cambria" w:hAnsi="Cambria"/>
              </w:rPr>
              <w:t>12</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D497A4A">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R$ 76,62</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6E52E57">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R$ 919,44</w:t>
            </w:r>
          </w:p>
        </w:tc>
      </w:tr>
      <w:tr w14:paraId="288FA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B180EB3">
            <w:pPr>
              <w:widowControl w:val="0"/>
              <w:suppressAutoHyphens/>
              <w:spacing w:after="288" w:afterLines="120" w:line="276" w:lineRule="auto"/>
              <w:ind w:left="-108" w:right="-108"/>
              <w:jc w:val="center"/>
              <w:rPr>
                <w:rFonts w:ascii="Cambria" w:hAnsi="Cambria"/>
              </w:rPr>
            </w:pPr>
            <w:r>
              <w:rPr>
                <w:rFonts w:ascii="Cambria" w:hAnsi="Cambria"/>
              </w:rPr>
              <w:t>34</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4F8B407">
            <w:pPr>
              <w:widowControl w:val="0"/>
              <w:suppressAutoHyphens/>
              <w:spacing w:after="288" w:afterLines="120" w:line="276" w:lineRule="auto"/>
              <w:jc w:val="both"/>
              <w:rPr>
                <w:rFonts w:ascii="Cambria" w:hAnsi="Cambria"/>
                <w:spacing w:val="-1"/>
              </w:rPr>
            </w:pPr>
            <w:r>
              <w:rPr>
                <w:rFonts w:ascii="Cambria" w:hAnsi="Cambria"/>
                <w:spacing w:val="-1"/>
              </w:rPr>
              <w:t>Sangue</w:t>
            </w:r>
            <w:r>
              <w:rPr>
                <w:rFonts w:ascii="Cambria" w:hAnsi="Cambria"/>
                <w:spacing w:val="-5"/>
              </w:rPr>
              <w:t xml:space="preserve"> </w:t>
            </w:r>
            <w:r>
              <w:rPr>
                <w:rFonts w:ascii="Cambria" w:hAnsi="Cambria"/>
                <w:spacing w:val="-1"/>
              </w:rPr>
              <w:t>total</w:t>
            </w:r>
            <w:r>
              <w:rPr>
                <w:rFonts w:ascii="Cambria" w:hAnsi="Cambria"/>
                <w:spacing w:val="-8"/>
              </w:rPr>
              <w:t xml:space="preserve"> </w:t>
            </w:r>
            <w:r>
              <w:rPr>
                <w:rFonts w:ascii="Cambria" w:hAnsi="Cambria"/>
                <w:spacing w:val="-1"/>
              </w:rPr>
              <w:t>de</w:t>
            </w:r>
            <w:r>
              <w:rPr>
                <w:rFonts w:ascii="Cambria" w:hAnsi="Cambria"/>
                <w:spacing w:val="-2"/>
              </w:rPr>
              <w:t xml:space="preserve"> </w:t>
            </w:r>
            <w:r>
              <w:rPr>
                <w:rFonts w:ascii="Cambria" w:hAnsi="Cambria"/>
                <w:spacing w:val="-1"/>
              </w:rPr>
              <w:t xml:space="preserve">controle </w:t>
            </w:r>
            <w:r>
              <w:rPr>
                <w:rFonts w:ascii="Cambria" w:hAnsi="Cambria"/>
              </w:rPr>
              <w:t>hematológico – 3 parâmetros – referência: mindray,</w:t>
            </w:r>
            <w:r>
              <w:rPr>
                <w:rFonts w:ascii="Cambria" w:hAnsi="Cambria"/>
                <w:spacing w:val="1"/>
              </w:rPr>
              <w:t xml:space="preserve"> </w:t>
            </w:r>
            <w:r>
              <w:rPr>
                <w:rFonts w:ascii="Cambria" w:hAnsi="Cambria"/>
              </w:rPr>
              <w:t>control</w:t>
            </w:r>
            <w:r>
              <w:rPr>
                <w:rFonts w:ascii="Cambria" w:hAnsi="Cambria"/>
                <w:spacing w:val="-9"/>
              </w:rPr>
              <w:t xml:space="preserve"> </w:t>
            </w:r>
            <w:r>
              <w:rPr>
                <w:rFonts w:ascii="Cambria" w:hAnsi="Cambria"/>
              </w:rPr>
              <w:t>lab,</w:t>
            </w:r>
            <w:r>
              <w:rPr>
                <w:rFonts w:ascii="Cambria" w:hAnsi="Cambria"/>
                <w:spacing w:val="-4"/>
              </w:rPr>
              <w:t xml:space="preserve"> </w:t>
            </w:r>
            <w:r>
              <w:rPr>
                <w:rFonts w:ascii="Cambria" w:hAnsi="Cambria"/>
              </w:rPr>
              <w:t>ebram</w:t>
            </w:r>
            <w:r>
              <w:rPr>
                <w:rFonts w:ascii="Cambria" w:hAnsi="Cambria"/>
                <w:spacing w:val="-3"/>
              </w:rPr>
              <w:t xml:space="preserve"> </w:t>
            </w:r>
            <w:r>
              <w:rPr>
                <w:rFonts w:ascii="Cambria" w:hAnsi="Cambria"/>
              </w:rPr>
              <w:t>ou</w:t>
            </w:r>
            <w:r>
              <w:rPr>
                <w:rFonts w:ascii="Cambria" w:hAnsi="Cambria"/>
                <w:spacing w:val="-3"/>
              </w:rPr>
              <w:t xml:space="preserve"> </w:t>
            </w:r>
            <w:r>
              <w:rPr>
                <w:rFonts w:ascii="Cambria" w:hAnsi="Cambria"/>
              </w:rPr>
              <w:t>melhor</w:t>
            </w:r>
            <w:r>
              <w:rPr>
                <w:rFonts w:ascii="Cambria" w:hAnsi="Cambria"/>
                <w:spacing w:val="-4"/>
              </w:rPr>
              <w:t xml:space="preserve"> </w:t>
            </w:r>
            <w:r>
              <w:rPr>
                <w:rFonts w:ascii="Cambria" w:hAnsi="Cambria"/>
              </w:rPr>
              <w:t>qualidade</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41F69EE">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42F8CD4">
            <w:pPr>
              <w:widowControl w:val="0"/>
              <w:suppressAutoHyphens/>
              <w:spacing w:after="288" w:afterLines="120" w:line="276" w:lineRule="auto"/>
              <w:jc w:val="center"/>
              <w:rPr>
                <w:rFonts w:ascii="Cambria" w:hAnsi="Cambria"/>
              </w:rPr>
            </w:pPr>
            <w:r>
              <w:rPr>
                <w:rFonts w:ascii="Cambria" w:hAnsi="Cambria"/>
              </w:rPr>
              <w:t>15</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F3A71C9">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R$ 2.490,33</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02C24E1">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R$ 37.354,95</w:t>
            </w:r>
          </w:p>
        </w:tc>
      </w:tr>
      <w:tr w14:paraId="1A81E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E16A9F1">
            <w:pPr>
              <w:widowControl w:val="0"/>
              <w:suppressAutoHyphens/>
              <w:spacing w:after="288" w:afterLines="120" w:line="276" w:lineRule="auto"/>
              <w:ind w:left="-108" w:right="-108"/>
              <w:jc w:val="center"/>
              <w:rPr>
                <w:rFonts w:ascii="Cambria" w:hAnsi="Cambria"/>
              </w:rPr>
            </w:pPr>
            <w:r>
              <w:rPr>
                <w:rFonts w:ascii="Cambria" w:hAnsi="Cambria"/>
              </w:rPr>
              <w:t>35</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68271E5">
            <w:pPr>
              <w:widowControl w:val="0"/>
              <w:suppressAutoHyphens/>
              <w:spacing w:after="288" w:afterLines="120" w:line="276" w:lineRule="auto"/>
              <w:jc w:val="both"/>
              <w:rPr>
                <w:rFonts w:ascii="Cambria" w:hAnsi="Cambria"/>
                <w:spacing w:val="-1"/>
              </w:rPr>
            </w:pPr>
            <w:r>
              <w:rPr>
                <w:rFonts w:ascii="Cambria" w:hAnsi="Cambria"/>
              </w:rPr>
              <w:t>Colesterol hdl direto- capacidade de</w:t>
            </w:r>
            <w:r>
              <w:rPr>
                <w:rFonts w:ascii="Cambria" w:hAnsi="Cambria"/>
                <w:spacing w:val="1"/>
              </w:rPr>
              <w:t xml:space="preserve"> </w:t>
            </w:r>
            <w:r>
              <w:rPr>
                <w:rFonts w:ascii="Cambria" w:hAnsi="Cambria"/>
                <w:spacing w:val="-1"/>
              </w:rPr>
              <w:t>80ml</w:t>
            </w:r>
            <w:r>
              <w:rPr>
                <w:rFonts w:ascii="Cambria" w:hAnsi="Cambria"/>
                <w:spacing w:val="-7"/>
              </w:rPr>
              <w:t xml:space="preserve"> </w:t>
            </w:r>
            <w:r>
              <w:rPr>
                <w:rFonts w:ascii="Cambria" w:hAnsi="Cambria"/>
                <w:spacing w:val="-1"/>
              </w:rPr>
              <w:t>-</w:t>
            </w:r>
            <w:r>
              <w:rPr>
                <w:rFonts w:ascii="Cambria" w:hAnsi="Cambria"/>
              </w:rPr>
              <w:t xml:space="preserve"> </w:t>
            </w:r>
            <w:r>
              <w:rPr>
                <w:rFonts w:ascii="Cambria" w:hAnsi="Cambria"/>
                <w:spacing w:val="-1"/>
              </w:rPr>
              <w:t>para</w:t>
            </w:r>
            <w:r>
              <w:rPr>
                <w:rFonts w:ascii="Cambria" w:hAnsi="Cambria"/>
                <w:spacing w:val="-8"/>
              </w:rPr>
              <w:t xml:space="preserve"> </w:t>
            </w:r>
            <w:r>
              <w:rPr>
                <w:rFonts w:ascii="Cambria" w:hAnsi="Cambria"/>
                <w:spacing w:val="-1"/>
              </w:rPr>
              <w:t>realização</w:t>
            </w:r>
            <w:r>
              <w:rPr>
                <w:rFonts w:ascii="Cambria" w:hAnsi="Cambria"/>
              </w:rPr>
              <w:t xml:space="preserve"> </w:t>
            </w:r>
            <w:r>
              <w:rPr>
                <w:rFonts w:ascii="Cambria" w:hAnsi="Cambria"/>
                <w:spacing w:val="-1"/>
              </w:rPr>
              <w:t>mínima</w:t>
            </w:r>
            <w:r>
              <w:rPr>
                <w:rFonts w:ascii="Cambria" w:hAnsi="Cambria"/>
                <w:spacing w:val="-8"/>
              </w:rPr>
              <w:t xml:space="preserve"> </w:t>
            </w:r>
            <w:r>
              <w:rPr>
                <w:rFonts w:ascii="Cambria" w:hAnsi="Cambria"/>
              </w:rPr>
              <w:t>de 25</w:t>
            </w:r>
            <w:r>
              <w:rPr>
                <w:rFonts w:ascii="Cambria" w:hAnsi="Cambria"/>
                <w:spacing w:val="-3"/>
              </w:rPr>
              <w:t xml:space="preserve"> </w:t>
            </w:r>
            <w:r>
              <w:rPr>
                <w:rFonts w:ascii="Cambria" w:hAnsi="Cambria"/>
              </w:rPr>
              <w:t>testes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55834E1">
            <w:pPr>
              <w:widowControl w:val="0"/>
              <w:suppressAutoHyphens/>
              <w:spacing w:after="288" w:afterLines="120" w:line="276" w:lineRule="auto"/>
              <w:ind w:left="-108" w:right="-108"/>
              <w:jc w:val="center"/>
              <w:rPr>
                <w:rFonts w:ascii="Cambria" w:hAnsi="Cambria"/>
              </w:rPr>
            </w:pPr>
            <w:r>
              <w:rPr>
                <w:rFonts w:ascii="Cambria" w:hAnsi="Cambria"/>
              </w:rPr>
              <w:t>Kit</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3F1A202">
            <w:pPr>
              <w:widowControl w:val="0"/>
              <w:suppressAutoHyphens/>
              <w:spacing w:after="288" w:afterLines="120" w:line="276" w:lineRule="auto"/>
              <w:jc w:val="center"/>
              <w:rPr>
                <w:rFonts w:ascii="Cambria" w:hAnsi="Cambria"/>
              </w:rPr>
            </w:pPr>
            <w:r>
              <w:rPr>
                <w:rFonts w:ascii="Cambria" w:hAnsi="Cambria"/>
              </w:rPr>
              <w:t>13</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7E113BE">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R$ 965,47</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0BF6B3E">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R$ 12.551,11</w:t>
            </w:r>
          </w:p>
        </w:tc>
      </w:tr>
      <w:tr w14:paraId="3D9F9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75251F1">
            <w:pPr>
              <w:widowControl w:val="0"/>
              <w:suppressAutoHyphens/>
              <w:spacing w:after="288" w:afterLines="120" w:line="276" w:lineRule="auto"/>
              <w:ind w:left="-108" w:right="-108"/>
              <w:jc w:val="center"/>
              <w:rPr>
                <w:rFonts w:ascii="Cambria" w:hAnsi="Cambria"/>
              </w:rPr>
            </w:pPr>
            <w:r>
              <w:rPr>
                <w:rFonts w:ascii="Cambria" w:hAnsi="Cambria"/>
              </w:rPr>
              <w:t>36</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C1E5F99">
            <w:pPr>
              <w:widowControl w:val="0"/>
              <w:suppressAutoHyphens/>
              <w:spacing w:after="288" w:afterLines="120" w:line="276" w:lineRule="auto"/>
              <w:jc w:val="both"/>
              <w:rPr>
                <w:rFonts w:ascii="Cambria" w:hAnsi="Cambria"/>
              </w:rPr>
            </w:pPr>
            <w:r>
              <w:rPr>
                <w:rFonts w:ascii="Cambria" w:hAnsi="Cambria"/>
                <w:spacing w:val="-2"/>
              </w:rPr>
              <w:t xml:space="preserve">Caixa de </w:t>
            </w:r>
            <w:r>
              <w:rPr>
                <w:rFonts w:ascii="Cambria" w:hAnsi="Cambria"/>
                <w:spacing w:val="-1"/>
              </w:rPr>
              <w:t>curativo para coleta infantil de</w:t>
            </w:r>
            <w:r>
              <w:rPr>
                <w:rFonts w:ascii="Cambria" w:hAnsi="Cambria"/>
                <w:spacing w:val="-36"/>
              </w:rPr>
              <w:t xml:space="preserve"> </w:t>
            </w:r>
            <w:r>
              <w:rPr>
                <w:rFonts w:ascii="Cambria" w:hAnsi="Cambria"/>
                <w:spacing w:val="-1"/>
              </w:rPr>
              <w:t xml:space="preserve">sangue </w:t>
            </w:r>
            <w:r>
              <w:rPr>
                <w:rFonts w:ascii="Cambria" w:hAnsi="Cambria"/>
              </w:rPr>
              <w:t>redondo ou quadrado. Caixa com</w:t>
            </w:r>
            <w:r>
              <w:rPr>
                <w:rFonts w:ascii="Cambria" w:hAnsi="Cambria"/>
                <w:spacing w:val="-37"/>
              </w:rPr>
              <w:t xml:space="preserve"> </w:t>
            </w:r>
            <w:r>
              <w:rPr>
                <w:rFonts w:ascii="Cambria" w:hAnsi="Cambria"/>
              </w:rPr>
              <w:t>no mínimo 500 unidades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4462A47">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2D0BA64">
            <w:pPr>
              <w:widowControl w:val="0"/>
              <w:suppressAutoHyphens/>
              <w:spacing w:after="288" w:afterLines="120" w:line="276" w:lineRule="auto"/>
              <w:jc w:val="center"/>
              <w:rPr>
                <w:rFonts w:ascii="Cambria" w:hAnsi="Cambria"/>
              </w:rPr>
            </w:pPr>
            <w:r>
              <w:rPr>
                <w:rFonts w:ascii="Cambria" w:hAnsi="Cambria"/>
              </w:rPr>
              <w:t>08</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C8B4494">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R$ 21,21</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5D2A8B9">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R$ 169,68</w:t>
            </w:r>
          </w:p>
        </w:tc>
      </w:tr>
      <w:tr w14:paraId="67AE0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84F544E">
            <w:pPr>
              <w:widowControl w:val="0"/>
              <w:suppressAutoHyphens/>
              <w:spacing w:after="288" w:afterLines="120" w:line="276" w:lineRule="auto"/>
              <w:ind w:left="-108" w:right="-108"/>
              <w:jc w:val="center"/>
              <w:rPr>
                <w:rFonts w:ascii="Cambria" w:hAnsi="Cambria"/>
              </w:rPr>
            </w:pPr>
            <w:r>
              <w:rPr>
                <w:rFonts w:ascii="Cambria" w:hAnsi="Cambria"/>
              </w:rPr>
              <w:t>37</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6621598">
            <w:pPr>
              <w:widowControl w:val="0"/>
              <w:suppressAutoHyphens/>
              <w:spacing w:after="288" w:afterLines="120" w:line="276" w:lineRule="auto"/>
              <w:jc w:val="both"/>
              <w:rPr>
                <w:rFonts w:ascii="Cambria" w:hAnsi="Cambria"/>
                <w:spacing w:val="-2"/>
              </w:rPr>
            </w:pPr>
            <w:r>
              <w:rPr>
                <w:rFonts w:ascii="Cambria" w:hAnsi="Cambria"/>
                <w:spacing w:val="-1"/>
              </w:rPr>
              <w:t>Kit</w:t>
            </w:r>
            <w:r>
              <w:rPr>
                <w:rFonts w:ascii="Cambria" w:hAnsi="Cambria"/>
                <w:spacing w:val="-5"/>
              </w:rPr>
              <w:t xml:space="preserve"> </w:t>
            </w:r>
            <w:r>
              <w:rPr>
                <w:rFonts w:ascii="Cambria" w:hAnsi="Cambria"/>
                <w:spacing w:val="-1"/>
              </w:rPr>
              <w:t>de</w:t>
            </w:r>
            <w:r>
              <w:rPr>
                <w:rFonts w:ascii="Cambria" w:hAnsi="Cambria"/>
                <w:spacing w:val="-3"/>
              </w:rPr>
              <w:t xml:space="preserve"> </w:t>
            </w:r>
            <w:r>
              <w:rPr>
                <w:rFonts w:ascii="Cambria" w:hAnsi="Cambria"/>
                <w:spacing w:val="-1"/>
              </w:rPr>
              <w:t>imunoensaio</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fluorescência</w:t>
            </w:r>
            <w:r>
              <w:rPr>
                <w:rFonts w:ascii="Cambria" w:hAnsi="Cambria"/>
                <w:spacing w:val="-10"/>
              </w:rPr>
              <w:t xml:space="preserve"> </w:t>
            </w:r>
            <w:r>
              <w:rPr>
                <w:rFonts w:ascii="Cambria" w:hAnsi="Cambria"/>
              </w:rPr>
              <w:t>para</w:t>
            </w:r>
            <w:r>
              <w:rPr>
                <w:rFonts w:ascii="Cambria" w:hAnsi="Cambria"/>
                <w:spacing w:val="-36"/>
              </w:rPr>
              <w:t xml:space="preserve"> </w:t>
            </w:r>
            <w:r>
              <w:rPr>
                <w:rFonts w:ascii="Cambria" w:hAnsi="Cambria"/>
              </w:rPr>
              <w:t>detecção de tsh com 20 dispositivos</w:t>
            </w:r>
            <w:r>
              <w:rPr>
                <w:rFonts w:ascii="Cambria" w:hAnsi="Cambria"/>
                <w:spacing w:val="1"/>
              </w:rPr>
              <w:t xml:space="preserve"> </w:t>
            </w:r>
            <w:r>
              <w:rPr>
                <w:rFonts w:ascii="Cambria" w:hAnsi="Cambria"/>
              </w:rPr>
              <w:t>teste no analisador eco f reader – esse</w:t>
            </w:r>
            <w:r>
              <w:rPr>
                <w:rFonts w:ascii="Cambria" w:hAnsi="Cambria"/>
                <w:spacing w:val="1"/>
              </w:rPr>
              <w:t xml:space="preserve"> </w:t>
            </w:r>
            <w:r>
              <w:rPr>
                <w:rFonts w:ascii="Cambria" w:hAnsi="Cambria"/>
              </w:rPr>
              <w:t>teste deve ser da referência exclusiva</w:t>
            </w:r>
            <w:r>
              <w:rPr>
                <w:rFonts w:ascii="Cambria" w:hAnsi="Cambria"/>
                <w:spacing w:val="1"/>
              </w:rPr>
              <w:t xml:space="preserve"> </w:t>
            </w:r>
            <w:r>
              <w:rPr>
                <w:rFonts w:ascii="Cambria" w:hAnsi="Cambria"/>
              </w:rPr>
              <w:t>eco diagnóstica, pois é um dispositivo</w:t>
            </w:r>
            <w:r>
              <w:rPr>
                <w:rFonts w:ascii="Cambria" w:hAnsi="Cambria"/>
                <w:spacing w:val="1"/>
              </w:rPr>
              <w:t xml:space="preserve"> </w:t>
            </w:r>
            <w:r>
              <w:rPr>
                <w:rFonts w:ascii="Cambria" w:hAnsi="Cambria"/>
                <w:spacing w:val="-1"/>
              </w:rPr>
              <w:t xml:space="preserve">teste programada </w:t>
            </w:r>
            <w:r>
              <w:rPr>
                <w:rFonts w:ascii="Cambria" w:hAnsi="Cambria"/>
              </w:rPr>
              <w:t>apenas para o</w:t>
            </w:r>
            <w:r>
              <w:rPr>
                <w:rFonts w:ascii="Cambria" w:hAnsi="Cambria"/>
                <w:spacing w:val="1"/>
              </w:rPr>
              <w:t xml:space="preserve"> </w:t>
            </w:r>
            <w:r>
              <w:rPr>
                <w:rFonts w:ascii="Cambria" w:hAnsi="Cambria"/>
              </w:rPr>
              <w:t>aparelho específico analisador eco f</w:t>
            </w:r>
            <w:r>
              <w:rPr>
                <w:rFonts w:ascii="Cambria" w:hAnsi="Cambria"/>
                <w:spacing w:val="1"/>
              </w:rPr>
              <w:t xml:space="preserve"> </w:t>
            </w:r>
            <w:r>
              <w:rPr>
                <w:rFonts w:ascii="Cambria" w:hAnsi="Cambria"/>
              </w:rPr>
              <w:t>reader – marca aceitável: eco</w:t>
            </w:r>
            <w:r>
              <w:rPr>
                <w:rFonts w:ascii="Cambria" w:hAnsi="Cambria"/>
                <w:spacing w:val="1"/>
              </w:rPr>
              <w:t xml:space="preserve"> </w:t>
            </w:r>
            <w:r>
              <w:rPr>
                <w:rFonts w:ascii="Cambria" w:hAnsi="Cambria"/>
              </w:rPr>
              <w:t>diagnóstica</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BE33938">
            <w:pPr>
              <w:widowControl w:val="0"/>
              <w:suppressAutoHyphens/>
              <w:spacing w:after="288" w:afterLines="120" w:line="276" w:lineRule="auto"/>
              <w:ind w:left="-108" w:right="-108"/>
              <w:jc w:val="center"/>
              <w:rPr>
                <w:rFonts w:ascii="Cambria" w:hAnsi="Cambria"/>
              </w:rPr>
            </w:pPr>
            <w:r>
              <w:rPr>
                <w:rFonts w:ascii="Cambria" w:hAnsi="Cambria"/>
              </w:rPr>
              <w:t>Kit</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716DA62">
            <w:pPr>
              <w:widowControl w:val="0"/>
              <w:suppressAutoHyphens/>
              <w:spacing w:after="288" w:afterLines="120" w:line="276" w:lineRule="auto"/>
              <w:jc w:val="center"/>
              <w:rPr>
                <w:rFonts w:ascii="Cambria" w:hAnsi="Cambria"/>
              </w:rPr>
            </w:pPr>
            <w:r>
              <w:rPr>
                <w:rFonts w:ascii="Cambria" w:hAnsi="Cambria"/>
              </w:rPr>
              <w:t>40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2C4AE8E">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R$ 586,51</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E6945F8">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R$ 23.460,40</w:t>
            </w:r>
          </w:p>
        </w:tc>
      </w:tr>
      <w:tr w14:paraId="15B4B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DAF663F">
            <w:pPr>
              <w:widowControl w:val="0"/>
              <w:suppressAutoHyphens/>
              <w:spacing w:after="288" w:afterLines="120" w:line="276" w:lineRule="auto"/>
              <w:ind w:left="-108" w:right="-108"/>
              <w:jc w:val="center"/>
              <w:rPr>
                <w:rFonts w:ascii="Cambria" w:hAnsi="Cambria"/>
              </w:rPr>
            </w:pPr>
            <w:r>
              <w:rPr>
                <w:rFonts w:ascii="Cambria" w:hAnsi="Cambria"/>
              </w:rPr>
              <w:t>38</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CF27772">
            <w:pPr>
              <w:widowControl w:val="0"/>
              <w:suppressAutoHyphens/>
              <w:spacing w:after="288" w:afterLines="120" w:line="276" w:lineRule="auto"/>
              <w:jc w:val="both"/>
              <w:rPr>
                <w:rFonts w:ascii="Cambria" w:hAnsi="Cambria"/>
                <w:spacing w:val="-1"/>
              </w:rPr>
            </w:pPr>
            <w:r>
              <w:rPr>
                <w:rFonts w:ascii="Cambria" w:hAnsi="Cambria"/>
              </w:rPr>
              <w:t>Kit</w:t>
            </w:r>
            <w:r>
              <w:rPr>
                <w:rFonts w:ascii="Cambria" w:hAnsi="Cambria"/>
                <w:spacing w:val="-5"/>
              </w:rPr>
              <w:t xml:space="preserve"> </w:t>
            </w:r>
            <w:r>
              <w:rPr>
                <w:rFonts w:ascii="Cambria" w:hAnsi="Cambria"/>
              </w:rPr>
              <w:t>de</w:t>
            </w:r>
            <w:r>
              <w:rPr>
                <w:rFonts w:ascii="Cambria" w:hAnsi="Cambria"/>
                <w:spacing w:val="-3"/>
              </w:rPr>
              <w:t xml:space="preserve"> </w:t>
            </w:r>
            <w:r>
              <w:rPr>
                <w:rFonts w:ascii="Cambria" w:hAnsi="Cambria"/>
              </w:rPr>
              <w:t>imunoensaio</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fluorescência</w:t>
            </w:r>
            <w:r>
              <w:rPr>
                <w:rFonts w:ascii="Cambria" w:hAnsi="Cambria"/>
                <w:spacing w:val="-10"/>
              </w:rPr>
              <w:t xml:space="preserve"> </w:t>
            </w:r>
            <w:r>
              <w:rPr>
                <w:rFonts w:ascii="Cambria" w:hAnsi="Cambria"/>
              </w:rPr>
              <w:t>para</w:t>
            </w:r>
            <w:r>
              <w:rPr>
                <w:rFonts w:ascii="Cambria" w:hAnsi="Cambria"/>
                <w:spacing w:val="-36"/>
              </w:rPr>
              <w:t xml:space="preserve"> </w:t>
            </w:r>
            <w:r>
              <w:rPr>
                <w:rFonts w:ascii="Cambria" w:hAnsi="Cambria"/>
                <w:spacing w:val="-1"/>
              </w:rPr>
              <w:t>detecção de troponina i quantitativa com</w:t>
            </w:r>
            <w:r>
              <w:rPr>
                <w:rFonts w:ascii="Cambria" w:hAnsi="Cambria"/>
              </w:rPr>
              <w:t xml:space="preserve"> </w:t>
            </w:r>
            <w:r>
              <w:rPr>
                <w:rFonts w:ascii="Cambria" w:hAnsi="Cambria"/>
                <w:spacing w:val="-1"/>
              </w:rPr>
              <w:t>20</w:t>
            </w:r>
            <w:r>
              <w:rPr>
                <w:rFonts w:ascii="Cambria" w:hAnsi="Cambria"/>
                <w:spacing w:val="-3"/>
              </w:rPr>
              <w:t xml:space="preserve"> </w:t>
            </w:r>
            <w:r>
              <w:rPr>
                <w:rFonts w:ascii="Cambria" w:hAnsi="Cambria"/>
              </w:rPr>
              <w:t>dispositivos</w:t>
            </w:r>
            <w:r>
              <w:rPr>
                <w:rFonts w:ascii="Cambria" w:hAnsi="Cambria"/>
                <w:spacing w:val="-4"/>
              </w:rPr>
              <w:t xml:space="preserve"> </w:t>
            </w:r>
            <w:r>
              <w:rPr>
                <w:rFonts w:ascii="Cambria" w:hAnsi="Cambria"/>
              </w:rPr>
              <w:t>teste</w:t>
            </w:r>
            <w:r>
              <w:rPr>
                <w:rFonts w:ascii="Cambria" w:hAnsi="Cambria"/>
                <w:spacing w:val="35"/>
              </w:rPr>
              <w:t xml:space="preserve"> </w:t>
            </w:r>
            <w:r>
              <w:rPr>
                <w:rFonts w:ascii="Cambria" w:hAnsi="Cambria"/>
              </w:rPr>
              <w:t>no</w:t>
            </w:r>
            <w:r>
              <w:rPr>
                <w:rFonts w:ascii="Cambria" w:hAnsi="Cambria"/>
                <w:spacing w:val="-10"/>
              </w:rPr>
              <w:t xml:space="preserve"> </w:t>
            </w:r>
            <w:r>
              <w:rPr>
                <w:rFonts w:ascii="Cambria" w:hAnsi="Cambria"/>
              </w:rPr>
              <w:t>analisador</w:t>
            </w:r>
            <w:r>
              <w:rPr>
                <w:rFonts w:ascii="Cambria" w:hAnsi="Cambria"/>
                <w:spacing w:val="-2"/>
              </w:rPr>
              <w:t xml:space="preserve"> </w:t>
            </w:r>
            <w:r>
              <w:rPr>
                <w:rFonts w:ascii="Cambria" w:hAnsi="Cambria"/>
              </w:rPr>
              <w:t>eco</w:t>
            </w:r>
            <w:r>
              <w:rPr>
                <w:rFonts w:ascii="Cambria" w:hAnsi="Cambria"/>
                <w:spacing w:val="-2"/>
              </w:rPr>
              <w:t xml:space="preserve"> </w:t>
            </w:r>
            <w:r>
              <w:rPr>
                <w:rFonts w:ascii="Cambria" w:hAnsi="Cambria"/>
              </w:rPr>
              <w:t>freader – esse teste deve ser da</w:t>
            </w:r>
            <w:r>
              <w:rPr>
                <w:rFonts w:ascii="Cambria" w:hAnsi="Cambria"/>
                <w:spacing w:val="1"/>
              </w:rPr>
              <w:t xml:space="preserve"> </w:t>
            </w:r>
            <w:r>
              <w:rPr>
                <w:rFonts w:ascii="Cambria" w:hAnsi="Cambria"/>
              </w:rPr>
              <w:t>referência exclusiva eco diagnóstica,</w:t>
            </w:r>
            <w:r>
              <w:rPr>
                <w:rFonts w:ascii="Cambria" w:hAnsi="Cambria"/>
                <w:spacing w:val="1"/>
              </w:rPr>
              <w:t xml:space="preserve"> </w:t>
            </w:r>
            <w:r>
              <w:rPr>
                <w:rFonts w:ascii="Cambria" w:hAnsi="Cambria"/>
              </w:rPr>
              <w:t>pois é um dispositivo teste programada</w:t>
            </w:r>
            <w:r>
              <w:rPr>
                <w:rFonts w:ascii="Cambria" w:hAnsi="Cambria"/>
                <w:spacing w:val="1"/>
              </w:rPr>
              <w:t xml:space="preserve"> </w:t>
            </w:r>
            <w:r>
              <w:rPr>
                <w:rFonts w:ascii="Cambria" w:hAnsi="Cambria"/>
              </w:rPr>
              <w:t>apenas para o aparelho específico</w:t>
            </w:r>
            <w:r>
              <w:rPr>
                <w:rFonts w:ascii="Cambria" w:hAnsi="Cambria"/>
                <w:spacing w:val="1"/>
              </w:rPr>
              <w:t xml:space="preserve"> </w:t>
            </w:r>
            <w:r>
              <w:rPr>
                <w:rFonts w:ascii="Cambria" w:hAnsi="Cambria"/>
              </w:rPr>
              <w:t>analisador eco freader – marca</w:t>
            </w:r>
            <w:r>
              <w:rPr>
                <w:rFonts w:ascii="Cambria" w:hAnsi="Cambria"/>
                <w:spacing w:val="1"/>
              </w:rPr>
              <w:t xml:space="preserve"> </w:t>
            </w:r>
            <w:r>
              <w:rPr>
                <w:rFonts w:ascii="Cambria" w:hAnsi="Cambria"/>
              </w:rPr>
              <w:t>aceitável: eco diagnóstica</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CDD344C">
            <w:pPr>
              <w:widowControl w:val="0"/>
              <w:suppressAutoHyphens/>
              <w:spacing w:after="288" w:afterLines="120" w:line="276" w:lineRule="auto"/>
              <w:ind w:left="-108" w:right="-108"/>
              <w:jc w:val="center"/>
              <w:rPr>
                <w:rFonts w:ascii="Cambria" w:hAnsi="Cambria"/>
              </w:rPr>
            </w:pPr>
            <w:r>
              <w:rPr>
                <w:rFonts w:ascii="Cambria" w:hAnsi="Cambria"/>
              </w:rPr>
              <w:t>Kit</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D2BFFF5">
            <w:pPr>
              <w:widowControl w:val="0"/>
              <w:suppressAutoHyphens/>
              <w:spacing w:after="288" w:afterLines="120" w:line="276" w:lineRule="auto"/>
              <w:jc w:val="center"/>
              <w:rPr>
                <w:rFonts w:ascii="Cambria" w:hAnsi="Cambria"/>
              </w:rPr>
            </w:pPr>
            <w:r>
              <w:rPr>
                <w:rFonts w:ascii="Cambria" w:hAnsi="Cambria"/>
              </w:rPr>
              <w:t>40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C072442">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R$ 149,50</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906D20A">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R$ 5.980,00</w:t>
            </w:r>
          </w:p>
        </w:tc>
      </w:tr>
      <w:tr w14:paraId="6E75D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C8628A9">
            <w:pPr>
              <w:widowControl w:val="0"/>
              <w:suppressAutoHyphens/>
              <w:spacing w:after="288" w:afterLines="120" w:line="276" w:lineRule="auto"/>
              <w:ind w:left="-108" w:right="-108"/>
              <w:jc w:val="center"/>
              <w:rPr>
                <w:rFonts w:ascii="Cambria" w:hAnsi="Cambria"/>
              </w:rPr>
            </w:pPr>
            <w:r>
              <w:rPr>
                <w:rFonts w:ascii="Cambria" w:hAnsi="Cambria"/>
              </w:rPr>
              <w:t>39</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1D283EF">
            <w:pPr>
              <w:widowControl w:val="0"/>
              <w:suppressAutoHyphens/>
              <w:spacing w:after="288" w:afterLines="120" w:line="276" w:lineRule="auto"/>
              <w:jc w:val="both"/>
              <w:rPr>
                <w:rFonts w:ascii="Cambria" w:hAnsi="Cambria"/>
              </w:rPr>
            </w:pPr>
            <w:r>
              <w:rPr>
                <w:rFonts w:ascii="Cambria" w:hAnsi="Cambria"/>
                <w:spacing w:val="-1"/>
              </w:rPr>
              <w:t>Kit</w:t>
            </w:r>
            <w:r>
              <w:rPr>
                <w:rFonts w:ascii="Cambria" w:hAnsi="Cambria"/>
                <w:spacing w:val="-5"/>
              </w:rPr>
              <w:t xml:space="preserve"> </w:t>
            </w:r>
            <w:r>
              <w:rPr>
                <w:rFonts w:ascii="Cambria" w:hAnsi="Cambria"/>
                <w:spacing w:val="-1"/>
              </w:rPr>
              <w:t>de</w:t>
            </w:r>
            <w:r>
              <w:rPr>
                <w:rFonts w:ascii="Cambria" w:hAnsi="Cambria"/>
                <w:spacing w:val="-3"/>
              </w:rPr>
              <w:t xml:space="preserve"> </w:t>
            </w:r>
            <w:r>
              <w:rPr>
                <w:rFonts w:ascii="Cambria" w:hAnsi="Cambria"/>
                <w:spacing w:val="-1"/>
              </w:rPr>
              <w:t>imunoensaio</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fluorescência</w:t>
            </w:r>
            <w:r>
              <w:rPr>
                <w:rFonts w:ascii="Cambria" w:hAnsi="Cambria"/>
                <w:spacing w:val="-10"/>
              </w:rPr>
              <w:t xml:space="preserve"> </w:t>
            </w:r>
            <w:r>
              <w:rPr>
                <w:rFonts w:ascii="Cambria" w:hAnsi="Cambria"/>
              </w:rPr>
              <w:t>para</w:t>
            </w:r>
            <w:r>
              <w:rPr>
                <w:rFonts w:ascii="Cambria" w:hAnsi="Cambria"/>
                <w:spacing w:val="-36"/>
              </w:rPr>
              <w:t xml:space="preserve"> </w:t>
            </w:r>
            <w:r>
              <w:rPr>
                <w:rFonts w:ascii="Cambria" w:hAnsi="Cambria"/>
              </w:rPr>
              <w:t>detecção de hba1c com 20 dispositivos</w:t>
            </w:r>
            <w:r>
              <w:rPr>
                <w:rFonts w:ascii="Cambria" w:hAnsi="Cambria"/>
                <w:spacing w:val="1"/>
              </w:rPr>
              <w:t xml:space="preserve"> </w:t>
            </w:r>
            <w:r>
              <w:rPr>
                <w:rFonts w:ascii="Cambria" w:hAnsi="Cambria"/>
              </w:rPr>
              <w:t>teste</w:t>
            </w:r>
            <w:r>
              <w:rPr>
                <w:rFonts w:ascii="Cambria" w:hAnsi="Cambria"/>
                <w:spacing w:val="1"/>
              </w:rPr>
              <w:t xml:space="preserve"> </w:t>
            </w:r>
            <w:r>
              <w:rPr>
                <w:rFonts w:ascii="Cambria" w:hAnsi="Cambria"/>
              </w:rPr>
              <w:t>no analisador eco f reader – esse</w:t>
            </w:r>
            <w:r>
              <w:rPr>
                <w:rFonts w:ascii="Cambria" w:hAnsi="Cambria"/>
                <w:spacing w:val="1"/>
              </w:rPr>
              <w:t xml:space="preserve"> </w:t>
            </w:r>
            <w:r>
              <w:rPr>
                <w:rFonts w:ascii="Cambria" w:hAnsi="Cambria"/>
              </w:rPr>
              <w:t>teste deve ser da referência exclusiva</w:t>
            </w:r>
            <w:r>
              <w:rPr>
                <w:rFonts w:ascii="Cambria" w:hAnsi="Cambria"/>
                <w:spacing w:val="1"/>
              </w:rPr>
              <w:t xml:space="preserve"> </w:t>
            </w:r>
            <w:r>
              <w:rPr>
                <w:rFonts w:ascii="Cambria" w:hAnsi="Cambria"/>
              </w:rPr>
              <w:t>eco diagnóstica, pois é um dispositivo</w:t>
            </w:r>
            <w:r>
              <w:rPr>
                <w:rFonts w:ascii="Cambria" w:hAnsi="Cambria"/>
                <w:spacing w:val="1"/>
              </w:rPr>
              <w:t xml:space="preserve"> </w:t>
            </w:r>
            <w:r>
              <w:rPr>
                <w:rFonts w:ascii="Cambria" w:hAnsi="Cambria"/>
                <w:spacing w:val="-1"/>
              </w:rPr>
              <w:t xml:space="preserve">teste programada </w:t>
            </w:r>
            <w:r>
              <w:rPr>
                <w:rFonts w:ascii="Cambria" w:hAnsi="Cambria"/>
              </w:rPr>
              <w:t>apenas para o</w:t>
            </w:r>
            <w:r>
              <w:rPr>
                <w:rFonts w:ascii="Cambria" w:hAnsi="Cambria"/>
                <w:spacing w:val="1"/>
              </w:rPr>
              <w:t xml:space="preserve"> </w:t>
            </w:r>
            <w:r>
              <w:rPr>
                <w:rFonts w:ascii="Cambria" w:hAnsi="Cambria"/>
              </w:rPr>
              <w:t>aparelho específico analisador eco f</w:t>
            </w:r>
            <w:r>
              <w:rPr>
                <w:rFonts w:ascii="Cambria" w:hAnsi="Cambria"/>
                <w:spacing w:val="1"/>
              </w:rPr>
              <w:t xml:space="preserve"> </w:t>
            </w:r>
            <w:r>
              <w:rPr>
                <w:rFonts w:ascii="Cambria" w:hAnsi="Cambria"/>
              </w:rPr>
              <w:t>reader – marca aceitável: eco</w:t>
            </w:r>
            <w:r>
              <w:rPr>
                <w:rFonts w:ascii="Cambria" w:hAnsi="Cambria"/>
                <w:spacing w:val="1"/>
              </w:rPr>
              <w:t xml:space="preserve"> </w:t>
            </w:r>
            <w:r>
              <w:rPr>
                <w:rFonts w:ascii="Cambria" w:hAnsi="Cambria"/>
              </w:rPr>
              <w:t>diagnóstica</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41C2590">
            <w:pPr>
              <w:widowControl w:val="0"/>
              <w:suppressAutoHyphens/>
              <w:spacing w:after="288" w:afterLines="120" w:line="276" w:lineRule="auto"/>
              <w:ind w:left="-108" w:right="-108"/>
              <w:jc w:val="center"/>
              <w:rPr>
                <w:rFonts w:ascii="Cambria" w:hAnsi="Cambria"/>
              </w:rPr>
            </w:pPr>
            <w:r>
              <w:rPr>
                <w:rFonts w:ascii="Cambria" w:hAnsi="Cambria"/>
              </w:rPr>
              <w:t>Kit</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6D9F8ED">
            <w:pPr>
              <w:widowControl w:val="0"/>
              <w:suppressAutoHyphens/>
              <w:spacing w:after="288" w:afterLines="120" w:line="276" w:lineRule="auto"/>
              <w:jc w:val="center"/>
              <w:rPr>
                <w:rFonts w:ascii="Cambria" w:hAnsi="Cambria"/>
              </w:rPr>
            </w:pPr>
            <w:r>
              <w:rPr>
                <w:rFonts w:ascii="Cambria" w:hAnsi="Cambria"/>
              </w:rPr>
              <w:t>50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32F805B">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R$ 373,80</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05BD7E2">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R$ 18.690,00</w:t>
            </w:r>
          </w:p>
        </w:tc>
      </w:tr>
      <w:tr w14:paraId="5F378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377E626">
            <w:pPr>
              <w:widowControl w:val="0"/>
              <w:suppressAutoHyphens/>
              <w:spacing w:after="288" w:afterLines="120" w:line="276" w:lineRule="auto"/>
              <w:ind w:left="-108" w:right="-108"/>
              <w:jc w:val="center"/>
              <w:rPr>
                <w:rFonts w:ascii="Cambria" w:hAnsi="Cambria"/>
              </w:rPr>
            </w:pPr>
            <w:r>
              <w:rPr>
                <w:rFonts w:ascii="Cambria" w:hAnsi="Cambria"/>
              </w:rPr>
              <w:t>40</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9C518F8">
            <w:pPr>
              <w:widowControl w:val="0"/>
              <w:suppressAutoHyphens/>
              <w:spacing w:after="288" w:afterLines="120" w:line="276" w:lineRule="auto"/>
              <w:jc w:val="both"/>
              <w:rPr>
                <w:rFonts w:ascii="Cambria" w:hAnsi="Cambria"/>
                <w:spacing w:val="-1"/>
              </w:rPr>
            </w:pPr>
            <w:r>
              <w:rPr>
                <w:rFonts w:ascii="Cambria" w:hAnsi="Cambria"/>
                <w:spacing w:val="-1"/>
              </w:rPr>
              <w:t>Kit</w:t>
            </w:r>
            <w:r>
              <w:rPr>
                <w:rFonts w:ascii="Cambria" w:hAnsi="Cambria"/>
                <w:spacing w:val="-5"/>
              </w:rPr>
              <w:t xml:space="preserve"> </w:t>
            </w:r>
            <w:r>
              <w:rPr>
                <w:rFonts w:ascii="Cambria" w:hAnsi="Cambria"/>
                <w:spacing w:val="-1"/>
              </w:rPr>
              <w:t>de</w:t>
            </w:r>
            <w:r>
              <w:rPr>
                <w:rFonts w:ascii="Cambria" w:hAnsi="Cambria"/>
                <w:spacing w:val="-3"/>
              </w:rPr>
              <w:t xml:space="preserve"> </w:t>
            </w:r>
            <w:r>
              <w:rPr>
                <w:rFonts w:ascii="Cambria" w:hAnsi="Cambria"/>
                <w:spacing w:val="-1"/>
              </w:rPr>
              <w:t>imunoensaio</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fluorescência</w:t>
            </w:r>
            <w:r>
              <w:rPr>
                <w:rFonts w:ascii="Cambria" w:hAnsi="Cambria"/>
                <w:spacing w:val="-10"/>
              </w:rPr>
              <w:t xml:space="preserve"> </w:t>
            </w:r>
            <w:r>
              <w:rPr>
                <w:rFonts w:ascii="Cambria" w:hAnsi="Cambria"/>
              </w:rPr>
              <w:t>para</w:t>
            </w:r>
            <w:r>
              <w:rPr>
                <w:rFonts w:ascii="Cambria" w:hAnsi="Cambria"/>
                <w:spacing w:val="-36"/>
              </w:rPr>
              <w:t xml:space="preserve"> </w:t>
            </w:r>
            <w:r>
              <w:rPr>
                <w:rFonts w:ascii="Cambria" w:hAnsi="Cambria"/>
              </w:rPr>
              <w:t>detecção de hcg com 20 dispositivos</w:t>
            </w:r>
            <w:r>
              <w:rPr>
                <w:rFonts w:ascii="Cambria" w:hAnsi="Cambria"/>
                <w:spacing w:val="1"/>
              </w:rPr>
              <w:t xml:space="preserve"> </w:t>
            </w:r>
            <w:r>
              <w:rPr>
                <w:rFonts w:ascii="Cambria" w:hAnsi="Cambria"/>
              </w:rPr>
              <w:t>teste no analisador eco f reader – esse</w:t>
            </w:r>
            <w:r>
              <w:rPr>
                <w:rFonts w:ascii="Cambria" w:hAnsi="Cambria"/>
                <w:spacing w:val="1"/>
              </w:rPr>
              <w:t xml:space="preserve"> </w:t>
            </w:r>
            <w:r>
              <w:rPr>
                <w:rFonts w:ascii="Cambria" w:hAnsi="Cambria"/>
              </w:rPr>
              <w:t>teste deve ser da referência exclusiva</w:t>
            </w:r>
            <w:r>
              <w:rPr>
                <w:rFonts w:ascii="Cambria" w:hAnsi="Cambria"/>
                <w:spacing w:val="1"/>
              </w:rPr>
              <w:t xml:space="preserve"> </w:t>
            </w:r>
            <w:r>
              <w:rPr>
                <w:rFonts w:ascii="Cambria" w:hAnsi="Cambria"/>
              </w:rPr>
              <w:t>eco diagnóstica, pois é um dispositivo</w:t>
            </w:r>
            <w:r>
              <w:rPr>
                <w:rFonts w:ascii="Cambria" w:hAnsi="Cambria"/>
                <w:spacing w:val="1"/>
              </w:rPr>
              <w:t xml:space="preserve"> </w:t>
            </w:r>
            <w:r>
              <w:rPr>
                <w:rFonts w:ascii="Cambria" w:hAnsi="Cambria"/>
                <w:spacing w:val="-1"/>
              </w:rPr>
              <w:t xml:space="preserve">teste programada </w:t>
            </w:r>
            <w:r>
              <w:rPr>
                <w:rFonts w:ascii="Cambria" w:hAnsi="Cambria"/>
              </w:rPr>
              <w:t>apenas para o</w:t>
            </w:r>
            <w:r>
              <w:rPr>
                <w:rFonts w:ascii="Cambria" w:hAnsi="Cambria"/>
                <w:spacing w:val="1"/>
              </w:rPr>
              <w:t xml:space="preserve"> </w:t>
            </w:r>
            <w:r>
              <w:rPr>
                <w:rFonts w:ascii="Cambria" w:hAnsi="Cambria"/>
              </w:rPr>
              <w:t>aparelho específico analisador eco f</w:t>
            </w:r>
            <w:r>
              <w:rPr>
                <w:rFonts w:ascii="Cambria" w:hAnsi="Cambria"/>
                <w:spacing w:val="1"/>
              </w:rPr>
              <w:t xml:space="preserve"> </w:t>
            </w:r>
            <w:r>
              <w:rPr>
                <w:rFonts w:ascii="Cambria" w:hAnsi="Cambria"/>
              </w:rPr>
              <w:t>reader – marca aceitável: eco</w:t>
            </w:r>
            <w:r>
              <w:rPr>
                <w:rFonts w:ascii="Cambria" w:hAnsi="Cambria"/>
                <w:spacing w:val="1"/>
              </w:rPr>
              <w:t xml:space="preserve"> </w:t>
            </w:r>
            <w:r>
              <w:rPr>
                <w:rFonts w:ascii="Cambria" w:hAnsi="Cambria"/>
              </w:rPr>
              <w:t>diagnóstica</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95BC1C7">
            <w:pPr>
              <w:widowControl w:val="0"/>
              <w:suppressAutoHyphens/>
              <w:spacing w:after="288" w:afterLines="120" w:line="276" w:lineRule="auto"/>
              <w:ind w:left="-108" w:right="-108"/>
              <w:jc w:val="center"/>
              <w:rPr>
                <w:rFonts w:ascii="Cambria" w:hAnsi="Cambria"/>
              </w:rPr>
            </w:pPr>
            <w:r>
              <w:rPr>
                <w:rFonts w:ascii="Cambria" w:hAnsi="Cambria"/>
              </w:rPr>
              <w:t>Kit</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025C769">
            <w:pPr>
              <w:widowControl w:val="0"/>
              <w:suppressAutoHyphens/>
              <w:spacing w:after="288" w:afterLines="120" w:line="276" w:lineRule="auto"/>
              <w:jc w:val="center"/>
              <w:rPr>
                <w:rFonts w:ascii="Cambria" w:hAnsi="Cambria"/>
              </w:rPr>
            </w:pPr>
            <w:r>
              <w:rPr>
                <w:rFonts w:ascii="Cambria" w:hAnsi="Cambria"/>
              </w:rPr>
              <w:t>30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45FD200">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R$ 156,17</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B080F15">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R$ 4.685,10</w:t>
            </w:r>
          </w:p>
        </w:tc>
      </w:tr>
      <w:tr w14:paraId="58887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B4BD96D">
            <w:pPr>
              <w:widowControl w:val="0"/>
              <w:suppressAutoHyphens/>
              <w:spacing w:after="288" w:afterLines="120" w:line="276" w:lineRule="auto"/>
              <w:ind w:left="-108" w:right="-108"/>
              <w:jc w:val="center"/>
              <w:rPr>
                <w:rFonts w:ascii="Cambria" w:hAnsi="Cambria"/>
              </w:rPr>
            </w:pPr>
            <w:r>
              <w:rPr>
                <w:rFonts w:ascii="Cambria" w:hAnsi="Cambria"/>
              </w:rPr>
              <w:t>41</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7E11871">
            <w:pPr>
              <w:widowControl w:val="0"/>
              <w:suppressAutoHyphens/>
              <w:spacing w:after="288" w:afterLines="120" w:line="276" w:lineRule="auto"/>
              <w:jc w:val="both"/>
              <w:rPr>
                <w:rFonts w:ascii="Cambria" w:hAnsi="Cambria"/>
                <w:spacing w:val="-1"/>
              </w:rPr>
            </w:pPr>
            <w:r>
              <w:rPr>
                <w:rFonts w:ascii="Cambria" w:hAnsi="Cambria"/>
                <w:spacing w:val="-1"/>
              </w:rPr>
              <w:t xml:space="preserve">15 calibrador cp (50t) </w:t>
            </w:r>
            <w:r>
              <w:rPr>
                <w:rFonts w:ascii="Cambria" w:hAnsi="Cambria"/>
              </w:rPr>
              <w:t>- marca aceitável:</w:t>
            </w:r>
            <w:r>
              <w:rPr>
                <w:rFonts w:ascii="Cambria" w:hAnsi="Cambria"/>
                <w:spacing w:val="-36"/>
              </w:rPr>
              <w:t xml:space="preserve"> </w:t>
            </w:r>
            <w:r>
              <w:rPr>
                <w:rFonts w:ascii="Cambria" w:hAnsi="Cambria"/>
              </w:rPr>
              <w:t>labtest</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1738BFA">
            <w:pPr>
              <w:widowControl w:val="0"/>
              <w:suppressAutoHyphens/>
              <w:spacing w:after="288" w:afterLines="120" w:line="276" w:lineRule="auto"/>
              <w:ind w:left="-108" w:right="-108"/>
              <w:jc w:val="center"/>
              <w:rPr>
                <w:rFonts w:ascii="Cambria" w:hAnsi="Cambria"/>
              </w:rPr>
            </w:pPr>
            <w:r>
              <w:rPr>
                <w:rFonts w:ascii="Cambria" w:hAnsi="Cambria"/>
              </w:rPr>
              <w:t>Kit</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8CDE95B">
            <w:pPr>
              <w:widowControl w:val="0"/>
              <w:suppressAutoHyphens/>
              <w:spacing w:after="288" w:afterLines="120" w:line="276" w:lineRule="auto"/>
              <w:jc w:val="center"/>
              <w:rPr>
                <w:rFonts w:ascii="Cambria" w:hAnsi="Cambria"/>
              </w:rPr>
            </w:pPr>
            <w:r>
              <w:rPr>
                <w:rFonts w:ascii="Cambria" w:hAnsi="Cambria"/>
              </w:rPr>
              <w:t>15</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E7E4BDC">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R$ 1.006,90</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E30FDE2">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R$ 15.103,50</w:t>
            </w:r>
          </w:p>
        </w:tc>
      </w:tr>
      <w:tr w14:paraId="1684D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59D0632">
            <w:pPr>
              <w:widowControl w:val="0"/>
              <w:suppressAutoHyphens/>
              <w:spacing w:after="288" w:afterLines="120" w:line="276" w:lineRule="auto"/>
              <w:ind w:left="-108" w:right="-108"/>
              <w:jc w:val="center"/>
              <w:rPr>
                <w:rFonts w:ascii="Cambria" w:hAnsi="Cambria"/>
              </w:rPr>
            </w:pPr>
            <w:r>
              <w:rPr>
                <w:rFonts w:ascii="Cambria" w:hAnsi="Cambria"/>
              </w:rPr>
              <w:t>42</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4036915">
            <w:pPr>
              <w:widowControl w:val="0"/>
              <w:suppressAutoHyphens/>
              <w:spacing w:after="288" w:afterLines="120" w:line="276" w:lineRule="auto"/>
              <w:jc w:val="both"/>
              <w:rPr>
                <w:rFonts w:ascii="Cambria" w:hAnsi="Cambria"/>
                <w:spacing w:val="-1"/>
              </w:rPr>
            </w:pPr>
            <w:r>
              <w:rPr>
                <w:rFonts w:ascii="Cambria" w:hAnsi="Cambria"/>
              </w:rPr>
              <w:t>Controle</w:t>
            </w:r>
            <w:r>
              <w:rPr>
                <w:rFonts w:ascii="Cambria" w:hAnsi="Cambria"/>
                <w:spacing w:val="-3"/>
              </w:rPr>
              <w:t xml:space="preserve"> </w:t>
            </w:r>
            <w:r>
              <w:rPr>
                <w:rFonts w:ascii="Cambria" w:hAnsi="Cambria"/>
              </w:rPr>
              <w:t>de</w:t>
            </w:r>
            <w:r>
              <w:rPr>
                <w:rFonts w:ascii="Cambria" w:hAnsi="Cambria"/>
                <w:spacing w:val="-3"/>
              </w:rPr>
              <w:t xml:space="preserve"> </w:t>
            </w:r>
            <w:r>
              <w:rPr>
                <w:rFonts w:ascii="Cambria" w:hAnsi="Cambria"/>
              </w:rPr>
              <w:t>nível</w:t>
            </w:r>
            <w:r>
              <w:rPr>
                <w:rFonts w:ascii="Cambria" w:hAnsi="Cambria"/>
                <w:spacing w:val="-8"/>
              </w:rPr>
              <w:t xml:space="preserve"> </w:t>
            </w:r>
            <w:r>
              <w:rPr>
                <w:rFonts w:ascii="Cambria" w:hAnsi="Cambria"/>
              </w:rPr>
              <w:t>01</w:t>
            </w:r>
            <w:r>
              <w:rPr>
                <w:rFonts w:ascii="Cambria" w:hAnsi="Cambria"/>
                <w:spacing w:val="-3"/>
              </w:rPr>
              <w:t xml:space="preserve"> </w:t>
            </w:r>
            <w:r>
              <w:rPr>
                <w:rFonts w:ascii="Cambria" w:hAnsi="Cambria"/>
              </w:rPr>
              <w:t>(5x2,5ml)</w:t>
            </w:r>
            <w:r>
              <w:rPr>
                <w:rFonts w:ascii="Cambria" w:hAnsi="Cambria"/>
                <w:spacing w:val="-2"/>
              </w:rPr>
              <w:t xml:space="preserve"> </w:t>
            </w:r>
            <w:r>
              <w:rPr>
                <w:rFonts w:ascii="Cambria" w:hAnsi="Cambria"/>
              </w:rPr>
              <w:t>-</w:t>
            </w:r>
            <w:r>
              <w:rPr>
                <w:rFonts w:ascii="Cambria" w:hAnsi="Cambria"/>
                <w:spacing w:val="-3"/>
              </w:rPr>
              <w:t xml:space="preserve"> </w:t>
            </w:r>
            <w:r>
              <w:rPr>
                <w:rFonts w:ascii="Cambria" w:hAnsi="Cambria"/>
              </w:rPr>
              <w:t>marca</w:t>
            </w:r>
            <w:r>
              <w:rPr>
                <w:rFonts w:ascii="Cambria" w:hAnsi="Cambria"/>
                <w:spacing w:val="-36"/>
              </w:rPr>
              <w:t xml:space="preserve"> </w:t>
            </w:r>
            <w:r>
              <w:rPr>
                <w:rFonts w:ascii="Cambria" w:hAnsi="Cambria"/>
              </w:rPr>
              <w:t>aceitável: labtest</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1E317F4">
            <w:pPr>
              <w:widowControl w:val="0"/>
              <w:suppressAutoHyphens/>
              <w:spacing w:after="288" w:afterLines="120" w:line="276" w:lineRule="auto"/>
              <w:ind w:left="-108" w:right="-108"/>
              <w:jc w:val="center"/>
              <w:rPr>
                <w:rFonts w:ascii="Cambria" w:hAnsi="Cambria"/>
              </w:rPr>
            </w:pPr>
            <w:r>
              <w:rPr>
                <w:rFonts w:ascii="Cambria" w:hAnsi="Cambria"/>
              </w:rPr>
              <w:t>Kit</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01AD6DE">
            <w:pPr>
              <w:widowControl w:val="0"/>
              <w:suppressAutoHyphens/>
              <w:spacing w:after="288" w:afterLines="120" w:line="276" w:lineRule="auto"/>
              <w:jc w:val="center"/>
              <w:rPr>
                <w:rFonts w:ascii="Cambria" w:hAnsi="Cambria"/>
              </w:rPr>
            </w:pPr>
            <w:r>
              <w:rPr>
                <w:rFonts w:ascii="Cambria" w:hAnsi="Cambria"/>
              </w:rPr>
              <w:t>03</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0B1B359">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R$ 1.033,50</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C3A6014">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R$ 3.100,50</w:t>
            </w:r>
          </w:p>
        </w:tc>
      </w:tr>
      <w:tr w14:paraId="0D4C0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874B9E4">
            <w:pPr>
              <w:widowControl w:val="0"/>
              <w:suppressAutoHyphens/>
              <w:spacing w:after="288" w:afterLines="120" w:line="276" w:lineRule="auto"/>
              <w:ind w:left="-108" w:right="-108"/>
              <w:jc w:val="center"/>
              <w:rPr>
                <w:rFonts w:ascii="Cambria" w:hAnsi="Cambria"/>
              </w:rPr>
            </w:pPr>
            <w:r>
              <w:rPr>
                <w:rFonts w:ascii="Cambria" w:hAnsi="Cambria"/>
              </w:rPr>
              <w:t>43</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10C33AC">
            <w:pPr>
              <w:widowControl w:val="0"/>
              <w:suppressAutoHyphens/>
              <w:spacing w:after="288" w:afterLines="120" w:line="276" w:lineRule="auto"/>
              <w:jc w:val="both"/>
              <w:rPr>
                <w:rFonts w:ascii="Cambria" w:hAnsi="Cambria"/>
              </w:rPr>
            </w:pPr>
            <w:r>
              <w:rPr>
                <w:rFonts w:ascii="Cambria" w:hAnsi="Cambria"/>
              </w:rPr>
              <w:t>Controle</w:t>
            </w:r>
            <w:r>
              <w:rPr>
                <w:rFonts w:ascii="Cambria" w:hAnsi="Cambria"/>
                <w:spacing w:val="-3"/>
              </w:rPr>
              <w:t xml:space="preserve"> </w:t>
            </w:r>
            <w:r>
              <w:rPr>
                <w:rFonts w:ascii="Cambria" w:hAnsi="Cambria"/>
              </w:rPr>
              <w:t>de</w:t>
            </w:r>
            <w:r>
              <w:rPr>
                <w:rFonts w:ascii="Cambria" w:hAnsi="Cambria"/>
                <w:spacing w:val="-3"/>
              </w:rPr>
              <w:t xml:space="preserve"> </w:t>
            </w:r>
            <w:r>
              <w:rPr>
                <w:rFonts w:ascii="Cambria" w:hAnsi="Cambria"/>
              </w:rPr>
              <w:t>nível</w:t>
            </w:r>
            <w:r>
              <w:rPr>
                <w:rFonts w:ascii="Cambria" w:hAnsi="Cambria"/>
                <w:spacing w:val="-8"/>
              </w:rPr>
              <w:t xml:space="preserve"> </w:t>
            </w:r>
            <w:r>
              <w:rPr>
                <w:rFonts w:ascii="Cambria" w:hAnsi="Cambria"/>
              </w:rPr>
              <w:t>02</w:t>
            </w:r>
            <w:r>
              <w:rPr>
                <w:rFonts w:ascii="Cambria" w:hAnsi="Cambria"/>
                <w:spacing w:val="-3"/>
              </w:rPr>
              <w:t xml:space="preserve"> </w:t>
            </w:r>
            <w:r>
              <w:rPr>
                <w:rFonts w:ascii="Cambria" w:hAnsi="Cambria"/>
              </w:rPr>
              <w:t>(5x2,5ml)</w:t>
            </w:r>
            <w:r>
              <w:rPr>
                <w:rFonts w:ascii="Cambria" w:hAnsi="Cambria"/>
                <w:spacing w:val="-2"/>
              </w:rPr>
              <w:t xml:space="preserve"> </w:t>
            </w:r>
            <w:r>
              <w:rPr>
                <w:rFonts w:ascii="Cambria" w:hAnsi="Cambria"/>
              </w:rPr>
              <w:t>-</w:t>
            </w:r>
            <w:r>
              <w:rPr>
                <w:rFonts w:ascii="Cambria" w:hAnsi="Cambria"/>
                <w:spacing w:val="-3"/>
              </w:rPr>
              <w:t xml:space="preserve"> </w:t>
            </w:r>
            <w:r>
              <w:rPr>
                <w:rFonts w:ascii="Cambria" w:hAnsi="Cambria"/>
              </w:rPr>
              <w:t>marca</w:t>
            </w:r>
            <w:r>
              <w:rPr>
                <w:rFonts w:ascii="Cambria" w:hAnsi="Cambria"/>
                <w:spacing w:val="-36"/>
              </w:rPr>
              <w:t xml:space="preserve"> </w:t>
            </w:r>
            <w:r>
              <w:rPr>
                <w:rFonts w:ascii="Cambria" w:hAnsi="Cambria"/>
              </w:rPr>
              <w:t>aceitável: labtest</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C273124">
            <w:pPr>
              <w:widowControl w:val="0"/>
              <w:suppressAutoHyphens/>
              <w:spacing w:after="288" w:afterLines="120" w:line="276" w:lineRule="auto"/>
              <w:ind w:left="-108" w:right="-108"/>
              <w:jc w:val="center"/>
              <w:rPr>
                <w:rFonts w:ascii="Cambria" w:hAnsi="Cambria"/>
              </w:rPr>
            </w:pPr>
            <w:r>
              <w:rPr>
                <w:rFonts w:ascii="Cambria" w:hAnsi="Cambria"/>
              </w:rPr>
              <w:t>Kit</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694FBE2">
            <w:pPr>
              <w:widowControl w:val="0"/>
              <w:suppressAutoHyphens/>
              <w:spacing w:after="288" w:afterLines="120" w:line="276" w:lineRule="auto"/>
              <w:jc w:val="center"/>
              <w:rPr>
                <w:rFonts w:ascii="Cambria" w:hAnsi="Cambria"/>
              </w:rPr>
            </w:pPr>
            <w:r>
              <w:rPr>
                <w:rFonts w:ascii="Cambria" w:hAnsi="Cambria"/>
              </w:rPr>
              <w:t>03</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C8FE3B8">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R$ 1.033,50</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71FE2C9">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R$ 3.100,50</w:t>
            </w:r>
          </w:p>
        </w:tc>
      </w:tr>
      <w:tr w14:paraId="34AC3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CCCD6DE">
            <w:pPr>
              <w:widowControl w:val="0"/>
              <w:suppressAutoHyphens/>
              <w:spacing w:after="288" w:afterLines="120" w:line="276" w:lineRule="auto"/>
              <w:ind w:left="-108" w:right="-108"/>
              <w:jc w:val="center"/>
              <w:rPr>
                <w:rFonts w:ascii="Cambria" w:hAnsi="Cambria"/>
              </w:rPr>
            </w:pPr>
            <w:r>
              <w:rPr>
                <w:rFonts w:ascii="Cambria" w:hAnsi="Cambria"/>
              </w:rPr>
              <w:t>44</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95BC27D">
            <w:pPr>
              <w:widowControl w:val="0"/>
              <w:suppressAutoHyphens/>
              <w:spacing w:after="288" w:afterLines="120" w:line="276" w:lineRule="auto"/>
              <w:jc w:val="both"/>
              <w:rPr>
                <w:rFonts w:ascii="Cambria" w:hAnsi="Cambria"/>
              </w:rPr>
            </w:pPr>
            <w:r>
              <w:rPr>
                <w:rFonts w:ascii="Cambria" w:hAnsi="Cambria"/>
              </w:rPr>
              <w:t>Controle</w:t>
            </w:r>
            <w:r>
              <w:rPr>
                <w:rFonts w:ascii="Cambria" w:hAnsi="Cambria"/>
                <w:spacing w:val="-3"/>
              </w:rPr>
              <w:t xml:space="preserve"> </w:t>
            </w:r>
            <w:r>
              <w:rPr>
                <w:rFonts w:ascii="Cambria" w:hAnsi="Cambria"/>
              </w:rPr>
              <w:t>de</w:t>
            </w:r>
            <w:r>
              <w:rPr>
                <w:rFonts w:ascii="Cambria" w:hAnsi="Cambria"/>
                <w:spacing w:val="-3"/>
              </w:rPr>
              <w:t xml:space="preserve"> </w:t>
            </w:r>
            <w:r>
              <w:rPr>
                <w:rFonts w:ascii="Cambria" w:hAnsi="Cambria"/>
              </w:rPr>
              <w:t>nível</w:t>
            </w:r>
            <w:r>
              <w:rPr>
                <w:rFonts w:ascii="Cambria" w:hAnsi="Cambria"/>
                <w:spacing w:val="-8"/>
              </w:rPr>
              <w:t xml:space="preserve"> </w:t>
            </w:r>
            <w:r>
              <w:rPr>
                <w:rFonts w:ascii="Cambria" w:hAnsi="Cambria"/>
              </w:rPr>
              <w:t>03</w:t>
            </w:r>
            <w:r>
              <w:rPr>
                <w:rFonts w:ascii="Cambria" w:hAnsi="Cambria"/>
                <w:spacing w:val="-3"/>
              </w:rPr>
              <w:t xml:space="preserve"> </w:t>
            </w:r>
            <w:r>
              <w:rPr>
                <w:rFonts w:ascii="Cambria" w:hAnsi="Cambria"/>
              </w:rPr>
              <w:t>(5x2,5ml)</w:t>
            </w:r>
            <w:r>
              <w:rPr>
                <w:rFonts w:ascii="Cambria" w:hAnsi="Cambria"/>
                <w:spacing w:val="-2"/>
              </w:rPr>
              <w:t xml:space="preserve"> </w:t>
            </w:r>
            <w:r>
              <w:rPr>
                <w:rFonts w:ascii="Cambria" w:hAnsi="Cambria"/>
              </w:rPr>
              <w:t>-</w:t>
            </w:r>
            <w:r>
              <w:rPr>
                <w:rFonts w:ascii="Cambria" w:hAnsi="Cambria"/>
                <w:spacing w:val="-3"/>
              </w:rPr>
              <w:t xml:space="preserve"> </w:t>
            </w:r>
            <w:r>
              <w:rPr>
                <w:rFonts w:ascii="Cambria" w:hAnsi="Cambria"/>
              </w:rPr>
              <w:t>marca</w:t>
            </w:r>
            <w:r>
              <w:rPr>
                <w:rFonts w:ascii="Cambria" w:hAnsi="Cambria"/>
                <w:spacing w:val="-36"/>
              </w:rPr>
              <w:t xml:space="preserve"> </w:t>
            </w:r>
            <w:r>
              <w:rPr>
                <w:rFonts w:ascii="Cambria" w:hAnsi="Cambria"/>
              </w:rPr>
              <w:t>aceitável: labtest</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04105F5">
            <w:pPr>
              <w:widowControl w:val="0"/>
              <w:suppressAutoHyphens/>
              <w:spacing w:after="288" w:afterLines="120" w:line="276" w:lineRule="auto"/>
              <w:ind w:left="-108" w:right="-108"/>
              <w:jc w:val="center"/>
              <w:rPr>
                <w:rFonts w:ascii="Cambria" w:hAnsi="Cambria"/>
              </w:rPr>
            </w:pPr>
            <w:r>
              <w:rPr>
                <w:rFonts w:ascii="Cambria" w:hAnsi="Cambria"/>
              </w:rPr>
              <w:t>Kit</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98E6BF5">
            <w:pPr>
              <w:widowControl w:val="0"/>
              <w:suppressAutoHyphens/>
              <w:spacing w:after="288" w:afterLines="120" w:line="276" w:lineRule="auto"/>
              <w:jc w:val="center"/>
              <w:rPr>
                <w:rFonts w:ascii="Cambria" w:hAnsi="Cambria"/>
              </w:rPr>
            </w:pPr>
            <w:r>
              <w:rPr>
                <w:rFonts w:ascii="Cambria" w:hAnsi="Cambria"/>
              </w:rPr>
              <w:t>03</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7D07BAF">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R$ 1.033,50</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425AEB6">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R$ 3.100,50</w:t>
            </w:r>
          </w:p>
        </w:tc>
      </w:tr>
      <w:tr w14:paraId="3AB6E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B324C09">
            <w:pPr>
              <w:widowControl w:val="0"/>
              <w:suppressAutoHyphens/>
              <w:spacing w:after="288" w:afterLines="120" w:line="276" w:lineRule="auto"/>
              <w:ind w:left="-108" w:right="-108"/>
              <w:jc w:val="center"/>
              <w:rPr>
                <w:rFonts w:ascii="Cambria" w:hAnsi="Cambria"/>
              </w:rPr>
            </w:pPr>
            <w:r>
              <w:rPr>
                <w:rFonts w:ascii="Cambria" w:hAnsi="Cambria"/>
              </w:rPr>
              <w:t>45</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39BB5C9">
            <w:pPr>
              <w:widowControl w:val="0"/>
              <w:suppressAutoHyphens/>
              <w:spacing w:after="288" w:afterLines="120" w:line="276" w:lineRule="auto"/>
              <w:jc w:val="both"/>
              <w:rPr>
                <w:rFonts w:ascii="Cambria" w:hAnsi="Cambria"/>
              </w:rPr>
            </w:pPr>
            <w:r>
              <w:rPr>
                <w:rFonts w:ascii="Cambria" w:hAnsi="Cambria"/>
              </w:rPr>
              <w:t>PCR látex reagente frasco com reagente capacidade</w:t>
            </w:r>
            <w:r>
              <w:rPr>
                <w:rFonts w:ascii="Cambria" w:hAnsi="Cambria"/>
                <w:spacing w:val="-36"/>
              </w:rPr>
              <w:t xml:space="preserve"> </w:t>
            </w:r>
            <w:r>
              <w:rPr>
                <w:rFonts w:ascii="Cambria" w:hAnsi="Cambria"/>
              </w:rPr>
              <w:t>mínima para 100 testes (2,5ml) WAMA, Dolles, Ebran</w:t>
            </w:r>
            <w:r>
              <w:rPr>
                <w:rFonts w:ascii="Cambria" w:hAnsi="Cambria"/>
                <w:spacing w:val="-36"/>
              </w:rPr>
              <w:t xml:space="preserve"> </w:t>
            </w:r>
            <w:r>
              <w:rPr>
                <w:rFonts w:ascii="Cambria" w:hAnsi="Cambria"/>
              </w:rPr>
              <w:t>ou melhor qualidade</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799A28E">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BFE06D1">
            <w:pPr>
              <w:widowControl w:val="0"/>
              <w:suppressAutoHyphens/>
              <w:spacing w:after="288" w:afterLines="120" w:line="276" w:lineRule="auto"/>
              <w:jc w:val="center"/>
              <w:rPr>
                <w:rFonts w:ascii="Cambria" w:hAnsi="Cambria"/>
              </w:rPr>
            </w:pPr>
            <w:r>
              <w:rPr>
                <w:rFonts w:ascii="Cambria" w:hAnsi="Cambria"/>
              </w:rPr>
              <w:t>250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B58429D">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R$ 88,33</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4004DD7">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R$ 22.082,50</w:t>
            </w:r>
          </w:p>
        </w:tc>
      </w:tr>
      <w:tr w14:paraId="28DFB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D2B4484">
            <w:pPr>
              <w:widowControl w:val="0"/>
              <w:suppressAutoHyphens/>
              <w:spacing w:after="288" w:afterLines="120" w:line="276" w:lineRule="auto"/>
              <w:ind w:left="-108" w:right="-108"/>
              <w:jc w:val="center"/>
              <w:rPr>
                <w:rFonts w:ascii="Cambria" w:hAnsi="Cambria"/>
              </w:rPr>
            </w:pPr>
            <w:r>
              <w:rPr>
                <w:rFonts w:ascii="Cambria" w:hAnsi="Cambria"/>
              </w:rPr>
              <w:t>46</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FF06633">
            <w:pPr>
              <w:widowControl w:val="0"/>
              <w:suppressAutoHyphens/>
              <w:spacing w:after="288" w:afterLines="120" w:line="276" w:lineRule="auto"/>
              <w:jc w:val="both"/>
              <w:rPr>
                <w:rFonts w:ascii="Cambria" w:hAnsi="Cambria"/>
              </w:rPr>
            </w:pPr>
            <w:r>
              <w:rPr>
                <w:rFonts w:ascii="Cambria" w:hAnsi="Cambria"/>
              </w:rPr>
              <w:t>Atadura de crepom 10cmx1,80 m (peso</w:t>
            </w:r>
            <w:r>
              <w:rPr>
                <w:rFonts w:ascii="Cambria" w:hAnsi="Cambria"/>
                <w:spacing w:val="1"/>
              </w:rPr>
              <w:t xml:space="preserve"> </w:t>
            </w:r>
            <w:r>
              <w:rPr>
                <w:rFonts w:ascii="Cambria" w:hAnsi="Cambria"/>
              </w:rPr>
              <w:t>mínimo conforme abnt/ nbr 14056: 21,8g</w:t>
            </w:r>
            <w:r>
              <w:rPr>
                <w:rFonts w:ascii="Cambria" w:hAnsi="Cambria"/>
                <w:spacing w:val="1"/>
              </w:rPr>
              <w:t xml:space="preserve"> </w:t>
            </w:r>
            <w:r>
              <w:rPr>
                <w:rFonts w:ascii="Cambria" w:hAnsi="Cambria"/>
              </w:rPr>
              <w:t>por unidade. Caso tenha comprimento</w:t>
            </w:r>
            <w:r>
              <w:rPr>
                <w:rFonts w:ascii="Cambria" w:hAnsi="Cambria"/>
                <w:spacing w:val="1"/>
              </w:rPr>
              <w:t xml:space="preserve"> </w:t>
            </w:r>
            <w:r>
              <w:rPr>
                <w:rFonts w:ascii="Cambria" w:hAnsi="Cambria"/>
              </w:rPr>
              <w:t>maior o peso deverá ser proporcional</w:t>
            </w:r>
            <w:r>
              <w:rPr>
                <w:rFonts w:ascii="Cambria" w:hAnsi="Cambria"/>
                <w:spacing w:val="1"/>
              </w:rPr>
              <w:t xml:space="preserve"> </w:t>
            </w:r>
            <w:r>
              <w:rPr>
                <w:rFonts w:ascii="Cambria" w:hAnsi="Cambria"/>
              </w:rPr>
              <w:t>para garantir a qualidade do tecido)</w:t>
            </w:r>
            <w:r>
              <w:rPr>
                <w:rFonts w:ascii="Cambria" w:hAnsi="Cambria"/>
                <w:spacing w:val="1"/>
              </w:rPr>
              <w:t xml:space="preserve"> </w:t>
            </w:r>
            <w:r>
              <w:rPr>
                <w:rFonts w:ascii="Cambria" w:hAnsi="Cambria"/>
              </w:rPr>
              <w:t>pacote c/ 12 unidades – confeccionadas</w:t>
            </w:r>
            <w:r>
              <w:rPr>
                <w:rFonts w:ascii="Cambria" w:hAnsi="Cambria"/>
                <w:spacing w:val="1"/>
              </w:rPr>
              <w:t xml:space="preserve"> </w:t>
            </w:r>
            <w:r>
              <w:rPr>
                <w:rFonts w:ascii="Cambria" w:hAnsi="Cambria"/>
              </w:rPr>
              <w:t>em tecido 100% algodão ou tecido misto</w:t>
            </w:r>
            <w:r>
              <w:rPr>
                <w:rFonts w:ascii="Cambria" w:hAnsi="Cambria"/>
                <w:spacing w:val="1"/>
              </w:rPr>
              <w:t xml:space="preserve"> </w:t>
            </w:r>
            <w:r>
              <w:rPr>
                <w:rFonts w:ascii="Cambria" w:hAnsi="Cambria"/>
              </w:rPr>
              <w:t>com no mínimo 90% de algodão, fios de</w:t>
            </w:r>
            <w:r>
              <w:rPr>
                <w:rFonts w:ascii="Cambria" w:hAnsi="Cambria"/>
                <w:spacing w:val="1"/>
              </w:rPr>
              <w:t xml:space="preserve"> </w:t>
            </w:r>
            <w:r>
              <w:rPr>
                <w:rFonts w:ascii="Cambria" w:hAnsi="Cambria"/>
                <w:spacing w:val="-1"/>
              </w:rPr>
              <w:t>alta torção ou crochê com no máximo</w:t>
            </w:r>
            <w:r>
              <w:rPr>
                <w:rFonts w:ascii="Cambria" w:hAnsi="Cambria"/>
              </w:rPr>
              <w:t xml:space="preserve"> 1mm de distância entre os fios</w:t>
            </w:r>
            <w:r>
              <w:rPr>
                <w:rFonts w:ascii="Cambria" w:hAnsi="Cambria"/>
                <w:spacing w:val="1"/>
              </w:rPr>
              <w:t xml:space="preserve"> </w:t>
            </w:r>
            <w:r>
              <w:rPr>
                <w:rFonts w:ascii="Cambria" w:hAnsi="Cambria"/>
              </w:rPr>
              <w:t>garantindo maior</w:t>
            </w:r>
            <w:r>
              <w:rPr>
                <w:rFonts w:ascii="Cambria" w:hAnsi="Cambria"/>
                <w:spacing w:val="1"/>
              </w:rPr>
              <w:t xml:space="preserve"> </w:t>
            </w:r>
            <w:r>
              <w:rPr>
                <w:rFonts w:ascii="Cambria" w:hAnsi="Cambria"/>
              </w:rPr>
              <w:t>economia no</w:t>
            </w:r>
            <w:r>
              <w:rPr>
                <w:rFonts w:ascii="Cambria" w:hAnsi="Cambria"/>
                <w:spacing w:val="1"/>
              </w:rPr>
              <w:t xml:space="preserve"> </w:t>
            </w:r>
            <w:r>
              <w:rPr>
                <w:rFonts w:ascii="Cambria" w:hAnsi="Cambria"/>
              </w:rPr>
              <w:t>fechamento da bandagem, que confere</w:t>
            </w:r>
            <w:r>
              <w:rPr>
                <w:rFonts w:ascii="Cambria" w:hAnsi="Cambria"/>
                <w:spacing w:val="1"/>
              </w:rPr>
              <w:t xml:space="preserve"> </w:t>
            </w:r>
            <w:r>
              <w:rPr>
                <w:rFonts w:ascii="Cambria" w:hAnsi="Cambria"/>
              </w:rPr>
              <w:t>elasticidade suficiente para maior</w:t>
            </w:r>
            <w:r>
              <w:rPr>
                <w:rFonts w:ascii="Cambria" w:hAnsi="Cambria"/>
                <w:spacing w:val="1"/>
              </w:rPr>
              <w:t xml:space="preserve"> </w:t>
            </w:r>
            <w:r>
              <w:rPr>
                <w:rFonts w:ascii="Cambria" w:hAnsi="Cambria"/>
              </w:rPr>
              <w:t>firmeza, possuindo percentual de</w:t>
            </w:r>
            <w:r>
              <w:rPr>
                <w:rFonts w:ascii="Cambria" w:hAnsi="Cambria"/>
                <w:spacing w:val="1"/>
              </w:rPr>
              <w:t xml:space="preserve"> </w:t>
            </w:r>
            <w:r>
              <w:rPr>
                <w:rFonts w:ascii="Cambria" w:hAnsi="Cambria"/>
              </w:rPr>
              <w:t>formação não superior à 50% conforme</w:t>
            </w:r>
            <w:r>
              <w:rPr>
                <w:rFonts w:ascii="Cambria" w:hAnsi="Cambria"/>
                <w:spacing w:val="-36"/>
              </w:rPr>
              <w:t xml:space="preserve"> </w:t>
            </w:r>
            <w:r>
              <w:rPr>
                <w:rFonts w:ascii="Cambria" w:hAnsi="Cambria"/>
              </w:rPr>
              <w:t>nbr. Marcas aceitáveis: cremer ou</w:t>
            </w:r>
            <w:r>
              <w:rPr>
                <w:rFonts w:ascii="Cambria" w:hAnsi="Cambria"/>
                <w:spacing w:val="1"/>
              </w:rPr>
              <w:t xml:space="preserve"> </w:t>
            </w:r>
            <w:r>
              <w:rPr>
                <w:rFonts w:ascii="Cambria" w:hAnsi="Cambria"/>
                <w:spacing w:val="-1"/>
              </w:rPr>
              <w:t xml:space="preserve">supercotton (conforme art. 41, inc. Ii, </w:t>
            </w:r>
            <w:r>
              <w:rPr>
                <w:rFonts w:ascii="Cambria" w:hAnsi="Cambria"/>
              </w:rPr>
              <w:t>lei</w:t>
            </w:r>
            <w:r>
              <w:rPr>
                <w:rFonts w:ascii="Cambria" w:hAnsi="Cambria"/>
                <w:spacing w:val="-36"/>
              </w:rPr>
              <w:t xml:space="preserve"> </w:t>
            </w:r>
            <w:r>
              <w:rPr>
                <w:rFonts w:ascii="Cambria" w:hAnsi="Cambria"/>
              </w:rPr>
              <w:t>14.133).</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48DA23F">
            <w:pPr>
              <w:widowControl w:val="0"/>
              <w:suppressAutoHyphens/>
              <w:spacing w:after="288" w:afterLines="120" w:line="276" w:lineRule="auto"/>
              <w:ind w:left="-108" w:right="-108"/>
              <w:jc w:val="center"/>
              <w:rPr>
                <w:rFonts w:ascii="Cambria" w:hAnsi="Cambria"/>
              </w:rPr>
            </w:pPr>
            <w:r>
              <w:rPr>
                <w:rFonts w:ascii="Cambria" w:hAnsi="Cambria"/>
              </w:rPr>
              <w:t>Pct</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8961E23">
            <w:pPr>
              <w:widowControl w:val="0"/>
              <w:suppressAutoHyphens/>
              <w:spacing w:after="288" w:afterLines="120" w:line="276" w:lineRule="auto"/>
              <w:jc w:val="center"/>
              <w:rPr>
                <w:rFonts w:ascii="Cambria" w:hAnsi="Cambria"/>
              </w:rPr>
            </w:pPr>
            <w:r>
              <w:rPr>
                <w:rFonts w:ascii="Cambria" w:hAnsi="Cambria"/>
              </w:rPr>
              <w:t>2.000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20ED0A0">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R$ 8,54</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D664E8A">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R$ 17.080,00</w:t>
            </w:r>
          </w:p>
        </w:tc>
      </w:tr>
      <w:tr w14:paraId="7F719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5BE66C3">
            <w:pPr>
              <w:widowControl w:val="0"/>
              <w:suppressAutoHyphens/>
              <w:spacing w:after="288" w:afterLines="120" w:line="276" w:lineRule="auto"/>
              <w:ind w:left="-108" w:right="-108"/>
              <w:jc w:val="center"/>
              <w:rPr>
                <w:rFonts w:ascii="Cambria" w:hAnsi="Cambria"/>
              </w:rPr>
            </w:pPr>
            <w:r>
              <w:rPr>
                <w:rFonts w:ascii="Cambria" w:hAnsi="Cambria"/>
              </w:rPr>
              <w:t>47</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479040E">
            <w:pPr>
              <w:widowControl w:val="0"/>
              <w:suppressAutoHyphens/>
              <w:spacing w:after="288" w:afterLines="120" w:line="276" w:lineRule="auto"/>
              <w:jc w:val="both"/>
              <w:rPr>
                <w:rFonts w:ascii="Cambria" w:hAnsi="Cambria"/>
              </w:rPr>
            </w:pPr>
            <w:r>
              <w:rPr>
                <w:rFonts w:ascii="Cambria" w:hAnsi="Cambria"/>
              </w:rPr>
              <w:t>Atadura de crepom 15cmx1,80 m (peso</w:t>
            </w:r>
            <w:r>
              <w:rPr>
                <w:rFonts w:ascii="Cambria" w:hAnsi="Cambria"/>
                <w:spacing w:val="1"/>
              </w:rPr>
              <w:t xml:space="preserve"> </w:t>
            </w:r>
            <w:r>
              <w:rPr>
                <w:rFonts w:ascii="Cambria" w:hAnsi="Cambria"/>
              </w:rPr>
              <w:t>mínimo conforme abnt/ nbr 14056: 32,7g</w:t>
            </w:r>
            <w:r>
              <w:rPr>
                <w:rFonts w:ascii="Cambria" w:hAnsi="Cambria"/>
                <w:spacing w:val="1"/>
              </w:rPr>
              <w:t xml:space="preserve"> </w:t>
            </w:r>
            <w:r>
              <w:rPr>
                <w:rFonts w:ascii="Cambria" w:hAnsi="Cambria"/>
              </w:rPr>
              <w:t>por unidade. Caso tenha comprimento</w:t>
            </w:r>
            <w:r>
              <w:rPr>
                <w:rFonts w:ascii="Cambria" w:hAnsi="Cambria"/>
                <w:spacing w:val="1"/>
              </w:rPr>
              <w:t xml:space="preserve"> </w:t>
            </w:r>
            <w:r>
              <w:rPr>
                <w:rFonts w:ascii="Cambria" w:hAnsi="Cambria"/>
              </w:rPr>
              <w:t>maior o peso deverá ser proporcional</w:t>
            </w:r>
            <w:r>
              <w:rPr>
                <w:rFonts w:ascii="Cambria" w:hAnsi="Cambria"/>
                <w:spacing w:val="1"/>
              </w:rPr>
              <w:t xml:space="preserve"> </w:t>
            </w:r>
            <w:r>
              <w:rPr>
                <w:rFonts w:ascii="Cambria" w:hAnsi="Cambria"/>
              </w:rPr>
              <w:t>para garantir a qualidade do tecido)</w:t>
            </w:r>
            <w:r>
              <w:rPr>
                <w:rFonts w:ascii="Cambria" w:hAnsi="Cambria"/>
                <w:spacing w:val="1"/>
              </w:rPr>
              <w:t xml:space="preserve"> </w:t>
            </w:r>
            <w:r>
              <w:rPr>
                <w:rFonts w:ascii="Cambria" w:hAnsi="Cambria"/>
              </w:rPr>
              <w:t>pacote c/ 12 unidades – confeccionadas</w:t>
            </w:r>
            <w:r>
              <w:rPr>
                <w:rFonts w:ascii="Cambria" w:hAnsi="Cambria"/>
                <w:spacing w:val="1"/>
              </w:rPr>
              <w:t xml:space="preserve"> </w:t>
            </w:r>
            <w:r>
              <w:rPr>
                <w:rFonts w:ascii="Cambria" w:hAnsi="Cambria"/>
              </w:rPr>
              <w:t>em tecido 100% algodão ou tecido misto</w:t>
            </w:r>
            <w:r>
              <w:rPr>
                <w:rFonts w:ascii="Cambria" w:hAnsi="Cambria"/>
                <w:spacing w:val="1"/>
              </w:rPr>
              <w:t xml:space="preserve"> </w:t>
            </w:r>
            <w:r>
              <w:rPr>
                <w:rFonts w:ascii="Cambria" w:hAnsi="Cambria"/>
              </w:rPr>
              <w:t>com no mínimo 90% de algodão, fios de</w:t>
            </w:r>
            <w:r>
              <w:rPr>
                <w:rFonts w:ascii="Cambria" w:hAnsi="Cambria"/>
                <w:spacing w:val="1"/>
              </w:rPr>
              <w:t xml:space="preserve"> </w:t>
            </w:r>
            <w:r>
              <w:rPr>
                <w:rFonts w:ascii="Cambria" w:hAnsi="Cambria"/>
                <w:spacing w:val="-1"/>
              </w:rPr>
              <w:t>alta torção ou crochê com no máximo</w:t>
            </w:r>
            <w:r>
              <w:rPr>
                <w:rFonts w:ascii="Cambria" w:hAnsi="Cambria"/>
              </w:rPr>
              <w:t xml:space="preserve"> 1mm de distância entre os fios</w:t>
            </w:r>
            <w:r>
              <w:rPr>
                <w:rFonts w:ascii="Cambria" w:hAnsi="Cambria"/>
                <w:spacing w:val="1"/>
              </w:rPr>
              <w:t xml:space="preserve"> </w:t>
            </w:r>
            <w:r>
              <w:rPr>
                <w:rFonts w:ascii="Cambria" w:hAnsi="Cambria"/>
              </w:rPr>
              <w:t>garantindo maior</w:t>
            </w:r>
            <w:r>
              <w:rPr>
                <w:rFonts w:ascii="Cambria" w:hAnsi="Cambria"/>
                <w:spacing w:val="1"/>
              </w:rPr>
              <w:t xml:space="preserve"> </w:t>
            </w:r>
            <w:r>
              <w:rPr>
                <w:rFonts w:ascii="Cambria" w:hAnsi="Cambria"/>
              </w:rPr>
              <w:t>economia no</w:t>
            </w:r>
            <w:r>
              <w:rPr>
                <w:rFonts w:ascii="Cambria" w:hAnsi="Cambria"/>
                <w:spacing w:val="1"/>
              </w:rPr>
              <w:t xml:space="preserve"> </w:t>
            </w:r>
            <w:r>
              <w:rPr>
                <w:rFonts w:ascii="Cambria" w:hAnsi="Cambria"/>
              </w:rPr>
              <w:t>fechamento da bandagem, que confere</w:t>
            </w:r>
            <w:r>
              <w:rPr>
                <w:rFonts w:ascii="Cambria" w:hAnsi="Cambria"/>
                <w:spacing w:val="1"/>
              </w:rPr>
              <w:t xml:space="preserve"> </w:t>
            </w:r>
            <w:r>
              <w:rPr>
                <w:rFonts w:ascii="Cambria" w:hAnsi="Cambria"/>
              </w:rPr>
              <w:t>elasticidade suficiente para maior</w:t>
            </w:r>
            <w:r>
              <w:rPr>
                <w:rFonts w:ascii="Cambria" w:hAnsi="Cambria"/>
                <w:spacing w:val="1"/>
              </w:rPr>
              <w:t xml:space="preserve"> </w:t>
            </w:r>
            <w:r>
              <w:rPr>
                <w:rFonts w:ascii="Cambria" w:hAnsi="Cambria"/>
              </w:rPr>
              <w:t>firmeza, possuindo percentual de</w:t>
            </w:r>
            <w:r>
              <w:rPr>
                <w:rFonts w:ascii="Cambria" w:hAnsi="Cambria"/>
                <w:spacing w:val="1"/>
              </w:rPr>
              <w:t xml:space="preserve"> </w:t>
            </w:r>
            <w:r>
              <w:rPr>
                <w:rFonts w:ascii="Cambria" w:hAnsi="Cambria"/>
              </w:rPr>
              <w:t>formação não superior à 50% conforme</w:t>
            </w:r>
            <w:r>
              <w:rPr>
                <w:rFonts w:ascii="Cambria" w:hAnsi="Cambria"/>
                <w:spacing w:val="-36"/>
              </w:rPr>
              <w:t xml:space="preserve"> </w:t>
            </w:r>
            <w:r>
              <w:rPr>
                <w:rFonts w:ascii="Cambria" w:hAnsi="Cambria"/>
              </w:rPr>
              <w:t>nbr. Marcas aceitáveis: cremer ou</w:t>
            </w:r>
            <w:r>
              <w:rPr>
                <w:rFonts w:ascii="Cambria" w:hAnsi="Cambria"/>
                <w:spacing w:val="1"/>
              </w:rPr>
              <w:t xml:space="preserve"> </w:t>
            </w:r>
            <w:r>
              <w:rPr>
                <w:rFonts w:ascii="Cambria" w:hAnsi="Cambria"/>
                <w:spacing w:val="-1"/>
              </w:rPr>
              <w:t xml:space="preserve">supercotton (conforme art. 41, inc. Ii, </w:t>
            </w:r>
            <w:r>
              <w:rPr>
                <w:rFonts w:ascii="Cambria" w:hAnsi="Cambria"/>
              </w:rPr>
              <w:t>lei</w:t>
            </w:r>
            <w:r>
              <w:rPr>
                <w:rFonts w:ascii="Cambria" w:hAnsi="Cambria"/>
                <w:spacing w:val="-36"/>
              </w:rPr>
              <w:t xml:space="preserve"> </w:t>
            </w:r>
            <w:r>
              <w:rPr>
                <w:rFonts w:ascii="Cambria" w:hAnsi="Cambria"/>
              </w:rPr>
              <w:t>14.133).</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19D7648">
            <w:pPr>
              <w:widowControl w:val="0"/>
              <w:suppressAutoHyphens/>
              <w:spacing w:after="288" w:afterLines="120" w:line="276" w:lineRule="auto"/>
              <w:ind w:left="-108" w:right="-108"/>
              <w:jc w:val="center"/>
              <w:rPr>
                <w:rFonts w:ascii="Cambria" w:hAnsi="Cambria"/>
              </w:rPr>
            </w:pPr>
            <w:r>
              <w:rPr>
                <w:rFonts w:ascii="Cambria" w:hAnsi="Cambria"/>
              </w:rPr>
              <w:t>Pct</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0CFA942">
            <w:pPr>
              <w:widowControl w:val="0"/>
              <w:suppressAutoHyphens/>
              <w:spacing w:after="288" w:afterLines="120" w:line="276" w:lineRule="auto"/>
              <w:jc w:val="center"/>
              <w:rPr>
                <w:rFonts w:ascii="Cambria" w:hAnsi="Cambria"/>
              </w:rPr>
            </w:pPr>
            <w:r>
              <w:rPr>
                <w:rFonts w:ascii="Cambria" w:hAnsi="Cambria"/>
              </w:rPr>
              <w:t>2.000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99D219D">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R$ 12,30</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C1F7FAB">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R$ 24.600,00</w:t>
            </w:r>
          </w:p>
        </w:tc>
      </w:tr>
      <w:tr w14:paraId="1D202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9A5B94A">
            <w:pPr>
              <w:widowControl w:val="0"/>
              <w:suppressAutoHyphens/>
              <w:spacing w:after="288" w:afterLines="120" w:line="276" w:lineRule="auto"/>
              <w:ind w:left="-108" w:right="-108"/>
              <w:jc w:val="center"/>
              <w:rPr>
                <w:rFonts w:ascii="Cambria" w:hAnsi="Cambria"/>
              </w:rPr>
            </w:pPr>
            <w:r>
              <w:rPr>
                <w:rFonts w:ascii="Cambria" w:hAnsi="Cambria"/>
              </w:rPr>
              <w:t>48</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5C1FB04">
            <w:pPr>
              <w:widowControl w:val="0"/>
              <w:suppressAutoHyphens/>
              <w:spacing w:after="288" w:afterLines="120" w:line="276" w:lineRule="auto"/>
              <w:jc w:val="both"/>
              <w:rPr>
                <w:rFonts w:ascii="Cambria" w:hAnsi="Cambria"/>
              </w:rPr>
            </w:pPr>
            <w:r>
              <w:rPr>
                <w:rFonts w:ascii="Cambria" w:hAnsi="Cambria"/>
              </w:rPr>
              <w:t>Atadura de crepom 20cmx1,80 m (peso</w:t>
            </w:r>
            <w:r>
              <w:rPr>
                <w:rFonts w:ascii="Cambria" w:hAnsi="Cambria"/>
                <w:spacing w:val="1"/>
              </w:rPr>
              <w:t xml:space="preserve"> </w:t>
            </w:r>
            <w:r>
              <w:rPr>
                <w:rFonts w:ascii="Cambria" w:hAnsi="Cambria"/>
              </w:rPr>
              <w:t>mínimo conforme abnt/ nbr 14056: 42,8g</w:t>
            </w:r>
            <w:r>
              <w:rPr>
                <w:rFonts w:ascii="Cambria" w:hAnsi="Cambria"/>
                <w:spacing w:val="1"/>
              </w:rPr>
              <w:t xml:space="preserve"> </w:t>
            </w:r>
            <w:r>
              <w:rPr>
                <w:rFonts w:ascii="Cambria" w:hAnsi="Cambria"/>
              </w:rPr>
              <w:t>por unidade. Caso tenha comprimento</w:t>
            </w:r>
            <w:r>
              <w:rPr>
                <w:rFonts w:ascii="Cambria" w:hAnsi="Cambria"/>
                <w:spacing w:val="1"/>
              </w:rPr>
              <w:t xml:space="preserve"> </w:t>
            </w:r>
            <w:r>
              <w:rPr>
                <w:rFonts w:ascii="Cambria" w:hAnsi="Cambria"/>
              </w:rPr>
              <w:t>maior o peso deverá ser proporcional</w:t>
            </w:r>
            <w:r>
              <w:rPr>
                <w:rFonts w:ascii="Cambria" w:hAnsi="Cambria"/>
                <w:spacing w:val="1"/>
              </w:rPr>
              <w:t xml:space="preserve"> </w:t>
            </w:r>
            <w:r>
              <w:rPr>
                <w:rFonts w:ascii="Cambria" w:hAnsi="Cambria"/>
              </w:rPr>
              <w:t>para garantir a qualidade do tecido)</w:t>
            </w:r>
            <w:r>
              <w:rPr>
                <w:rFonts w:ascii="Cambria" w:hAnsi="Cambria"/>
                <w:spacing w:val="1"/>
              </w:rPr>
              <w:t xml:space="preserve"> </w:t>
            </w:r>
            <w:r>
              <w:rPr>
                <w:rFonts w:ascii="Cambria" w:hAnsi="Cambria"/>
              </w:rPr>
              <w:t>pacote c/ 12 unidades – confeccionadas</w:t>
            </w:r>
            <w:r>
              <w:rPr>
                <w:rFonts w:ascii="Cambria" w:hAnsi="Cambria"/>
                <w:spacing w:val="1"/>
              </w:rPr>
              <w:t xml:space="preserve"> </w:t>
            </w:r>
            <w:r>
              <w:rPr>
                <w:rFonts w:ascii="Cambria" w:hAnsi="Cambria"/>
              </w:rPr>
              <w:t>em tecido 100% algodão ou tecido misto</w:t>
            </w:r>
            <w:r>
              <w:rPr>
                <w:rFonts w:ascii="Cambria" w:hAnsi="Cambria"/>
                <w:spacing w:val="1"/>
              </w:rPr>
              <w:t xml:space="preserve"> </w:t>
            </w:r>
            <w:r>
              <w:rPr>
                <w:rFonts w:ascii="Cambria" w:hAnsi="Cambria"/>
              </w:rPr>
              <w:t>com no mínimo 90% de algodão, fios de</w:t>
            </w:r>
            <w:r>
              <w:rPr>
                <w:rFonts w:ascii="Cambria" w:hAnsi="Cambria"/>
                <w:spacing w:val="1"/>
              </w:rPr>
              <w:t xml:space="preserve"> </w:t>
            </w:r>
            <w:r>
              <w:rPr>
                <w:rFonts w:ascii="Cambria" w:hAnsi="Cambria"/>
                <w:spacing w:val="-1"/>
              </w:rPr>
              <w:t>alta torção ou crochê com no máximo</w:t>
            </w:r>
            <w:r>
              <w:rPr>
                <w:rFonts w:ascii="Cambria" w:hAnsi="Cambria"/>
              </w:rPr>
              <w:t xml:space="preserve"> 1mm de distância entre os fios</w:t>
            </w:r>
            <w:r>
              <w:rPr>
                <w:rFonts w:ascii="Cambria" w:hAnsi="Cambria"/>
                <w:spacing w:val="1"/>
              </w:rPr>
              <w:t xml:space="preserve"> </w:t>
            </w:r>
            <w:r>
              <w:rPr>
                <w:rFonts w:ascii="Cambria" w:hAnsi="Cambria"/>
              </w:rPr>
              <w:t>garantindo maior</w:t>
            </w:r>
            <w:r>
              <w:rPr>
                <w:rFonts w:ascii="Cambria" w:hAnsi="Cambria"/>
                <w:spacing w:val="1"/>
              </w:rPr>
              <w:t xml:space="preserve"> </w:t>
            </w:r>
            <w:r>
              <w:rPr>
                <w:rFonts w:ascii="Cambria" w:hAnsi="Cambria"/>
              </w:rPr>
              <w:t>economia no</w:t>
            </w:r>
            <w:r>
              <w:rPr>
                <w:rFonts w:ascii="Cambria" w:hAnsi="Cambria"/>
                <w:spacing w:val="1"/>
              </w:rPr>
              <w:t xml:space="preserve"> </w:t>
            </w:r>
            <w:r>
              <w:rPr>
                <w:rFonts w:ascii="Cambria" w:hAnsi="Cambria"/>
              </w:rPr>
              <w:t>fechamento da bandagem, que confere</w:t>
            </w:r>
            <w:r>
              <w:rPr>
                <w:rFonts w:ascii="Cambria" w:hAnsi="Cambria"/>
                <w:spacing w:val="1"/>
              </w:rPr>
              <w:t xml:space="preserve"> </w:t>
            </w:r>
            <w:r>
              <w:rPr>
                <w:rFonts w:ascii="Cambria" w:hAnsi="Cambria"/>
              </w:rPr>
              <w:t>elasticidade suficiente para maior</w:t>
            </w:r>
            <w:r>
              <w:rPr>
                <w:rFonts w:ascii="Cambria" w:hAnsi="Cambria"/>
                <w:spacing w:val="1"/>
              </w:rPr>
              <w:t xml:space="preserve"> </w:t>
            </w:r>
            <w:r>
              <w:rPr>
                <w:rFonts w:ascii="Cambria" w:hAnsi="Cambria"/>
              </w:rPr>
              <w:t>firmeza, possuindo percentual de</w:t>
            </w:r>
            <w:r>
              <w:rPr>
                <w:rFonts w:ascii="Cambria" w:hAnsi="Cambria"/>
                <w:spacing w:val="1"/>
              </w:rPr>
              <w:t xml:space="preserve"> </w:t>
            </w:r>
            <w:r>
              <w:rPr>
                <w:rFonts w:ascii="Cambria" w:hAnsi="Cambria"/>
              </w:rPr>
              <w:t>formação não superior à 50% conforme</w:t>
            </w:r>
            <w:r>
              <w:rPr>
                <w:rFonts w:ascii="Cambria" w:hAnsi="Cambria"/>
                <w:spacing w:val="-36"/>
              </w:rPr>
              <w:t xml:space="preserve"> </w:t>
            </w:r>
            <w:r>
              <w:rPr>
                <w:rFonts w:ascii="Cambria" w:hAnsi="Cambria"/>
              </w:rPr>
              <w:t>nbr.. Marcas aceitáveis: cremer ou</w:t>
            </w:r>
            <w:r>
              <w:rPr>
                <w:rFonts w:ascii="Cambria" w:hAnsi="Cambria"/>
                <w:spacing w:val="1"/>
              </w:rPr>
              <w:t xml:space="preserve"> </w:t>
            </w:r>
            <w:r>
              <w:rPr>
                <w:rFonts w:ascii="Cambria" w:hAnsi="Cambria"/>
                <w:spacing w:val="-1"/>
              </w:rPr>
              <w:t xml:space="preserve">supercotton (conforme art. 41, inc. Ii, </w:t>
            </w:r>
            <w:r>
              <w:rPr>
                <w:rFonts w:ascii="Cambria" w:hAnsi="Cambria"/>
              </w:rPr>
              <w:t>lei</w:t>
            </w:r>
            <w:r>
              <w:rPr>
                <w:rFonts w:ascii="Cambria" w:hAnsi="Cambria"/>
                <w:spacing w:val="-36"/>
              </w:rPr>
              <w:t xml:space="preserve"> </w:t>
            </w:r>
            <w:r>
              <w:rPr>
                <w:rFonts w:ascii="Cambria" w:hAnsi="Cambria"/>
              </w:rPr>
              <w:t>14.133).</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DC78597">
            <w:pPr>
              <w:widowControl w:val="0"/>
              <w:suppressAutoHyphens/>
              <w:spacing w:after="288" w:afterLines="120" w:line="276" w:lineRule="auto"/>
              <w:ind w:left="-108" w:right="-108"/>
              <w:jc w:val="center"/>
              <w:rPr>
                <w:rFonts w:ascii="Cambria" w:hAnsi="Cambria"/>
              </w:rPr>
            </w:pPr>
            <w:r>
              <w:rPr>
                <w:rFonts w:ascii="Cambria" w:hAnsi="Cambria"/>
              </w:rPr>
              <w:t>Pct</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A5CFA73">
            <w:pPr>
              <w:widowControl w:val="0"/>
              <w:suppressAutoHyphens/>
              <w:spacing w:after="288" w:afterLines="120" w:line="276" w:lineRule="auto"/>
              <w:jc w:val="center"/>
              <w:rPr>
                <w:rFonts w:ascii="Cambria" w:hAnsi="Cambria"/>
              </w:rPr>
            </w:pPr>
            <w:r>
              <w:rPr>
                <w:rFonts w:ascii="Cambria" w:hAnsi="Cambria"/>
              </w:rPr>
              <w:t>2.000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C00ECB7">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R$ 19,43</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A85E147">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R$ 38.860,00</w:t>
            </w:r>
          </w:p>
        </w:tc>
      </w:tr>
      <w:tr w14:paraId="5EBCC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7A3C64E">
            <w:pPr>
              <w:widowControl w:val="0"/>
              <w:suppressAutoHyphens/>
              <w:spacing w:after="288" w:afterLines="120" w:line="276" w:lineRule="auto"/>
              <w:ind w:left="-108" w:right="-108"/>
              <w:jc w:val="center"/>
              <w:rPr>
                <w:rFonts w:ascii="Cambria" w:hAnsi="Cambria"/>
              </w:rPr>
            </w:pPr>
            <w:r>
              <w:rPr>
                <w:rFonts w:ascii="Cambria" w:hAnsi="Cambria"/>
              </w:rPr>
              <w:t>49</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0FBA116">
            <w:pPr>
              <w:widowControl w:val="0"/>
              <w:suppressAutoHyphens/>
              <w:spacing w:after="288" w:afterLines="120" w:line="276" w:lineRule="auto"/>
              <w:jc w:val="both"/>
              <w:rPr>
                <w:rFonts w:ascii="Cambria" w:hAnsi="Cambria"/>
              </w:rPr>
            </w:pPr>
            <w:r>
              <w:rPr>
                <w:rFonts w:ascii="Cambria" w:hAnsi="Cambria"/>
              </w:rPr>
              <w:t>Kit sondagem vesical de demora estéril</w:t>
            </w:r>
            <w:r>
              <w:rPr>
                <w:rFonts w:ascii="Cambria" w:hAnsi="Cambria"/>
                <w:spacing w:val="1"/>
              </w:rPr>
              <w:t xml:space="preserve"> </w:t>
            </w:r>
            <w:r>
              <w:rPr>
                <w:rFonts w:ascii="Cambria" w:hAnsi="Cambria"/>
              </w:rPr>
              <w:t>descartável - contendo 1 cúpula</w:t>
            </w:r>
            <w:r>
              <w:rPr>
                <w:rFonts w:ascii="Cambria" w:hAnsi="Cambria"/>
                <w:spacing w:val="1"/>
              </w:rPr>
              <w:t xml:space="preserve"> </w:t>
            </w:r>
            <w:r>
              <w:rPr>
                <w:rFonts w:ascii="Cambria" w:hAnsi="Cambria"/>
              </w:rPr>
              <w:t>plástica; 1 pinça pean; 1 par de luvas cir.</w:t>
            </w:r>
            <w:r>
              <w:rPr>
                <w:rFonts w:ascii="Cambria" w:hAnsi="Cambria"/>
                <w:spacing w:val="1"/>
              </w:rPr>
              <w:t xml:space="preserve"> </w:t>
            </w:r>
            <w:r>
              <w:rPr>
                <w:rFonts w:ascii="Cambria" w:hAnsi="Cambria"/>
              </w:rPr>
              <w:t>Látex; 10 gaze estéril; 1 campo cir. 60x60; 1</w:t>
            </w:r>
            <w:r>
              <w:rPr>
                <w:rFonts w:ascii="Cambria" w:hAnsi="Cambria"/>
                <w:spacing w:val="-36"/>
              </w:rPr>
              <w:t xml:space="preserve"> </w:t>
            </w:r>
            <w:r>
              <w:rPr>
                <w:rFonts w:ascii="Cambria" w:hAnsi="Cambria"/>
              </w:rPr>
              <w:t>campo cir. Fenestrado 40x40cm; 1 seringa</w:t>
            </w:r>
            <w:r>
              <w:rPr>
                <w:rFonts w:ascii="Cambria" w:hAnsi="Cambria"/>
                <w:spacing w:val="1"/>
              </w:rPr>
              <w:t xml:space="preserve"> </w:t>
            </w:r>
            <w:r>
              <w:rPr>
                <w:rFonts w:ascii="Cambria" w:hAnsi="Cambria"/>
                <w:spacing w:val="-1"/>
              </w:rPr>
              <w:t xml:space="preserve">20ml; 3 amp. Plast. Água destilada; </w:t>
            </w:r>
            <w:r>
              <w:rPr>
                <w:rFonts w:ascii="Cambria" w:hAnsi="Cambria"/>
              </w:rPr>
              <w:t>1 sache</w:t>
            </w:r>
            <w:r>
              <w:rPr>
                <w:rFonts w:ascii="Cambria" w:hAnsi="Cambria"/>
                <w:spacing w:val="1"/>
              </w:rPr>
              <w:t xml:space="preserve"> </w:t>
            </w:r>
            <w:r>
              <w:rPr>
                <w:rFonts w:ascii="Cambria" w:hAnsi="Cambria"/>
                <w:spacing w:val="-1"/>
              </w:rPr>
              <w:t>gel</w:t>
            </w:r>
            <w:r>
              <w:rPr>
                <w:rFonts w:ascii="Cambria" w:hAnsi="Cambria"/>
                <w:spacing w:val="-6"/>
              </w:rPr>
              <w:t xml:space="preserve"> </w:t>
            </w:r>
            <w:r>
              <w:rPr>
                <w:rFonts w:ascii="Cambria" w:hAnsi="Cambria"/>
                <w:spacing w:val="-1"/>
              </w:rPr>
              <w:t>lubrificante;</w:t>
            </w:r>
            <w:r>
              <w:rPr>
                <w:rFonts w:ascii="Cambria" w:hAnsi="Cambria"/>
              </w:rPr>
              <w:t xml:space="preserve"> </w:t>
            </w:r>
            <w:r>
              <w:rPr>
                <w:rFonts w:ascii="Cambria" w:hAnsi="Cambria"/>
                <w:spacing w:val="-1"/>
              </w:rPr>
              <w:t>1</w:t>
            </w:r>
            <w:r>
              <w:rPr>
                <w:rFonts w:ascii="Cambria" w:hAnsi="Cambria"/>
              </w:rPr>
              <w:t xml:space="preserve"> fr. Clorexidina</w:t>
            </w:r>
            <w:r>
              <w:rPr>
                <w:rFonts w:ascii="Cambria" w:hAnsi="Cambria"/>
                <w:spacing w:val="-16"/>
              </w:rPr>
              <w:t xml:space="preserve"> </w:t>
            </w:r>
            <w:r>
              <w:rPr>
                <w:rFonts w:ascii="Cambria" w:hAnsi="Cambria"/>
              </w:rPr>
              <w:t>aquosa</w:t>
            </w:r>
            <w:r>
              <w:rPr>
                <w:rFonts w:ascii="Cambria" w:hAnsi="Cambria"/>
                <w:spacing w:val="-36"/>
              </w:rPr>
              <w:t xml:space="preserve"> </w:t>
            </w:r>
            <w:r>
              <w:rPr>
                <w:rFonts w:ascii="Cambria" w:hAnsi="Cambria"/>
              </w:rPr>
              <w:t>30ml</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05FA17C">
            <w:pPr>
              <w:widowControl w:val="0"/>
              <w:suppressAutoHyphens/>
              <w:spacing w:after="288" w:afterLines="120" w:line="276" w:lineRule="auto"/>
              <w:ind w:left="-108" w:right="-108"/>
              <w:jc w:val="center"/>
              <w:rPr>
                <w:rFonts w:ascii="Cambria" w:hAnsi="Cambria"/>
              </w:rPr>
            </w:pPr>
            <w:r>
              <w:rPr>
                <w:rFonts w:ascii="Cambria" w:hAnsi="Cambria"/>
              </w:rPr>
              <w:t>Kit</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FC2D961">
            <w:pPr>
              <w:widowControl w:val="0"/>
              <w:suppressAutoHyphens/>
              <w:spacing w:after="288" w:afterLines="120" w:line="276" w:lineRule="auto"/>
              <w:jc w:val="center"/>
              <w:rPr>
                <w:rFonts w:ascii="Cambria" w:hAnsi="Cambria"/>
              </w:rPr>
            </w:pPr>
            <w:r>
              <w:rPr>
                <w:rFonts w:ascii="Cambria" w:hAnsi="Cambria"/>
              </w:rPr>
              <w:t>200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11A3514">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R$ 203,30</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5732E1C">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R$ 40.660,00</w:t>
            </w:r>
          </w:p>
        </w:tc>
      </w:tr>
      <w:tr w14:paraId="74FE3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3D17E08">
            <w:pPr>
              <w:widowControl w:val="0"/>
              <w:suppressAutoHyphens/>
              <w:spacing w:after="288" w:afterLines="120" w:line="276" w:lineRule="auto"/>
              <w:ind w:left="-108" w:right="-108"/>
              <w:jc w:val="center"/>
              <w:rPr>
                <w:rFonts w:ascii="Cambria" w:hAnsi="Cambria"/>
              </w:rPr>
            </w:pPr>
            <w:r>
              <w:rPr>
                <w:rFonts w:ascii="Cambria" w:hAnsi="Cambria"/>
              </w:rPr>
              <w:t>50</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6DCF091">
            <w:pPr>
              <w:widowControl w:val="0"/>
              <w:suppressAutoHyphens/>
              <w:spacing w:after="288" w:afterLines="120" w:line="276" w:lineRule="auto"/>
              <w:jc w:val="both"/>
              <w:rPr>
                <w:rFonts w:ascii="Cambria" w:hAnsi="Cambria"/>
              </w:rPr>
            </w:pPr>
            <w:r>
              <w:rPr>
                <w:rFonts w:ascii="Cambria" w:hAnsi="Cambria"/>
              </w:rPr>
              <w:t>Kit sutura metal descartável estéril -</w:t>
            </w:r>
            <w:r>
              <w:rPr>
                <w:rFonts w:ascii="Cambria" w:hAnsi="Cambria"/>
                <w:spacing w:val="1"/>
              </w:rPr>
              <w:t xml:space="preserve"> </w:t>
            </w:r>
            <w:r>
              <w:rPr>
                <w:rFonts w:ascii="Cambria" w:hAnsi="Cambria"/>
              </w:rPr>
              <w:t>contendo 1 pinça dente de rato; 1</w:t>
            </w:r>
            <w:r>
              <w:rPr>
                <w:rFonts w:ascii="Cambria" w:hAnsi="Cambria"/>
                <w:spacing w:val="1"/>
              </w:rPr>
              <w:t xml:space="preserve"> </w:t>
            </w:r>
            <w:r>
              <w:rPr>
                <w:rFonts w:ascii="Cambria" w:hAnsi="Cambria"/>
                <w:spacing w:val="-2"/>
              </w:rPr>
              <w:t xml:space="preserve">tesoura </w:t>
            </w:r>
            <w:r>
              <w:rPr>
                <w:rFonts w:ascii="Cambria" w:hAnsi="Cambria"/>
                <w:spacing w:val="-1"/>
              </w:rPr>
              <w:t>íris; 1 porta agulhas mayo-hegar;</w:t>
            </w:r>
            <w:r>
              <w:rPr>
                <w:rFonts w:ascii="Cambria" w:hAnsi="Cambria"/>
                <w:spacing w:val="-36"/>
              </w:rPr>
              <w:t xml:space="preserve"> </w:t>
            </w:r>
            <w:r>
              <w:rPr>
                <w:rFonts w:ascii="Cambria" w:hAnsi="Cambria"/>
              </w:rPr>
              <w:t>1 campo cirúrgico mesa; 1 campo</w:t>
            </w:r>
            <w:r>
              <w:rPr>
                <w:rFonts w:ascii="Cambria" w:hAnsi="Cambria"/>
                <w:spacing w:val="1"/>
              </w:rPr>
              <w:t xml:space="preserve"> </w:t>
            </w:r>
            <w:r>
              <w:rPr>
                <w:rFonts w:ascii="Cambria" w:hAnsi="Cambria"/>
              </w:rPr>
              <w:t>fenestrado sms; 5 compressas de gaze; 1</w:t>
            </w:r>
            <w:r>
              <w:rPr>
                <w:rFonts w:ascii="Cambria" w:hAnsi="Cambria"/>
                <w:spacing w:val="1"/>
              </w:rPr>
              <w:t xml:space="preserve"> </w:t>
            </w:r>
            <w:r>
              <w:rPr>
                <w:rFonts w:ascii="Cambria" w:hAnsi="Cambria"/>
              </w:rPr>
              <w:t>fio cir. Nylon 5-0 c/agulha.</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505C7AA">
            <w:pPr>
              <w:widowControl w:val="0"/>
              <w:suppressAutoHyphens/>
              <w:spacing w:after="288" w:afterLines="120" w:line="276" w:lineRule="auto"/>
              <w:ind w:left="-108" w:right="-108"/>
              <w:jc w:val="center"/>
              <w:rPr>
                <w:rFonts w:ascii="Cambria" w:hAnsi="Cambria"/>
              </w:rPr>
            </w:pPr>
            <w:r>
              <w:rPr>
                <w:rFonts w:ascii="Cambria" w:hAnsi="Cambria"/>
              </w:rPr>
              <w:t>Kit</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9C98831">
            <w:pPr>
              <w:widowControl w:val="0"/>
              <w:suppressAutoHyphens/>
              <w:spacing w:after="288" w:afterLines="120" w:line="276" w:lineRule="auto"/>
              <w:jc w:val="center"/>
              <w:rPr>
                <w:rFonts w:ascii="Cambria" w:hAnsi="Cambria"/>
              </w:rPr>
            </w:pPr>
            <w:r>
              <w:rPr>
                <w:rFonts w:ascii="Cambria" w:hAnsi="Cambria"/>
              </w:rPr>
              <w:t>200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37AABEB">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R$ 203,00</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4225AB2">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R$ 40.600,00</w:t>
            </w:r>
          </w:p>
        </w:tc>
      </w:tr>
      <w:tr w14:paraId="7A14E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A6B32C2">
            <w:pPr>
              <w:widowControl w:val="0"/>
              <w:suppressAutoHyphens/>
              <w:spacing w:after="288" w:afterLines="120" w:line="276" w:lineRule="auto"/>
              <w:ind w:left="-108" w:right="-108"/>
              <w:jc w:val="center"/>
              <w:rPr>
                <w:rFonts w:ascii="Cambria" w:hAnsi="Cambria"/>
              </w:rPr>
            </w:pPr>
            <w:r>
              <w:rPr>
                <w:rFonts w:ascii="Cambria" w:hAnsi="Cambria"/>
              </w:rPr>
              <w:t>51</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D872F7E">
            <w:pPr>
              <w:widowControl w:val="0"/>
              <w:suppressAutoHyphens/>
              <w:spacing w:after="288" w:afterLines="120" w:line="276" w:lineRule="auto"/>
              <w:jc w:val="both"/>
              <w:rPr>
                <w:rFonts w:ascii="Cambria" w:hAnsi="Cambria"/>
              </w:rPr>
            </w:pPr>
            <w:r>
              <w:rPr>
                <w:rFonts w:ascii="Cambria" w:hAnsi="Cambria"/>
              </w:rPr>
              <w:t>Kit para implante de diu - contendo 1</w:t>
            </w:r>
            <w:r>
              <w:rPr>
                <w:rFonts w:ascii="Cambria" w:hAnsi="Cambria"/>
                <w:spacing w:val="1"/>
              </w:rPr>
              <w:t xml:space="preserve"> </w:t>
            </w:r>
            <w:r>
              <w:rPr>
                <w:rFonts w:ascii="Cambria" w:hAnsi="Cambria"/>
              </w:rPr>
              <w:t>espéculo vaginal descartável; 1 pinça</w:t>
            </w:r>
            <w:r>
              <w:rPr>
                <w:rFonts w:ascii="Cambria" w:hAnsi="Cambria"/>
                <w:spacing w:val="-36"/>
              </w:rPr>
              <w:t xml:space="preserve"> </w:t>
            </w:r>
            <w:r>
              <w:rPr>
                <w:rFonts w:ascii="Cambria" w:hAnsi="Cambria"/>
              </w:rPr>
              <w:t>cheron; 1 pinça pozzi; 1 histerômetro</w:t>
            </w:r>
            <w:r>
              <w:rPr>
                <w:rFonts w:ascii="Cambria" w:hAnsi="Cambria"/>
                <w:spacing w:val="1"/>
              </w:rPr>
              <w:t xml:space="preserve"> </w:t>
            </w:r>
            <w:r>
              <w:rPr>
                <w:rFonts w:ascii="Cambria" w:hAnsi="Cambria"/>
              </w:rPr>
              <w:t>haste centimetrada c/stopper 25cm; 1</w:t>
            </w:r>
            <w:r>
              <w:rPr>
                <w:rFonts w:ascii="Cambria" w:hAnsi="Cambria"/>
                <w:spacing w:val="1"/>
              </w:rPr>
              <w:t xml:space="preserve"> </w:t>
            </w:r>
            <w:r>
              <w:rPr>
                <w:rFonts w:ascii="Cambria" w:hAnsi="Cambria"/>
                <w:spacing w:val="-1"/>
              </w:rPr>
              <w:t xml:space="preserve">tesoura longa (25cm) curva metálica; </w:t>
            </w:r>
            <w:r>
              <w:rPr>
                <w:rFonts w:ascii="Cambria" w:hAnsi="Cambria"/>
              </w:rPr>
              <w:t>1</w:t>
            </w:r>
            <w:r>
              <w:rPr>
                <w:rFonts w:ascii="Cambria" w:hAnsi="Cambria"/>
                <w:spacing w:val="-36"/>
              </w:rPr>
              <w:t xml:space="preserve"> </w:t>
            </w:r>
            <w:r>
              <w:rPr>
                <w:rFonts w:ascii="Cambria" w:hAnsi="Cambria"/>
              </w:rPr>
              <w:t>par luvas estéril; 10 gazes; 1 campo de</w:t>
            </w:r>
            <w:r>
              <w:rPr>
                <w:rFonts w:ascii="Cambria" w:hAnsi="Cambria"/>
                <w:spacing w:val="-36"/>
              </w:rPr>
              <w:t xml:space="preserve"> </w:t>
            </w:r>
            <w:r>
              <w:rPr>
                <w:rFonts w:ascii="Cambria" w:hAnsi="Cambria"/>
              </w:rPr>
              <w:t>mesa</w:t>
            </w:r>
            <w:r>
              <w:rPr>
                <w:rFonts w:ascii="Cambria" w:hAnsi="Cambria"/>
                <w:spacing w:val="-8"/>
              </w:rPr>
              <w:t xml:space="preserve"> </w:t>
            </w:r>
            <w:r>
              <w:rPr>
                <w:rFonts w:ascii="Cambria" w:hAnsi="Cambria"/>
              </w:rPr>
              <w:t>impermeável</w:t>
            </w:r>
            <w:r>
              <w:rPr>
                <w:rFonts w:ascii="Cambria" w:hAnsi="Cambria"/>
                <w:spacing w:val="-6"/>
              </w:rPr>
              <w:t xml:space="preserve"> </w:t>
            </w:r>
            <w:r>
              <w:rPr>
                <w:rFonts w:ascii="Cambria" w:hAnsi="Cambria"/>
              </w:rPr>
              <w:t>60x60cm.</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635C7A5">
            <w:pPr>
              <w:widowControl w:val="0"/>
              <w:suppressAutoHyphens/>
              <w:spacing w:after="288" w:afterLines="120" w:line="276" w:lineRule="auto"/>
              <w:ind w:left="-108" w:right="-108"/>
              <w:jc w:val="center"/>
              <w:rPr>
                <w:rFonts w:ascii="Cambria" w:hAnsi="Cambria"/>
              </w:rPr>
            </w:pPr>
            <w:r>
              <w:rPr>
                <w:rFonts w:ascii="Cambria" w:hAnsi="Cambria"/>
              </w:rPr>
              <w:t>Kit</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838DABC">
            <w:pPr>
              <w:widowControl w:val="0"/>
              <w:suppressAutoHyphens/>
              <w:spacing w:after="288" w:afterLines="120" w:line="276" w:lineRule="auto"/>
              <w:jc w:val="center"/>
              <w:rPr>
                <w:rFonts w:ascii="Cambria" w:hAnsi="Cambria"/>
              </w:rPr>
            </w:pPr>
            <w:r>
              <w:rPr>
                <w:rFonts w:ascii="Cambria" w:hAnsi="Cambria"/>
              </w:rPr>
              <w:t>200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82C3750">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R$ 184,66</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352C9CF">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R$ 36.932,00</w:t>
            </w:r>
          </w:p>
        </w:tc>
      </w:tr>
      <w:tr w14:paraId="495D1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11600DC">
            <w:pPr>
              <w:widowControl w:val="0"/>
              <w:suppressAutoHyphens/>
              <w:spacing w:after="288" w:afterLines="120" w:line="276" w:lineRule="auto"/>
              <w:ind w:left="-108" w:right="-108"/>
              <w:jc w:val="center"/>
              <w:rPr>
                <w:rFonts w:ascii="Cambria" w:hAnsi="Cambria"/>
              </w:rPr>
            </w:pPr>
            <w:r>
              <w:rPr>
                <w:rFonts w:ascii="Cambria" w:hAnsi="Cambria"/>
              </w:rPr>
              <w:t>52</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42BE8FE">
            <w:pPr>
              <w:widowControl w:val="0"/>
              <w:suppressAutoHyphens/>
              <w:spacing w:after="288" w:afterLines="120" w:line="276" w:lineRule="auto"/>
              <w:jc w:val="both"/>
              <w:rPr>
                <w:rFonts w:ascii="Cambria" w:hAnsi="Cambria"/>
              </w:rPr>
            </w:pPr>
            <w:r>
              <w:rPr>
                <w:rFonts w:ascii="Cambria" w:hAnsi="Cambria"/>
                <w:spacing w:val="-1"/>
              </w:rPr>
              <w:t xml:space="preserve">Dispositivo </w:t>
            </w:r>
            <w:r>
              <w:rPr>
                <w:rFonts w:ascii="Cambria" w:hAnsi="Cambria"/>
              </w:rPr>
              <w:t>intra uterino (diu) hormonal</w:t>
            </w:r>
            <w:r>
              <w:rPr>
                <w:rFonts w:ascii="Cambria" w:hAnsi="Cambria"/>
                <w:spacing w:val="-36"/>
              </w:rPr>
              <w:t xml:space="preserve"> </w:t>
            </w:r>
            <w:r>
              <w:rPr>
                <w:rFonts w:ascii="Cambria" w:hAnsi="Cambria"/>
              </w:rPr>
              <w:t>de levonorgestrel</w:t>
            </w:r>
            <w:r>
              <w:rPr>
                <w:rFonts w:ascii="Cambria" w:hAnsi="Cambria"/>
                <w:spacing w:val="-6"/>
              </w:rPr>
              <w:t xml:space="preserve"> </w:t>
            </w:r>
            <w:r>
              <w:rPr>
                <w:rFonts w:ascii="Cambria" w:hAnsi="Cambria"/>
              </w:rPr>
              <w:t>52mg</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3960F6C">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EDA7015">
            <w:pPr>
              <w:widowControl w:val="0"/>
              <w:suppressAutoHyphens/>
              <w:spacing w:after="288" w:afterLines="120" w:line="276" w:lineRule="auto"/>
              <w:jc w:val="center"/>
              <w:rPr>
                <w:rFonts w:ascii="Cambria" w:hAnsi="Cambria"/>
              </w:rPr>
            </w:pPr>
            <w:r>
              <w:rPr>
                <w:rFonts w:ascii="Cambria" w:hAnsi="Cambria"/>
              </w:rPr>
              <w:t>100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D0ACB44">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R$ 115,39</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224D070">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R$ 11.539,00</w:t>
            </w:r>
          </w:p>
        </w:tc>
      </w:tr>
      <w:tr w14:paraId="5CA59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873AE74">
            <w:pPr>
              <w:widowControl w:val="0"/>
              <w:suppressAutoHyphens/>
              <w:spacing w:after="288" w:afterLines="120" w:line="276" w:lineRule="auto"/>
              <w:ind w:left="-108" w:right="-108"/>
              <w:jc w:val="center"/>
              <w:rPr>
                <w:rFonts w:ascii="Cambria" w:hAnsi="Cambria"/>
              </w:rPr>
            </w:pPr>
            <w:r>
              <w:rPr>
                <w:rFonts w:ascii="Cambria" w:hAnsi="Cambria"/>
              </w:rPr>
              <w:t>53</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8F8755B">
            <w:pPr>
              <w:widowControl w:val="0"/>
              <w:suppressAutoHyphens/>
              <w:spacing w:after="288" w:afterLines="120" w:line="276" w:lineRule="auto"/>
              <w:jc w:val="both"/>
              <w:rPr>
                <w:rFonts w:ascii="Cambria" w:hAnsi="Cambria"/>
                <w:spacing w:val="-1"/>
              </w:rPr>
            </w:pPr>
            <w:r>
              <w:rPr>
                <w:rFonts w:ascii="Cambria" w:hAnsi="Cambria"/>
              </w:rPr>
              <w:t>Dispositivo</w:t>
            </w:r>
            <w:r>
              <w:rPr>
                <w:rFonts w:ascii="Cambria" w:hAnsi="Cambria"/>
                <w:spacing w:val="2"/>
              </w:rPr>
              <w:t xml:space="preserve"> </w:t>
            </w:r>
            <w:r>
              <w:rPr>
                <w:rFonts w:ascii="Cambria" w:hAnsi="Cambria"/>
              </w:rPr>
              <w:t>intra</w:t>
            </w:r>
            <w:r>
              <w:rPr>
                <w:rFonts w:ascii="Cambria" w:hAnsi="Cambria"/>
                <w:spacing w:val="-6"/>
              </w:rPr>
              <w:t xml:space="preserve"> </w:t>
            </w:r>
            <w:r>
              <w:rPr>
                <w:rFonts w:ascii="Cambria" w:hAnsi="Cambria"/>
              </w:rPr>
              <w:t>uterino</w:t>
            </w:r>
            <w:r>
              <w:rPr>
                <w:rFonts w:ascii="Cambria" w:hAnsi="Cambria"/>
                <w:spacing w:val="2"/>
              </w:rPr>
              <w:t xml:space="preserve"> </w:t>
            </w:r>
            <w:r>
              <w:rPr>
                <w:rFonts w:ascii="Cambria" w:hAnsi="Cambria"/>
              </w:rPr>
              <w:t>(diu)</w:t>
            </w:r>
            <w:r>
              <w:rPr>
                <w:rFonts w:ascii="Cambria" w:hAnsi="Cambria"/>
                <w:spacing w:val="3"/>
              </w:rPr>
              <w:t xml:space="preserve"> </w:t>
            </w:r>
            <w:r>
              <w:rPr>
                <w:rFonts w:ascii="Cambria" w:hAnsi="Cambria"/>
              </w:rPr>
              <w:t>de</w:t>
            </w:r>
            <w:r>
              <w:rPr>
                <w:rFonts w:ascii="Cambria" w:hAnsi="Cambria"/>
                <w:spacing w:val="2"/>
              </w:rPr>
              <w:t xml:space="preserve"> </w:t>
            </w:r>
            <w:r>
              <w:rPr>
                <w:rFonts w:ascii="Cambria" w:hAnsi="Cambria"/>
              </w:rPr>
              <w:t>cobre</w:t>
            </w:r>
            <w:r>
              <w:rPr>
                <w:rFonts w:ascii="Cambria" w:hAnsi="Cambria"/>
                <w:spacing w:val="1"/>
              </w:rPr>
              <w:t xml:space="preserve"> </w:t>
            </w:r>
            <w:r>
              <w:rPr>
                <w:rFonts w:ascii="Cambria" w:hAnsi="Cambria"/>
              </w:rPr>
              <w:t>e prata. Confeccionado em polietileno</w:t>
            </w:r>
            <w:r>
              <w:rPr>
                <w:rFonts w:ascii="Cambria" w:hAnsi="Cambria"/>
                <w:spacing w:val="1"/>
              </w:rPr>
              <w:t xml:space="preserve"> </w:t>
            </w:r>
            <w:r>
              <w:rPr>
                <w:rFonts w:ascii="Cambria" w:hAnsi="Cambria"/>
              </w:rPr>
              <w:t>estéril radiopaco, em forma de t com</w:t>
            </w:r>
            <w:r>
              <w:rPr>
                <w:rFonts w:ascii="Cambria" w:hAnsi="Cambria"/>
                <w:spacing w:val="1"/>
              </w:rPr>
              <w:t xml:space="preserve"> </w:t>
            </w:r>
            <w:r>
              <w:rPr>
                <w:rFonts w:ascii="Cambria" w:hAnsi="Cambria"/>
                <w:spacing w:val="-1"/>
              </w:rPr>
              <w:t>superfície total de cobre ativo de 380 mm²</w:t>
            </w:r>
            <w:r>
              <w:rPr>
                <w:rFonts w:ascii="Cambria" w:hAnsi="Cambria"/>
                <w:spacing w:val="-36"/>
              </w:rPr>
              <w:t xml:space="preserve"> </w:t>
            </w:r>
            <w:r>
              <w:rPr>
                <w:rFonts w:ascii="Cambria" w:hAnsi="Cambria"/>
              </w:rPr>
              <w:t>e aplicação de prata que reduz o</w:t>
            </w:r>
            <w:r>
              <w:rPr>
                <w:rFonts w:ascii="Cambria" w:hAnsi="Cambria"/>
                <w:spacing w:val="1"/>
              </w:rPr>
              <w:t xml:space="preserve"> </w:t>
            </w:r>
            <w:r>
              <w:rPr>
                <w:rFonts w:ascii="Cambria" w:hAnsi="Cambria"/>
              </w:rPr>
              <w:t>processo de oxidação do cobre.</w:t>
            </w:r>
            <w:r>
              <w:rPr>
                <w:rFonts w:ascii="Cambria" w:hAnsi="Cambria"/>
                <w:spacing w:val="1"/>
              </w:rPr>
              <w:t xml:space="preserve"> </w:t>
            </w:r>
            <w:r>
              <w:rPr>
                <w:rFonts w:ascii="Cambria" w:hAnsi="Cambria"/>
                <w:spacing w:val="-1"/>
              </w:rPr>
              <w:t xml:space="preserve">Acompanha tubo </w:t>
            </w:r>
            <w:r>
              <w:rPr>
                <w:rFonts w:ascii="Cambria" w:hAnsi="Cambria"/>
              </w:rPr>
              <w:t>aplicador com escala</w:t>
            </w:r>
            <w:r>
              <w:rPr>
                <w:rFonts w:ascii="Cambria" w:hAnsi="Cambria"/>
                <w:spacing w:val="1"/>
              </w:rPr>
              <w:t xml:space="preserve"> </w:t>
            </w:r>
            <w:r>
              <w:rPr>
                <w:rFonts w:ascii="Cambria" w:hAnsi="Cambria"/>
                <w:w w:val="95"/>
              </w:rPr>
              <w:t>centimetrada, anel ajustável e</w:t>
            </w:r>
            <w:r>
              <w:rPr>
                <w:rFonts w:ascii="Cambria" w:hAnsi="Cambria"/>
                <w:spacing w:val="1"/>
                <w:w w:val="95"/>
              </w:rPr>
              <w:t xml:space="preserve"> </w:t>
            </w:r>
            <w:r>
              <w:rPr>
                <w:rFonts w:ascii="Cambria" w:hAnsi="Cambria"/>
                <w:w w:val="95"/>
              </w:rPr>
              <w:t>êmbolo</w:t>
            </w:r>
            <w:r>
              <w:rPr>
                <w:rFonts w:ascii="Cambria" w:hAnsi="Cambria"/>
                <w:spacing w:val="1"/>
                <w:w w:val="95"/>
              </w:rPr>
              <w:t xml:space="preserve"> </w:t>
            </w:r>
            <w:r>
              <w:rPr>
                <w:rFonts w:ascii="Cambria" w:hAnsi="Cambria"/>
              </w:rPr>
              <w:t>pré-inserido.</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EBAD60A">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0B1F707">
            <w:pPr>
              <w:widowControl w:val="0"/>
              <w:suppressAutoHyphens/>
              <w:spacing w:after="288" w:afterLines="120" w:line="276" w:lineRule="auto"/>
              <w:jc w:val="center"/>
              <w:rPr>
                <w:rFonts w:ascii="Cambria" w:hAnsi="Cambria"/>
              </w:rPr>
            </w:pPr>
            <w:r>
              <w:rPr>
                <w:rFonts w:ascii="Cambria" w:hAnsi="Cambria"/>
              </w:rPr>
              <w:t>100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65EA6A1">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R$ 139,83</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82B3538">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R$ 13.983,00</w:t>
            </w:r>
          </w:p>
        </w:tc>
      </w:tr>
      <w:tr w14:paraId="5D99B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D560233">
            <w:pPr>
              <w:widowControl w:val="0"/>
              <w:suppressAutoHyphens/>
              <w:spacing w:after="288" w:afterLines="120" w:line="276" w:lineRule="auto"/>
              <w:ind w:left="-108" w:right="-108"/>
              <w:jc w:val="center"/>
              <w:rPr>
                <w:rFonts w:ascii="Cambria" w:hAnsi="Cambria"/>
              </w:rPr>
            </w:pPr>
            <w:r>
              <w:rPr>
                <w:rFonts w:ascii="Cambria" w:hAnsi="Cambria"/>
              </w:rPr>
              <w:t>54</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79F3E5C">
            <w:pPr>
              <w:widowControl w:val="0"/>
              <w:suppressAutoHyphens/>
              <w:spacing w:after="288" w:afterLines="120" w:line="276" w:lineRule="auto"/>
              <w:jc w:val="both"/>
              <w:rPr>
                <w:rFonts w:ascii="Cambria" w:hAnsi="Cambria"/>
              </w:rPr>
            </w:pPr>
            <w:r>
              <w:rPr>
                <w:rFonts w:ascii="Cambria" w:hAnsi="Cambria"/>
                <w:spacing w:val="-1"/>
              </w:rPr>
              <w:t xml:space="preserve">Atadura gessada 15cm, </w:t>
            </w:r>
            <w:r>
              <w:rPr>
                <w:rFonts w:ascii="Cambria" w:hAnsi="Cambria"/>
              </w:rPr>
              <w:t>confeccionada em</w:t>
            </w:r>
            <w:r>
              <w:rPr>
                <w:rFonts w:ascii="Cambria" w:hAnsi="Cambria"/>
                <w:spacing w:val="-36"/>
              </w:rPr>
              <w:t xml:space="preserve"> </w:t>
            </w:r>
            <w:r>
              <w:rPr>
                <w:rFonts w:ascii="Cambria" w:hAnsi="Cambria"/>
              </w:rPr>
              <w:t>pano tipo tela 100% algodão, isento de</w:t>
            </w:r>
            <w:r>
              <w:rPr>
                <w:rFonts w:ascii="Cambria" w:hAnsi="Cambria"/>
                <w:spacing w:val="1"/>
              </w:rPr>
              <w:t xml:space="preserve"> </w:t>
            </w:r>
            <w:r>
              <w:rPr>
                <w:rFonts w:ascii="Cambria" w:hAnsi="Cambria"/>
              </w:rPr>
              <w:t>amido e alvejante óptico, uniformemente</w:t>
            </w:r>
            <w:r>
              <w:rPr>
                <w:rFonts w:ascii="Cambria" w:hAnsi="Cambria"/>
                <w:spacing w:val="1"/>
              </w:rPr>
              <w:t xml:space="preserve"> </w:t>
            </w:r>
            <w:r>
              <w:rPr>
                <w:rFonts w:ascii="Cambria" w:hAnsi="Cambria"/>
              </w:rPr>
              <w:t>impregnado com gesso tipo alfa</w:t>
            </w:r>
            <w:r>
              <w:rPr>
                <w:rFonts w:ascii="Cambria" w:hAnsi="Cambria"/>
                <w:spacing w:val="1"/>
              </w:rPr>
              <w:t xml:space="preserve"> </w:t>
            </w:r>
            <w:r>
              <w:rPr>
                <w:rFonts w:ascii="Cambria" w:hAnsi="Cambria"/>
                <w:spacing w:val="-1"/>
              </w:rPr>
              <w:t>ortopédico com textura suave e cremosa</w:t>
            </w:r>
            <w:r>
              <w:rPr>
                <w:rFonts w:ascii="Cambria" w:hAnsi="Cambria"/>
                <w:spacing w:val="-36"/>
              </w:rPr>
              <w:t xml:space="preserve"> </w:t>
            </w:r>
            <w:r>
              <w:rPr>
                <w:rFonts w:ascii="Cambria" w:hAnsi="Cambria"/>
              </w:rPr>
              <w:t>proporciona fácil moldagem, corte</w:t>
            </w:r>
            <w:r>
              <w:rPr>
                <w:rFonts w:ascii="Cambria" w:hAnsi="Cambria"/>
                <w:spacing w:val="1"/>
              </w:rPr>
              <w:t xml:space="preserve"> </w:t>
            </w:r>
            <w:r>
              <w:rPr>
                <w:rFonts w:ascii="Cambria" w:hAnsi="Cambria"/>
              </w:rPr>
              <w:t>lateral</w:t>
            </w:r>
            <w:r>
              <w:rPr>
                <w:rFonts w:ascii="Cambria" w:hAnsi="Cambria"/>
                <w:spacing w:val="-5"/>
              </w:rPr>
              <w:t xml:space="preserve"> </w:t>
            </w:r>
            <w:r>
              <w:rPr>
                <w:rFonts w:ascii="Cambria" w:hAnsi="Cambria"/>
              </w:rPr>
              <w:t>sinuoso</w:t>
            </w:r>
            <w:r>
              <w:rPr>
                <w:rFonts w:ascii="Cambria" w:hAnsi="Cambria"/>
                <w:spacing w:val="2"/>
              </w:rPr>
              <w:t xml:space="preserve"> </w:t>
            </w:r>
            <w:r>
              <w:rPr>
                <w:rFonts w:ascii="Cambria" w:hAnsi="Cambria"/>
              </w:rPr>
              <w:t>que</w:t>
            </w:r>
            <w:r>
              <w:rPr>
                <w:rFonts w:ascii="Cambria" w:hAnsi="Cambria"/>
                <w:spacing w:val="2"/>
              </w:rPr>
              <w:t xml:space="preserve"> </w:t>
            </w:r>
            <w:r>
              <w:rPr>
                <w:rFonts w:ascii="Cambria" w:hAnsi="Cambria"/>
              </w:rPr>
              <w:t>evitam</w:t>
            </w:r>
            <w:r>
              <w:rPr>
                <w:rFonts w:ascii="Cambria" w:hAnsi="Cambria"/>
                <w:spacing w:val="1"/>
              </w:rPr>
              <w:t xml:space="preserve"> </w:t>
            </w:r>
            <w:r>
              <w:rPr>
                <w:rFonts w:ascii="Cambria" w:hAnsi="Cambria"/>
              </w:rPr>
              <w:t>o</w:t>
            </w:r>
            <w:r>
              <w:rPr>
                <w:rFonts w:ascii="Cambria" w:hAnsi="Cambria"/>
                <w:spacing w:val="1"/>
              </w:rPr>
              <w:t xml:space="preserve"> </w:t>
            </w:r>
            <w:r>
              <w:rPr>
                <w:rFonts w:ascii="Cambria" w:hAnsi="Cambria"/>
              </w:rPr>
              <w:t>desfiamento e/ou garroteamento para</w:t>
            </w:r>
            <w:r>
              <w:rPr>
                <w:rFonts w:ascii="Cambria" w:hAnsi="Cambria"/>
                <w:spacing w:val="1"/>
              </w:rPr>
              <w:t xml:space="preserve"> </w:t>
            </w:r>
            <w:r>
              <w:rPr>
                <w:rFonts w:ascii="Cambria" w:hAnsi="Cambria"/>
              </w:rPr>
              <w:t>melhor desempenho técnico, enrolada</w:t>
            </w:r>
            <w:r>
              <w:rPr>
                <w:rFonts w:ascii="Cambria" w:hAnsi="Cambria"/>
                <w:spacing w:val="1"/>
              </w:rPr>
              <w:t xml:space="preserve"> </w:t>
            </w:r>
            <w:r>
              <w:rPr>
                <w:rFonts w:ascii="Cambria" w:hAnsi="Cambria"/>
              </w:rPr>
              <w:t>sobre si com tubete de plástico que</w:t>
            </w:r>
            <w:r>
              <w:rPr>
                <w:rFonts w:ascii="Cambria" w:hAnsi="Cambria"/>
                <w:spacing w:val="1"/>
              </w:rPr>
              <w:t xml:space="preserve"> </w:t>
            </w:r>
            <w:r>
              <w:rPr>
                <w:rFonts w:ascii="Cambria" w:hAnsi="Cambria"/>
                <w:spacing w:val="-2"/>
              </w:rPr>
              <w:t>facilita</w:t>
            </w:r>
            <w:r>
              <w:rPr>
                <w:rFonts w:ascii="Cambria" w:hAnsi="Cambria"/>
                <w:spacing w:val="-1"/>
              </w:rPr>
              <w:t xml:space="preserve"> </w:t>
            </w:r>
            <w:r>
              <w:rPr>
                <w:rFonts w:ascii="Cambria" w:hAnsi="Cambria"/>
                <w:spacing w:val="-2"/>
              </w:rPr>
              <w:t>o</w:t>
            </w:r>
            <w:r>
              <w:rPr>
                <w:rFonts w:ascii="Cambria" w:hAnsi="Cambria"/>
                <w:spacing w:val="8"/>
              </w:rPr>
              <w:t xml:space="preserve"> </w:t>
            </w:r>
            <w:r>
              <w:rPr>
                <w:rFonts w:ascii="Cambria" w:hAnsi="Cambria"/>
                <w:spacing w:val="-2"/>
              </w:rPr>
              <w:t>desenrolar</w:t>
            </w:r>
            <w:r>
              <w:rPr>
                <w:rFonts w:ascii="Cambria" w:hAnsi="Cambria"/>
                <w:spacing w:val="8"/>
              </w:rPr>
              <w:t xml:space="preserve"> </w:t>
            </w:r>
            <w:r>
              <w:rPr>
                <w:rFonts w:ascii="Cambria" w:hAnsi="Cambria"/>
                <w:spacing w:val="-1"/>
              </w:rPr>
              <w:t>da</w:t>
            </w:r>
            <w:r>
              <w:rPr>
                <w:rFonts w:ascii="Cambria" w:hAnsi="Cambria"/>
                <w:spacing w:val="-8"/>
              </w:rPr>
              <w:t xml:space="preserve"> </w:t>
            </w:r>
            <w:r>
              <w:rPr>
                <w:rFonts w:ascii="Cambria" w:hAnsi="Cambria"/>
                <w:spacing w:val="-1"/>
              </w:rPr>
              <w:t>atadura.</w:t>
            </w:r>
            <w:r>
              <w:rPr>
                <w:rFonts w:ascii="Cambria" w:hAnsi="Cambria"/>
              </w:rPr>
              <w:t xml:space="preserve"> Embalada</w:t>
            </w:r>
            <w:r>
              <w:rPr>
                <w:rFonts w:ascii="Cambria" w:hAnsi="Cambria"/>
                <w:spacing w:val="-8"/>
              </w:rPr>
              <w:t xml:space="preserve"> </w:t>
            </w:r>
            <w:r>
              <w:rPr>
                <w:rFonts w:ascii="Cambria" w:hAnsi="Cambria"/>
              </w:rPr>
              <w:t>individualmente.</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328357A">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8984C15">
            <w:pPr>
              <w:widowControl w:val="0"/>
              <w:suppressAutoHyphens/>
              <w:spacing w:after="288" w:afterLines="120" w:line="276" w:lineRule="auto"/>
              <w:jc w:val="center"/>
              <w:rPr>
                <w:rFonts w:ascii="Cambria" w:hAnsi="Cambria"/>
              </w:rPr>
            </w:pPr>
            <w:r>
              <w:rPr>
                <w:rFonts w:ascii="Cambria" w:hAnsi="Cambria"/>
              </w:rPr>
              <w:t>150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5AB9565">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R$ 6,20</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28F46BD">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R$ 930,00</w:t>
            </w:r>
          </w:p>
        </w:tc>
      </w:tr>
      <w:tr w14:paraId="43819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353C197">
            <w:pPr>
              <w:widowControl w:val="0"/>
              <w:suppressAutoHyphens/>
              <w:spacing w:after="288" w:afterLines="120" w:line="276" w:lineRule="auto"/>
              <w:ind w:left="-108" w:right="-108"/>
              <w:jc w:val="center"/>
              <w:rPr>
                <w:rFonts w:ascii="Cambria" w:hAnsi="Cambria"/>
              </w:rPr>
            </w:pPr>
            <w:r>
              <w:rPr>
                <w:rFonts w:ascii="Cambria" w:hAnsi="Cambria"/>
              </w:rPr>
              <w:t>55</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F36B080">
            <w:pPr>
              <w:widowControl w:val="0"/>
              <w:suppressAutoHyphens/>
              <w:spacing w:after="288" w:afterLines="120" w:line="276" w:lineRule="auto"/>
              <w:jc w:val="both"/>
              <w:rPr>
                <w:rFonts w:ascii="Cambria" w:hAnsi="Cambria"/>
                <w:spacing w:val="-1"/>
              </w:rPr>
            </w:pPr>
            <w:r>
              <w:rPr>
                <w:rFonts w:ascii="Cambria" w:hAnsi="Cambria"/>
                <w:spacing w:val="-1"/>
              </w:rPr>
              <w:t>Atadura</w:t>
            </w:r>
            <w:r>
              <w:rPr>
                <w:rFonts w:ascii="Cambria" w:hAnsi="Cambria"/>
                <w:spacing w:val="-9"/>
              </w:rPr>
              <w:t xml:space="preserve"> </w:t>
            </w:r>
            <w:r>
              <w:rPr>
                <w:rFonts w:ascii="Cambria" w:hAnsi="Cambria"/>
                <w:spacing w:val="-1"/>
              </w:rPr>
              <w:t>gessada</w:t>
            </w:r>
            <w:r>
              <w:rPr>
                <w:rFonts w:ascii="Cambria" w:hAnsi="Cambria"/>
                <w:spacing w:val="-9"/>
              </w:rPr>
              <w:t xml:space="preserve"> </w:t>
            </w:r>
            <w:r>
              <w:rPr>
                <w:rFonts w:ascii="Cambria" w:hAnsi="Cambria"/>
                <w:spacing w:val="-1"/>
              </w:rPr>
              <w:t>20cm,</w:t>
            </w:r>
            <w:r>
              <w:rPr>
                <w:rFonts w:ascii="Cambria" w:hAnsi="Cambria"/>
              </w:rPr>
              <w:t xml:space="preserve"> </w:t>
            </w:r>
            <w:r>
              <w:rPr>
                <w:rFonts w:ascii="Cambria" w:hAnsi="Cambria"/>
                <w:spacing w:val="-1"/>
              </w:rPr>
              <w:t>confeccionada</w:t>
            </w:r>
            <w:r>
              <w:rPr>
                <w:rFonts w:ascii="Cambria" w:hAnsi="Cambria"/>
                <w:spacing w:val="-9"/>
              </w:rPr>
              <w:t xml:space="preserve"> </w:t>
            </w:r>
            <w:r>
              <w:rPr>
                <w:rFonts w:ascii="Cambria" w:hAnsi="Cambria"/>
                <w:spacing w:val="-1"/>
              </w:rPr>
              <w:t>em</w:t>
            </w:r>
            <w:r>
              <w:rPr>
                <w:rFonts w:ascii="Cambria" w:hAnsi="Cambria"/>
                <w:spacing w:val="-36"/>
              </w:rPr>
              <w:t xml:space="preserve"> </w:t>
            </w:r>
            <w:r>
              <w:rPr>
                <w:rFonts w:ascii="Cambria" w:hAnsi="Cambria"/>
              </w:rPr>
              <w:t>pano tipo tela 100% algodão, isento de</w:t>
            </w:r>
            <w:r>
              <w:rPr>
                <w:rFonts w:ascii="Cambria" w:hAnsi="Cambria"/>
                <w:spacing w:val="1"/>
              </w:rPr>
              <w:t xml:space="preserve"> </w:t>
            </w:r>
            <w:r>
              <w:rPr>
                <w:rFonts w:ascii="Cambria" w:hAnsi="Cambria"/>
                <w:spacing w:val="-1"/>
              </w:rPr>
              <w:t xml:space="preserve">amido e alvejante óptico, </w:t>
            </w:r>
            <w:r>
              <w:rPr>
                <w:rFonts w:ascii="Cambria" w:hAnsi="Cambria"/>
              </w:rPr>
              <w:t>uniformemente</w:t>
            </w:r>
            <w:r>
              <w:rPr>
                <w:rFonts w:ascii="Cambria" w:hAnsi="Cambria"/>
                <w:spacing w:val="-36"/>
              </w:rPr>
              <w:t xml:space="preserve"> </w:t>
            </w:r>
            <w:r>
              <w:rPr>
                <w:rFonts w:ascii="Cambria" w:hAnsi="Cambria"/>
              </w:rPr>
              <w:t>impregnado</w:t>
            </w:r>
            <w:r>
              <w:rPr>
                <w:rFonts w:ascii="Cambria" w:hAnsi="Cambria"/>
                <w:spacing w:val="-2"/>
              </w:rPr>
              <w:t xml:space="preserve"> </w:t>
            </w:r>
            <w:r>
              <w:rPr>
                <w:rFonts w:ascii="Cambria" w:hAnsi="Cambria"/>
              </w:rPr>
              <w:t>com</w:t>
            </w:r>
            <w:r>
              <w:rPr>
                <w:rFonts w:ascii="Cambria" w:hAnsi="Cambria"/>
                <w:spacing w:val="-2"/>
              </w:rPr>
              <w:t xml:space="preserve"> </w:t>
            </w:r>
            <w:r>
              <w:rPr>
                <w:rFonts w:ascii="Cambria" w:hAnsi="Cambria"/>
              </w:rPr>
              <w:t>gesso</w:t>
            </w:r>
            <w:r>
              <w:rPr>
                <w:rFonts w:ascii="Cambria" w:hAnsi="Cambria"/>
                <w:spacing w:val="-5"/>
              </w:rPr>
              <w:t xml:space="preserve"> </w:t>
            </w:r>
            <w:r>
              <w:rPr>
                <w:rFonts w:ascii="Cambria" w:hAnsi="Cambria"/>
              </w:rPr>
              <w:t>tipo</w:t>
            </w:r>
            <w:r>
              <w:rPr>
                <w:rFonts w:ascii="Cambria" w:hAnsi="Cambria"/>
                <w:spacing w:val="-10"/>
              </w:rPr>
              <w:t xml:space="preserve"> </w:t>
            </w:r>
            <w:r>
              <w:rPr>
                <w:rFonts w:ascii="Cambria" w:hAnsi="Cambria"/>
              </w:rPr>
              <w:t>alfa</w:t>
            </w:r>
            <w:r>
              <w:rPr>
                <w:rFonts w:ascii="Cambria" w:hAnsi="Cambria"/>
                <w:spacing w:val="-9"/>
              </w:rPr>
              <w:t xml:space="preserve"> </w:t>
            </w:r>
            <w:r>
              <w:rPr>
                <w:rFonts w:ascii="Cambria" w:hAnsi="Cambria"/>
              </w:rPr>
              <w:t>ortopé dico com textura suave e cremosa</w:t>
            </w:r>
            <w:r>
              <w:rPr>
                <w:rFonts w:ascii="Cambria" w:hAnsi="Cambria"/>
                <w:spacing w:val="1"/>
              </w:rPr>
              <w:t xml:space="preserve"> </w:t>
            </w:r>
            <w:r>
              <w:rPr>
                <w:rFonts w:ascii="Cambria" w:hAnsi="Cambria"/>
              </w:rPr>
              <w:t>proporciona fácil moldagem, corte</w:t>
            </w:r>
            <w:r>
              <w:rPr>
                <w:rFonts w:ascii="Cambria" w:hAnsi="Cambria"/>
                <w:spacing w:val="1"/>
              </w:rPr>
              <w:t xml:space="preserve"> </w:t>
            </w:r>
            <w:r>
              <w:rPr>
                <w:rFonts w:ascii="Cambria" w:hAnsi="Cambria"/>
              </w:rPr>
              <w:t>lateral sinuoso que evitam o</w:t>
            </w:r>
            <w:r>
              <w:rPr>
                <w:rFonts w:ascii="Cambria" w:hAnsi="Cambria"/>
                <w:spacing w:val="1"/>
              </w:rPr>
              <w:t xml:space="preserve"> </w:t>
            </w:r>
            <w:r>
              <w:rPr>
                <w:rFonts w:ascii="Cambria" w:hAnsi="Cambria"/>
              </w:rPr>
              <w:t>desfiamento e/ou garroteamento para</w:t>
            </w:r>
            <w:r>
              <w:rPr>
                <w:rFonts w:ascii="Cambria" w:hAnsi="Cambria"/>
                <w:spacing w:val="-36"/>
              </w:rPr>
              <w:t xml:space="preserve"> </w:t>
            </w:r>
            <w:r>
              <w:rPr>
                <w:rFonts w:ascii="Cambria" w:hAnsi="Cambria"/>
              </w:rPr>
              <w:t>melhor</w:t>
            </w:r>
            <w:r>
              <w:rPr>
                <w:rFonts w:ascii="Cambria" w:hAnsi="Cambria"/>
                <w:spacing w:val="-5"/>
              </w:rPr>
              <w:t xml:space="preserve"> </w:t>
            </w:r>
            <w:r>
              <w:rPr>
                <w:rFonts w:ascii="Cambria" w:hAnsi="Cambria"/>
              </w:rPr>
              <w:t>desempenho</w:t>
            </w:r>
            <w:r>
              <w:rPr>
                <w:rFonts w:ascii="Cambria" w:hAnsi="Cambria"/>
                <w:spacing w:val="-8"/>
              </w:rPr>
              <w:t xml:space="preserve"> </w:t>
            </w:r>
            <w:r>
              <w:rPr>
                <w:rFonts w:ascii="Cambria" w:hAnsi="Cambria"/>
              </w:rPr>
              <w:t>técnico,</w:t>
            </w:r>
            <w:r>
              <w:rPr>
                <w:rFonts w:ascii="Cambria" w:hAnsi="Cambria"/>
                <w:spacing w:val="-5"/>
              </w:rPr>
              <w:t xml:space="preserve"> </w:t>
            </w:r>
            <w:r>
              <w:rPr>
                <w:rFonts w:ascii="Cambria" w:hAnsi="Cambria"/>
              </w:rPr>
              <w:t>enrolada</w:t>
            </w:r>
            <w:r>
              <w:rPr>
                <w:rFonts w:ascii="Cambria" w:hAnsi="Cambria"/>
                <w:spacing w:val="-35"/>
              </w:rPr>
              <w:t xml:space="preserve"> </w:t>
            </w:r>
            <w:r>
              <w:rPr>
                <w:rFonts w:ascii="Cambria" w:hAnsi="Cambria"/>
              </w:rPr>
              <w:t>sobre si com tubete de plástico que</w:t>
            </w:r>
            <w:r>
              <w:rPr>
                <w:rFonts w:ascii="Cambria" w:hAnsi="Cambria"/>
                <w:spacing w:val="1"/>
              </w:rPr>
              <w:t xml:space="preserve"> </w:t>
            </w:r>
            <w:r>
              <w:rPr>
                <w:rFonts w:ascii="Cambria" w:hAnsi="Cambria"/>
                <w:spacing w:val="-2"/>
              </w:rPr>
              <w:t xml:space="preserve">facilita o desenrolar </w:t>
            </w:r>
            <w:r>
              <w:rPr>
                <w:rFonts w:ascii="Cambria" w:hAnsi="Cambria"/>
                <w:spacing w:val="-1"/>
              </w:rPr>
              <w:t>da atadura.</w:t>
            </w:r>
            <w:r>
              <w:rPr>
                <w:rFonts w:ascii="Cambria" w:hAnsi="Cambria"/>
              </w:rPr>
              <w:t xml:space="preserve"> Embalada</w:t>
            </w:r>
            <w:r>
              <w:rPr>
                <w:rFonts w:ascii="Cambria" w:hAnsi="Cambria"/>
                <w:spacing w:val="-8"/>
              </w:rPr>
              <w:t xml:space="preserve"> </w:t>
            </w:r>
            <w:r>
              <w:rPr>
                <w:rFonts w:ascii="Cambria" w:hAnsi="Cambria"/>
              </w:rPr>
              <w:t>individualmente.</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01DCE88">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288FB70">
            <w:pPr>
              <w:widowControl w:val="0"/>
              <w:suppressAutoHyphens/>
              <w:spacing w:after="288" w:afterLines="120" w:line="276" w:lineRule="auto"/>
              <w:jc w:val="center"/>
              <w:rPr>
                <w:rFonts w:ascii="Cambria" w:hAnsi="Cambria"/>
              </w:rPr>
            </w:pPr>
            <w:r>
              <w:rPr>
                <w:rFonts w:ascii="Cambria" w:hAnsi="Cambria"/>
              </w:rPr>
              <w:t>150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C22F531">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R$ 8,28</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4253C28">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R$ 1.242,00</w:t>
            </w:r>
          </w:p>
        </w:tc>
      </w:tr>
      <w:tr w14:paraId="627EE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A549C9E">
            <w:pPr>
              <w:widowControl w:val="0"/>
              <w:suppressAutoHyphens/>
              <w:spacing w:after="288" w:afterLines="120" w:line="276" w:lineRule="auto"/>
              <w:ind w:left="-108" w:right="-108"/>
              <w:jc w:val="center"/>
              <w:rPr>
                <w:rFonts w:ascii="Cambria" w:hAnsi="Cambria"/>
              </w:rPr>
            </w:pPr>
            <w:r>
              <w:rPr>
                <w:rFonts w:ascii="Cambria" w:hAnsi="Cambria"/>
              </w:rPr>
              <w:t>56</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B093CE7">
            <w:pPr>
              <w:widowControl w:val="0"/>
              <w:suppressAutoHyphens/>
              <w:spacing w:after="288" w:afterLines="120" w:line="276" w:lineRule="auto"/>
              <w:jc w:val="both"/>
              <w:rPr>
                <w:rFonts w:ascii="Cambria" w:hAnsi="Cambria"/>
                <w:spacing w:val="-1"/>
              </w:rPr>
            </w:pPr>
            <w:r>
              <w:rPr>
                <w:rFonts w:ascii="Cambria" w:hAnsi="Cambria"/>
              </w:rPr>
              <w:t>Atadura gessada 10cm, confeccionada em pano tipo</w:t>
            </w:r>
            <w:r>
              <w:rPr>
                <w:rFonts w:ascii="Cambria" w:hAnsi="Cambria"/>
                <w:spacing w:val="1"/>
              </w:rPr>
              <w:t xml:space="preserve"> </w:t>
            </w:r>
            <w:r>
              <w:rPr>
                <w:rFonts w:ascii="Cambria" w:hAnsi="Cambria"/>
              </w:rPr>
              <w:t>tela 100% algodão, isento de amido e alvejante</w:t>
            </w:r>
            <w:r>
              <w:rPr>
                <w:rFonts w:ascii="Cambria" w:hAnsi="Cambria"/>
                <w:spacing w:val="1"/>
              </w:rPr>
              <w:t xml:space="preserve"> </w:t>
            </w:r>
            <w:r>
              <w:rPr>
                <w:rFonts w:ascii="Cambria" w:hAnsi="Cambria"/>
              </w:rPr>
              <w:t>óptico, uniformemente impregnado com gesso tipo</w:t>
            </w:r>
            <w:r>
              <w:rPr>
                <w:rFonts w:ascii="Cambria" w:hAnsi="Cambria"/>
                <w:spacing w:val="1"/>
              </w:rPr>
              <w:t xml:space="preserve"> </w:t>
            </w:r>
            <w:r>
              <w:rPr>
                <w:rFonts w:ascii="Cambria" w:hAnsi="Cambria"/>
              </w:rPr>
              <w:t>alfa ortopédico com textura suave e cremosa</w:t>
            </w:r>
            <w:r>
              <w:rPr>
                <w:rFonts w:ascii="Cambria" w:hAnsi="Cambria"/>
                <w:spacing w:val="1"/>
              </w:rPr>
              <w:t xml:space="preserve"> </w:t>
            </w:r>
            <w:r>
              <w:rPr>
                <w:rFonts w:ascii="Cambria" w:hAnsi="Cambria"/>
              </w:rPr>
              <w:t>proporciona fácil moldagem, corte lateral sinuoso que</w:t>
            </w:r>
            <w:r>
              <w:rPr>
                <w:rFonts w:ascii="Cambria" w:hAnsi="Cambria"/>
                <w:spacing w:val="-36"/>
              </w:rPr>
              <w:t xml:space="preserve"> </w:t>
            </w:r>
            <w:r>
              <w:rPr>
                <w:rFonts w:ascii="Cambria" w:hAnsi="Cambria"/>
              </w:rPr>
              <w:t>evitam o desfiamento e/ou garroteamento para</w:t>
            </w:r>
            <w:r>
              <w:rPr>
                <w:rFonts w:ascii="Cambria" w:hAnsi="Cambria"/>
                <w:spacing w:val="1"/>
              </w:rPr>
              <w:t xml:space="preserve"> </w:t>
            </w:r>
            <w:r>
              <w:rPr>
                <w:rFonts w:ascii="Cambria" w:hAnsi="Cambria"/>
              </w:rPr>
              <w:t>melhor desempenho técnico, enrolada sobre si com</w:t>
            </w:r>
            <w:r>
              <w:rPr>
                <w:rFonts w:ascii="Cambria" w:hAnsi="Cambria"/>
                <w:spacing w:val="1"/>
              </w:rPr>
              <w:t xml:space="preserve"> </w:t>
            </w:r>
            <w:r>
              <w:rPr>
                <w:rFonts w:ascii="Cambria" w:hAnsi="Cambria"/>
              </w:rPr>
              <w:t>tubete de plástico que facilita o desenrolar da atadura.</w:t>
            </w:r>
            <w:r>
              <w:rPr>
                <w:rFonts w:ascii="Cambria" w:hAnsi="Cambria"/>
                <w:spacing w:val="-36"/>
              </w:rPr>
              <w:t xml:space="preserve"> </w:t>
            </w:r>
            <w:r>
              <w:rPr>
                <w:rFonts w:ascii="Cambria" w:hAnsi="Cambria"/>
              </w:rPr>
              <w:t>Embalada individualmente.</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C724C26">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7E02CAB">
            <w:pPr>
              <w:widowControl w:val="0"/>
              <w:suppressAutoHyphens/>
              <w:spacing w:after="288" w:afterLines="120" w:line="276" w:lineRule="auto"/>
              <w:jc w:val="center"/>
              <w:rPr>
                <w:rFonts w:ascii="Cambria" w:hAnsi="Cambria"/>
              </w:rPr>
            </w:pPr>
            <w:r>
              <w:rPr>
                <w:rFonts w:ascii="Cambria" w:hAnsi="Cambria"/>
              </w:rPr>
              <w:t>150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E1E4DF3">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R$ 4,64</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BA1351A">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R$ 696,00</w:t>
            </w:r>
          </w:p>
        </w:tc>
      </w:tr>
      <w:tr w14:paraId="333A2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E73D784">
            <w:pPr>
              <w:widowControl w:val="0"/>
              <w:suppressAutoHyphens/>
              <w:spacing w:after="288" w:afterLines="120" w:line="276" w:lineRule="auto"/>
              <w:ind w:left="-108" w:right="-108"/>
              <w:jc w:val="center"/>
              <w:rPr>
                <w:rFonts w:ascii="Cambria" w:hAnsi="Cambria"/>
              </w:rPr>
            </w:pPr>
            <w:r>
              <w:rPr>
                <w:rFonts w:ascii="Cambria" w:hAnsi="Cambria"/>
              </w:rPr>
              <w:t>57</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D1FCF87">
            <w:pPr>
              <w:widowControl w:val="0"/>
              <w:suppressAutoHyphens/>
              <w:spacing w:after="288" w:afterLines="120" w:line="276" w:lineRule="auto"/>
              <w:jc w:val="both"/>
              <w:rPr>
                <w:rFonts w:ascii="Cambria" w:hAnsi="Cambria"/>
              </w:rPr>
            </w:pPr>
            <w:r>
              <w:rPr>
                <w:rFonts w:ascii="Cambria" w:hAnsi="Cambria"/>
                <w:spacing w:val="-1"/>
              </w:rPr>
              <w:t>Fio</w:t>
            </w:r>
            <w:r>
              <w:rPr>
                <w:rFonts w:ascii="Cambria" w:hAnsi="Cambria"/>
                <w:spacing w:val="-2"/>
              </w:rPr>
              <w:t xml:space="preserve"> </w:t>
            </w:r>
            <w:r>
              <w:rPr>
                <w:rFonts w:ascii="Cambria" w:hAnsi="Cambria"/>
                <w:spacing w:val="-1"/>
              </w:rPr>
              <w:t>catgut</w:t>
            </w:r>
            <w:r>
              <w:rPr>
                <w:rFonts w:ascii="Cambria" w:hAnsi="Cambria"/>
                <w:spacing w:val="-5"/>
              </w:rPr>
              <w:t xml:space="preserve"> </w:t>
            </w:r>
            <w:r>
              <w:rPr>
                <w:rFonts w:ascii="Cambria" w:hAnsi="Cambria"/>
                <w:spacing w:val="-1"/>
              </w:rPr>
              <w:t xml:space="preserve">cromado </w:t>
            </w:r>
            <w:r>
              <w:rPr>
                <w:rFonts w:ascii="Cambria" w:hAnsi="Cambria"/>
              </w:rPr>
              <w:t>5-0</w:t>
            </w:r>
            <w:r>
              <w:rPr>
                <w:rFonts w:ascii="Cambria" w:hAnsi="Cambria"/>
                <w:spacing w:val="-2"/>
              </w:rPr>
              <w:t xml:space="preserve"> </w:t>
            </w:r>
            <w:r>
              <w:rPr>
                <w:rFonts w:ascii="Cambria" w:hAnsi="Cambria"/>
              </w:rPr>
              <w:t>com</w:t>
            </w:r>
            <w:r>
              <w:rPr>
                <w:rFonts w:ascii="Cambria" w:hAnsi="Cambria"/>
                <w:spacing w:val="-10"/>
              </w:rPr>
              <w:t xml:space="preserve"> </w:t>
            </w:r>
            <w:r>
              <w:rPr>
                <w:rFonts w:ascii="Cambria" w:hAnsi="Cambria"/>
              </w:rPr>
              <w:t>agulha</w:t>
            </w:r>
            <w:r>
              <w:rPr>
                <w:rFonts w:ascii="Cambria" w:hAnsi="Cambria"/>
                <w:spacing w:val="-9"/>
              </w:rPr>
              <w:t xml:space="preserve"> </w:t>
            </w:r>
            <w:r>
              <w:rPr>
                <w:rFonts w:ascii="Cambria" w:hAnsi="Cambria"/>
              </w:rPr>
              <w:t>2,5cm</w:t>
            </w:r>
            <w:r>
              <w:rPr>
                <w:rFonts w:ascii="Cambria" w:hAnsi="Cambria"/>
                <w:spacing w:val="-36"/>
              </w:rPr>
              <w:t xml:space="preserve"> </w:t>
            </w:r>
            <w:r>
              <w:rPr>
                <w:rFonts w:ascii="Cambria" w:hAnsi="Cambria"/>
              </w:rPr>
              <w:t>cilíndrica</w:t>
            </w:r>
            <w:r>
              <w:rPr>
                <w:rFonts w:ascii="Cambria" w:hAnsi="Cambria"/>
                <w:spacing w:val="-8"/>
              </w:rPr>
              <w:t xml:space="preserve"> </w:t>
            </w:r>
            <w:r>
              <w:rPr>
                <w:rFonts w:ascii="Cambria" w:hAnsi="Cambria"/>
              </w:rPr>
              <w:t>caixa</w:t>
            </w:r>
            <w:r>
              <w:rPr>
                <w:rFonts w:ascii="Cambria" w:hAnsi="Cambria"/>
                <w:spacing w:val="-8"/>
              </w:rPr>
              <w:t xml:space="preserve"> </w:t>
            </w:r>
            <w:r>
              <w:rPr>
                <w:rFonts w:ascii="Cambria" w:hAnsi="Cambria"/>
              </w:rPr>
              <w:t>com 24 envelopes.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8692916">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55A0FEE">
            <w:pPr>
              <w:widowControl w:val="0"/>
              <w:suppressAutoHyphens/>
              <w:spacing w:after="288" w:afterLines="120" w:line="276" w:lineRule="auto"/>
              <w:jc w:val="center"/>
              <w:rPr>
                <w:rFonts w:ascii="Cambria" w:hAnsi="Cambria"/>
              </w:rPr>
            </w:pPr>
            <w:r>
              <w:rPr>
                <w:rFonts w:ascii="Cambria" w:hAnsi="Cambria"/>
              </w:rPr>
              <w:t>20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B21D643">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R$ 186,33</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C256FAE">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R$ 3.726,60</w:t>
            </w:r>
          </w:p>
        </w:tc>
      </w:tr>
      <w:tr w14:paraId="45313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DDD4E9C">
            <w:pPr>
              <w:widowControl w:val="0"/>
              <w:suppressAutoHyphens/>
              <w:spacing w:after="288" w:afterLines="120" w:line="276" w:lineRule="auto"/>
              <w:ind w:left="-108" w:right="-108"/>
              <w:jc w:val="center"/>
              <w:rPr>
                <w:rFonts w:ascii="Cambria" w:hAnsi="Cambria"/>
              </w:rPr>
            </w:pPr>
            <w:r>
              <w:rPr>
                <w:rFonts w:ascii="Cambria" w:hAnsi="Cambria"/>
              </w:rPr>
              <w:t>58</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E1D674C">
            <w:pPr>
              <w:widowControl w:val="0"/>
              <w:suppressAutoHyphens/>
              <w:spacing w:after="288" w:afterLines="120" w:line="276" w:lineRule="auto"/>
              <w:jc w:val="both"/>
              <w:rPr>
                <w:rFonts w:ascii="Cambria" w:hAnsi="Cambria"/>
                <w:spacing w:val="-1"/>
              </w:rPr>
            </w:pPr>
            <w:r>
              <w:rPr>
                <w:rFonts w:ascii="Cambria" w:hAnsi="Cambria"/>
                <w:spacing w:val="-1"/>
              </w:rPr>
              <w:t>Fio</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sutura</w:t>
            </w:r>
            <w:r>
              <w:rPr>
                <w:rFonts w:ascii="Cambria" w:hAnsi="Cambria"/>
                <w:spacing w:val="-10"/>
              </w:rPr>
              <w:t xml:space="preserve"> </w:t>
            </w:r>
            <w:r>
              <w:rPr>
                <w:rFonts w:ascii="Cambria" w:hAnsi="Cambria"/>
              </w:rPr>
              <w:t>linho</w:t>
            </w:r>
            <w:r>
              <w:rPr>
                <w:rFonts w:ascii="Cambria" w:hAnsi="Cambria"/>
                <w:spacing w:val="-2"/>
              </w:rPr>
              <w:t xml:space="preserve"> </w:t>
            </w:r>
            <w:r>
              <w:rPr>
                <w:rFonts w:ascii="Cambria" w:hAnsi="Cambria"/>
              </w:rPr>
              <w:t>1,</w:t>
            </w:r>
            <w:r>
              <w:rPr>
                <w:rFonts w:ascii="Cambria" w:hAnsi="Cambria"/>
                <w:spacing w:val="-2"/>
              </w:rPr>
              <w:t xml:space="preserve"> </w:t>
            </w:r>
            <w:r>
              <w:rPr>
                <w:rFonts w:ascii="Cambria" w:hAnsi="Cambria"/>
              </w:rPr>
              <w:t>com</w:t>
            </w:r>
            <w:r>
              <w:rPr>
                <w:rFonts w:ascii="Cambria" w:hAnsi="Cambria"/>
                <w:spacing w:val="-9"/>
              </w:rPr>
              <w:t xml:space="preserve"> </w:t>
            </w:r>
            <w:r>
              <w:rPr>
                <w:rFonts w:ascii="Cambria" w:hAnsi="Cambria"/>
              </w:rPr>
              <w:t>agulha</w:t>
            </w:r>
            <w:r>
              <w:rPr>
                <w:rFonts w:ascii="Cambria" w:hAnsi="Cambria"/>
                <w:spacing w:val="-10"/>
              </w:rPr>
              <w:t xml:space="preserve"> </w:t>
            </w:r>
            <w:r>
              <w:rPr>
                <w:rFonts w:ascii="Cambria" w:hAnsi="Cambria"/>
              </w:rPr>
              <w:t>3cm,</w:t>
            </w:r>
            <w:r>
              <w:rPr>
                <w:rFonts w:ascii="Cambria" w:hAnsi="Cambria"/>
                <w:spacing w:val="-35"/>
              </w:rPr>
              <w:t xml:space="preserve"> </w:t>
            </w:r>
            <w:r>
              <w:rPr>
                <w:rFonts w:ascii="Cambria" w:hAnsi="Cambria"/>
              </w:rPr>
              <w:t>caixa</w:t>
            </w:r>
            <w:r>
              <w:rPr>
                <w:rFonts w:ascii="Cambria" w:hAnsi="Cambria"/>
                <w:spacing w:val="-8"/>
              </w:rPr>
              <w:t xml:space="preserve"> </w:t>
            </w:r>
            <w:r>
              <w:rPr>
                <w:rFonts w:ascii="Cambria" w:hAnsi="Cambria"/>
              </w:rPr>
              <w:t>contendo 24 envelopes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910CA64">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4313ADE">
            <w:pPr>
              <w:widowControl w:val="0"/>
              <w:suppressAutoHyphens/>
              <w:spacing w:after="288" w:afterLines="120" w:line="276" w:lineRule="auto"/>
              <w:jc w:val="center"/>
              <w:rPr>
                <w:rFonts w:ascii="Cambria" w:hAnsi="Cambria"/>
              </w:rPr>
            </w:pPr>
            <w:r>
              <w:rPr>
                <w:rFonts w:ascii="Cambria" w:hAnsi="Cambria"/>
              </w:rPr>
              <w:t>20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FAC16A4">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R$ 127,06</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7ED49B3">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R$ 2.541,20</w:t>
            </w:r>
          </w:p>
        </w:tc>
      </w:tr>
      <w:tr w14:paraId="6C6C4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C518651">
            <w:pPr>
              <w:widowControl w:val="0"/>
              <w:suppressAutoHyphens/>
              <w:spacing w:after="288" w:afterLines="120" w:line="276" w:lineRule="auto"/>
              <w:ind w:left="-108" w:right="-108"/>
              <w:jc w:val="center"/>
              <w:rPr>
                <w:rFonts w:ascii="Cambria" w:hAnsi="Cambria"/>
              </w:rPr>
            </w:pPr>
            <w:r>
              <w:rPr>
                <w:rFonts w:ascii="Cambria" w:hAnsi="Cambria"/>
              </w:rPr>
              <w:t>59</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E9A843B">
            <w:pPr>
              <w:widowControl w:val="0"/>
              <w:suppressAutoHyphens/>
              <w:spacing w:after="288" w:afterLines="120" w:line="276" w:lineRule="auto"/>
              <w:jc w:val="both"/>
              <w:rPr>
                <w:rFonts w:ascii="Cambria" w:hAnsi="Cambria"/>
                <w:spacing w:val="-1"/>
              </w:rPr>
            </w:pPr>
            <w:r>
              <w:rPr>
                <w:rFonts w:ascii="Cambria" w:hAnsi="Cambria"/>
              </w:rPr>
              <w:t>Fio</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sutura</w:t>
            </w:r>
            <w:r>
              <w:rPr>
                <w:rFonts w:ascii="Cambria" w:hAnsi="Cambria"/>
                <w:spacing w:val="-10"/>
              </w:rPr>
              <w:t xml:space="preserve"> </w:t>
            </w:r>
            <w:r>
              <w:rPr>
                <w:rFonts w:ascii="Cambria" w:hAnsi="Cambria"/>
              </w:rPr>
              <w:t>linho</w:t>
            </w:r>
            <w:r>
              <w:rPr>
                <w:rFonts w:ascii="Cambria" w:hAnsi="Cambria"/>
                <w:spacing w:val="-1"/>
              </w:rPr>
              <w:t xml:space="preserve"> </w:t>
            </w:r>
            <w:r>
              <w:rPr>
                <w:rFonts w:ascii="Cambria" w:hAnsi="Cambria"/>
              </w:rPr>
              <w:t>0,</w:t>
            </w:r>
            <w:r>
              <w:rPr>
                <w:rFonts w:ascii="Cambria" w:hAnsi="Cambria"/>
                <w:spacing w:val="-2"/>
              </w:rPr>
              <w:t xml:space="preserve"> </w:t>
            </w:r>
            <w:r>
              <w:rPr>
                <w:rFonts w:ascii="Cambria" w:hAnsi="Cambria"/>
              </w:rPr>
              <w:t>com</w:t>
            </w:r>
            <w:r>
              <w:rPr>
                <w:rFonts w:ascii="Cambria" w:hAnsi="Cambria"/>
                <w:spacing w:val="-10"/>
              </w:rPr>
              <w:t xml:space="preserve"> </w:t>
            </w:r>
            <w:r>
              <w:rPr>
                <w:rFonts w:ascii="Cambria" w:hAnsi="Cambria"/>
              </w:rPr>
              <w:t>agulha</w:t>
            </w:r>
            <w:r>
              <w:rPr>
                <w:rFonts w:ascii="Cambria" w:hAnsi="Cambria"/>
                <w:spacing w:val="-9"/>
              </w:rPr>
              <w:t xml:space="preserve"> </w:t>
            </w:r>
            <w:r>
              <w:rPr>
                <w:rFonts w:ascii="Cambria" w:hAnsi="Cambria"/>
              </w:rPr>
              <w:t>de</w:t>
            </w:r>
            <w:r>
              <w:rPr>
                <w:rFonts w:ascii="Cambria" w:hAnsi="Cambria"/>
                <w:spacing w:val="-2"/>
              </w:rPr>
              <w:t xml:space="preserve"> </w:t>
            </w:r>
            <w:r>
              <w:rPr>
                <w:rFonts w:ascii="Cambria" w:hAnsi="Cambria"/>
              </w:rPr>
              <w:t>3</w:t>
            </w:r>
            <w:r>
              <w:rPr>
                <w:rFonts w:ascii="Cambria" w:hAnsi="Cambria"/>
                <w:spacing w:val="-2"/>
              </w:rPr>
              <w:t xml:space="preserve"> </w:t>
            </w:r>
            <w:r>
              <w:rPr>
                <w:rFonts w:ascii="Cambria" w:hAnsi="Cambria"/>
              </w:rPr>
              <w:t>cm,</w:t>
            </w:r>
            <w:r>
              <w:rPr>
                <w:rFonts w:ascii="Cambria" w:hAnsi="Cambria"/>
                <w:spacing w:val="-36"/>
              </w:rPr>
              <w:t xml:space="preserve"> </w:t>
            </w:r>
            <w:r>
              <w:rPr>
                <w:rFonts w:ascii="Cambria" w:hAnsi="Cambria"/>
              </w:rPr>
              <w:t>cilíndrica, caixa</w:t>
            </w:r>
            <w:r>
              <w:rPr>
                <w:rFonts w:ascii="Cambria" w:hAnsi="Cambria"/>
                <w:spacing w:val="-8"/>
              </w:rPr>
              <w:t xml:space="preserve"> </w:t>
            </w:r>
            <w:r>
              <w:rPr>
                <w:rFonts w:ascii="Cambria" w:hAnsi="Cambria"/>
              </w:rPr>
              <w:t>contendo 24 envelopes.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8CF84C0">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C24B83B">
            <w:pPr>
              <w:widowControl w:val="0"/>
              <w:suppressAutoHyphens/>
              <w:spacing w:after="288" w:afterLines="120" w:line="276" w:lineRule="auto"/>
              <w:jc w:val="center"/>
              <w:rPr>
                <w:rFonts w:ascii="Cambria" w:hAnsi="Cambria"/>
              </w:rPr>
            </w:pPr>
            <w:r>
              <w:rPr>
                <w:rFonts w:ascii="Cambria" w:hAnsi="Cambria"/>
              </w:rPr>
              <w:t>20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7BC7A4A">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R$ 127,06</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4AC2DF7">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R$ 2.541,20</w:t>
            </w:r>
          </w:p>
        </w:tc>
      </w:tr>
      <w:tr w14:paraId="08305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B6918BD">
            <w:pPr>
              <w:widowControl w:val="0"/>
              <w:suppressAutoHyphens/>
              <w:spacing w:after="288" w:afterLines="120" w:line="276" w:lineRule="auto"/>
              <w:ind w:left="-108" w:right="-108"/>
              <w:jc w:val="center"/>
              <w:rPr>
                <w:rFonts w:ascii="Cambria" w:hAnsi="Cambria"/>
              </w:rPr>
            </w:pPr>
            <w:r>
              <w:rPr>
                <w:rFonts w:ascii="Cambria" w:hAnsi="Cambria"/>
              </w:rPr>
              <w:t>60</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9E7101C">
            <w:pPr>
              <w:widowControl w:val="0"/>
              <w:suppressAutoHyphens/>
              <w:spacing w:after="288" w:afterLines="120" w:line="276" w:lineRule="auto"/>
              <w:jc w:val="both"/>
              <w:rPr>
                <w:rFonts w:ascii="Cambria" w:hAnsi="Cambria"/>
              </w:rPr>
            </w:pPr>
            <w:r>
              <w:rPr>
                <w:rFonts w:ascii="Cambria" w:hAnsi="Cambria"/>
                <w:spacing w:val="-1"/>
              </w:rPr>
              <w:t>Sonda</w:t>
            </w:r>
            <w:r>
              <w:rPr>
                <w:rFonts w:ascii="Cambria" w:hAnsi="Cambria"/>
                <w:spacing w:val="-8"/>
              </w:rPr>
              <w:t xml:space="preserve"> </w:t>
            </w:r>
            <w:r>
              <w:rPr>
                <w:rFonts w:ascii="Cambria" w:hAnsi="Cambria"/>
                <w:spacing w:val="-1"/>
              </w:rPr>
              <w:t>nasogástrica</w:t>
            </w:r>
            <w:r>
              <w:rPr>
                <w:rFonts w:ascii="Cambria" w:hAnsi="Cambria"/>
                <w:spacing w:val="-8"/>
              </w:rPr>
              <w:t xml:space="preserve"> </w:t>
            </w:r>
            <w:r>
              <w:rPr>
                <w:rFonts w:ascii="Cambria" w:hAnsi="Cambria"/>
              </w:rPr>
              <w:t>longa</w:t>
            </w:r>
            <w:r>
              <w:rPr>
                <w:rFonts w:ascii="Cambria" w:hAnsi="Cambria"/>
                <w:spacing w:val="-8"/>
              </w:rPr>
              <w:t xml:space="preserve"> </w:t>
            </w:r>
            <w:r>
              <w:rPr>
                <w:rFonts w:ascii="Cambria" w:hAnsi="Cambria"/>
              </w:rPr>
              <w:t>n° 08 - caixa</w:t>
            </w:r>
            <w:r>
              <w:rPr>
                <w:rFonts w:ascii="Cambria" w:hAnsi="Cambria"/>
                <w:spacing w:val="-36"/>
              </w:rPr>
              <w:t xml:space="preserve"> </w:t>
            </w:r>
            <w:r>
              <w:rPr>
                <w:rFonts w:ascii="Cambria" w:hAnsi="Cambria"/>
              </w:rPr>
              <w:t>com 10 unidades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061C8FC">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268119C">
            <w:pPr>
              <w:widowControl w:val="0"/>
              <w:suppressAutoHyphens/>
              <w:spacing w:after="288" w:afterLines="120" w:line="276" w:lineRule="auto"/>
              <w:jc w:val="center"/>
              <w:rPr>
                <w:rFonts w:ascii="Cambria" w:hAnsi="Cambria"/>
              </w:rPr>
            </w:pPr>
            <w:r>
              <w:rPr>
                <w:rFonts w:ascii="Cambria" w:hAnsi="Cambria"/>
              </w:rPr>
              <w:t>300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D787201">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R$ 1,99</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0BA5A8C">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R$ 597,00</w:t>
            </w:r>
          </w:p>
        </w:tc>
      </w:tr>
      <w:tr w14:paraId="48082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6550D58">
            <w:pPr>
              <w:widowControl w:val="0"/>
              <w:suppressAutoHyphens/>
              <w:spacing w:after="288" w:afterLines="120" w:line="276" w:lineRule="auto"/>
              <w:ind w:left="-108" w:right="-108"/>
              <w:jc w:val="center"/>
              <w:rPr>
                <w:rFonts w:ascii="Cambria" w:hAnsi="Cambria"/>
              </w:rPr>
            </w:pPr>
            <w:r>
              <w:rPr>
                <w:rFonts w:ascii="Cambria" w:hAnsi="Cambria"/>
              </w:rPr>
              <w:t>61</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7ED8B71">
            <w:pPr>
              <w:widowControl w:val="0"/>
              <w:suppressAutoHyphens/>
              <w:spacing w:after="288" w:afterLines="120" w:line="276" w:lineRule="auto"/>
              <w:jc w:val="both"/>
              <w:rPr>
                <w:rFonts w:ascii="Cambria" w:hAnsi="Cambria"/>
                <w:spacing w:val="-1"/>
              </w:rPr>
            </w:pPr>
            <w:r>
              <w:rPr>
                <w:rFonts w:ascii="Cambria" w:hAnsi="Cambria"/>
                <w:spacing w:val="-1"/>
              </w:rPr>
              <w:t>Fio</w:t>
            </w:r>
            <w:r>
              <w:rPr>
                <w:rFonts w:ascii="Cambria" w:hAnsi="Cambria"/>
              </w:rPr>
              <w:t xml:space="preserve"> </w:t>
            </w:r>
            <w:r>
              <w:rPr>
                <w:rFonts w:ascii="Cambria" w:hAnsi="Cambria"/>
                <w:spacing w:val="-1"/>
              </w:rPr>
              <w:t>de</w:t>
            </w:r>
            <w:r>
              <w:rPr>
                <w:rFonts w:ascii="Cambria" w:hAnsi="Cambria"/>
                <w:spacing w:val="1"/>
              </w:rPr>
              <w:t xml:space="preserve"> </w:t>
            </w:r>
            <w:r>
              <w:rPr>
                <w:rFonts w:ascii="Cambria" w:hAnsi="Cambria"/>
                <w:spacing w:val="-1"/>
              </w:rPr>
              <w:t>sutura</w:t>
            </w:r>
            <w:r>
              <w:rPr>
                <w:rFonts w:ascii="Cambria" w:hAnsi="Cambria"/>
                <w:spacing w:val="-16"/>
              </w:rPr>
              <w:t xml:space="preserve"> </w:t>
            </w:r>
            <w:r>
              <w:rPr>
                <w:rFonts w:ascii="Cambria" w:hAnsi="Cambria"/>
                <w:spacing w:val="-1"/>
              </w:rPr>
              <w:t>absorvível</w:t>
            </w:r>
            <w:r>
              <w:rPr>
                <w:rFonts w:ascii="Cambria" w:hAnsi="Cambria"/>
                <w:spacing w:val="-6"/>
              </w:rPr>
              <w:t xml:space="preserve"> </w:t>
            </w:r>
            <w:r>
              <w:rPr>
                <w:rFonts w:ascii="Cambria" w:hAnsi="Cambria"/>
              </w:rPr>
              <w:t>poliglactina</w:t>
            </w:r>
            <w:r>
              <w:rPr>
                <w:rFonts w:ascii="Cambria" w:hAnsi="Cambria"/>
                <w:spacing w:val="-7"/>
              </w:rPr>
              <w:t xml:space="preserve"> </w:t>
            </w:r>
            <w:r>
              <w:rPr>
                <w:rFonts w:ascii="Cambria" w:hAnsi="Cambria"/>
              </w:rPr>
              <w:t>3.0,</w:t>
            </w:r>
            <w:r>
              <w:rPr>
                <w:rFonts w:ascii="Cambria" w:hAnsi="Cambria"/>
                <w:spacing w:val="-36"/>
              </w:rPr>
              <w:t xml:space="preserve"> </w:t>
            </w:r>
            <w:r>
              <w:rPr>
                <w:rFonts w:ascii="Cambria" w:hAnsi="Cambria"/>
              </w:rPr>
              <w:t>agulha</w:t>
            </w:r>
            <w:r>
              <w:rPr>
                <w:rFonts w:ascii="Cambria" w:hAnsi="Cambria"/>
                <w:spacing w:val="-8"/>
              </w:rPr>
              <w:t xml:space="preserve"> </w:t>
            </w:r>
            <w:r>
              <w:rPr>
                <w:rFonts w:ascii="Cambria" w:hAnsi="Cambria"/>
              </w:rPr>
              <w:t>3 cm, cilíndrica</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F0B1071">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682A734">
            <w:pPr>
              <w:widowControl w:val="0"/>
              <w:suppressAutoHyphens/>
              <w:spacing w:after="288" w:afterLines="120" w:line="276" w:lineRule="auto"/>
              <w:jc w:val="center"/>
              <w:rPr>
                <w:rFonts w:ascii="Cambria" w:hAnsi="Cambria"/>
              </w:rPr>
            </w:pPr>
            <w:r>
              <w:rPr>
                <w:rFonts w:ascii="Cambria" w:hAnsi="Cambria"/>
              </w:rPr>
              <w:t>30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D553BCC">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R$ 42,49</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9E3ED01">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R$ 1.274,70</w:t>
            </w:r>
          </w:p>
        </w:tc>
      </w:tr>
      <w:tr w14:paraId="580B3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3E8216F">
            <w:pPr>
              <w:widowControl w:val="0"/>
              <w:suppressAutoHyphens/>
              <w:spacing w:after="288" w:afterLines="120" w:line="276" w:lineRule="auto"/>
              <w:ind w:left="-108" w:right="-108"/>
              <w:jc w:val="center"/>
              <w:rPr>
                <w:rFonts w:ascii="Cambria" w:hAnsi="Cambria"/>
              </w:rPr>
            </w:pPr>
            <w:r>
              <w:rPr>
                <w:rFonts w:ascii="Cambria" w:hAnsi="Cambria"/>
              </w:rPr>
              <w:t>62</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B577C62">
            <w:pPr>
              <w:widowControl w:val="0"/>
              <w:suppressAutoHyphens/>
              <w:spacing w:after="288" w:afterLines="120" w:line="276" w:lineRule="auto"/>
              <w:jc w:val="both"/>
              <w:rPr>
                <w:rFonts w:ascii="Cambria" w:hAnsi="Cambria"/>
                <w:spacing w:val="-1"/>
              </w:rPr>
            </w:pPr>
            <w:r>
              <w:rPr>
                <w:rFonts w:ascii="Cambria" w:hAnsi="Cambria"/>
              </w:rPr>
              <w:t>Cateter</w:t>
            </w:r>
            <w:r>
              <w:rPr>
                <w:rFonts w:ascii="Cambria" w:hAnsi="Cambria"/>
                <w:spacing w:val="-7"/>
              </w:rPr>
              <w:t xml:space="preserve"> </w:t>
            </w:r>
            <w:r>
              <w:rPr>
                <w:rFonts w:ascii="Cambria" w:hAnsi="Cambria"/>
              </w:rPr>
              <w:t>intravenoso</w:t>
            </w:r>
            <w:r>
              <w:rPr>
                <w:rFonts w:ascii="Cambria" w:hAnsi="Cambria"/>
                <w:spacing w:val="-7"/>
              </w:rPr>
              <w:t xml:space="preserve"> </w:t>
            </w:r>
            <w:r>
              <w:rPr>
                <w:rFonts w:ascii="Cambria" w:hAnsi="Cambria"/>
              </w:rPr>
              <w:t>periférico</w:t>
            </w:r>
            <w:r>
              <w:rPr>
                <w:rFonts w:ascii="Cambria" w:hAnsi="Cambria"/>
                <w:spacing w:val="-7"/>
              </w:rPr>
              <w:t xml:space="preserve"> </w:t>
            </w:r>
            <w:r>
              <w:rPr>
                <w:rFonts w:ascii="Cambria" w:hAnsi="Cambria"/>
              </w:rPr>
              <w:t>18g</w:t>
            </w:r>
            <w:r>
              <w:rPr>
                <w:rFonts w:ascii="Cambria" w:hAnsi="Cambria"/>
                <w:spacing w:val="-7"/>
              </w:rPr>
              <w:t xml:space="preserve"> </w:t>
            </w:r>
            <w:r>
              <w:rPr>
                <w:rFonts w:ascii="Cambria" w:hAnsi="Cambria"/>
              </w:rPr>
              <w:t>x</w:t>
            </w:r>
            <w:r>
              <w:rPr>
                <w:rFonts w:ascii="Cambria" w:hAnsi="Cambria"/>
                <w:spacing w:val="-7"/>
              </w:rPr>
              <w:t xml:space="preserve"> </w:t>
            </w:r>
            <w:r>
              <w:rPr>
                <w:rFonts w:ascii="Cambria" w:hAnsi="Cambria"/>
              </w:rPr>
              <w:t>50</w:t>
            </w:r>
            <w:r>
              <w:rPr>
                <w:rFonts w:ascii="Cambria" w:hAnsi="Cambria"/>
                <w:spacing w:val="-36"/>
              </w:rPr>
              <w:t xml:space="preserve"> </w:t>
            </w:r>
            <w:r>
              <w:rPr>
                <w:rFonts w:ascii="Cambria" w:hAnsi="Cambria"/>
              </w:rPr>
              <w:t>mm, com dispositivo de proteção,</w:t>
            </w:r>
            <w:r>
              <w:rPr>
                <w:rFonts w:ascii="Cambria" w:hAnsi="Cambria"/>
                <w:spacing w:val="1"/>
              </w:rPr>
              <w:t xml:space="preserve"> </w:t>
            </w:r>
            <w:r>
              <w:rPr>
                <w:rFonts w:ascii="Cambria" w:hAnsi="Cambria"/>
              </w:rPr>
              <w:t>composto de cânula em vialon -</w:t>
            </w:r>
            <w:r>
              <w:rPr>
                <w:rFonts w:ascii="Cambria" w:hAnsi="Cambria"/>
                <w:spacing w:val="1"/>
              </w:rPr>
              <w:t xml:space="preserve"> </w:t>
            </w:r>
            <w:r>
              <w:rPr>
                <w:rFonts w:ascii="Cambria" w:hAnsi="Cambria"/>
              </w:rPr>
              <w:t>radiopaco e transparente agulha</w:t>
            </w:r>
            <w:r>
              <w:rPr>
                <w:rFonts w:ascii="Cambria" w:hAnsi="Cambria"/>
                <w:spacing w:val="1"/>
              </w:rPr>
              <w:t xml:space="preserve"> </w:t>
            </w:r>
            <w:r>
              <w:rPr>
                <w:rFonts w:ascii="Cambria" w:hAnsi="Cambria"/>
              </w:rPr>
              <w:t>eletripolida com ponta em "v" e bisel</w:t>
            </w:r>
            <w:r>
              <w:rPr>
                <w:rFonts w:ascii="Cambria" w:hAnsi="Cambria"/>
                <w:spacing w:val="1"/>
              </w:rPr>
              <w:t xml:space="preserve"> </w:t>
            </w:r>
            <w:r>
              <w:rPr>
                <w:rFonts w:ascii="Cambria" w:hAnsi="Cambria"/>
              </w:rPr>
              <w:t>trifacetado, sistema de segurança</w:t>
            </w:r>
            <w:r>
              <w:rPr>
                <w:rFonts w:ascii="Cambria" w:hAnsi="Cambria"/>
                <w:spacing w:val="1"/>
              </w:rPr>
              <w:t xml:space="preserve"> </w:t>
            </w:r>
            <w:r>
              <w:rPr>
                <w:rFonts w:ascii="Cambria" w:hAnsi="Cambria"/>
              </w:rPr>
              <w:t>ergonômico, alerta indicadora da</w:t>
            </w:r>
            <w:r>
              <w:rPr>
                <w:rFonts w:ascii="Cambria" w:hAnsi="Cambria"/>
                <w:spacing w:val="1"/>
              </w:rPr>
              <w:t xml:space="preserve"> </w:t>
            </w:r>
            <w:r>
              <w:rPr>
                <w:rFonts w:ascii="Cambria" w:hAnsi="Cambria"/>
              </w:rPr>
              <w:t>posição do bisel e câmara de refluxo</w:t>
            </w:r>
            <w:r>
              <w:rPr>
                <w:rFonts w:ascii="Cambria" w:hAnsi="Cambria"/>
                <w:spacing w:val="1"/>
              </w:rPr>
              <w:t xml:space="preserve"> </w:t>
            </w:r>
            <w:r>
              <w:rPr>
                <w:rFonts w:ascii="Cambria" w:hAnsi="Cambria"/>
              </w:rPr>
              <w:t>transparente com filtro poroso,</w:t>
            </w:r>
            <w:r>
              <w:rPr>
                <w:rFonts w:ascii="Cambria" w:hAnsi="Cambria"/>
                <w:spacing w:val="1"/>
              </w:rPr>
              <w:t xml:space="preserve"> </w:t>
            </w:r>
            <w:r>
              <w:rPr>
                <w:rFonts w:ascii="Cambria" w:hAnsi="Cambria"/>
              </w:rPr>
              <w:t>embalagem: caixa</w:t>
            </w:r>
            <w:r>
              <w:rPr>
                <w:rFonts w:ascii="Cambria" w:hAnsi="Cambria"/>
                <w:spacing w:val="-8"/>
              </w:rPr>
              <w:t xml:space="preserve"> </w:t>
            </w:r>
            <w:r>
              <w:rPr>
                <w:rFonts w:ascii="Cambria" w:hAnsi="Cambria"/>
              </w:rPr>
              <w:t>com 100 unidades.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64BAC5E">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0207A26">
            <w:pPr>
              <w:widowControl w:val="0"/>
              <w:suppressAutoHyphens/>
              <w:spacing w:after="288" w:afterLines="120" w:line="276" w:lineRule="auto"/>
              <w:jc w:val="center"/>
              <w:rPr>
                <w:rFonts w:ascii="Cambria" w:hAnsi="Cambria"/>
              </w:rPr>
            </w:pPr>
            <w:r>
              <w:rPr>
                <w:rFonts w:ascii="Cambria" w:hAnsi="Cambria"/>
              </w:rPr>
              <w:t>30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8FAE223">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R$ 74,17</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BC24CDB">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R$ 2.225,10</w:t>
            </w:r>
          </w:p>
        </w:tc>
      </w:tr>
      <w:tr w14:paraId="6BD50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C220B13">
            <w:pPr>
              <w:widowControl w:val="0"/>
              <w:suppressAutoHyphens/>
              <w:spacing w:after="288" w:afterLines="120" w:line="276" w:lineRule="auto"/>
              <w:ind w:left="-108" w:right="-108"/>
              <w:jc w:val="center"/>
              <w:rPr>
                <w:rFonts w:ascii="Cambria" w:hAnsi="Cambria"/>
              </w:rPr>
            </w:pPr>
            <w:r>
              <w:rPr>
                <w:rFonts w:ascii="Cambria" w:hAnsi="Cambria"/>
              </w:rPr>
              <w:t>63</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10FB318">
            <w:pPr>
              <w:widowControl w:val="0"/>
              <w:suppressAutoHyphens/>
              <w:spacing w:after="288" w:afterLines="120" w:line="276" w:lineRule="auto"/>
              <w:jc w:val="both"/>
              <w:rPr>
                <w:rFonts w:ascii="Cambria" w:hAnsi="Cambria"/>
              </w:rPr>
            </w:pPr>
            <w:r>
              <w:rPr>
                <w:rFonts w:ascii="Cambria" w:hAnsi="Cambria"/>
                <w:spacing w:val="-1"/>
              </w:rPr>
              <w:t>Filme</w:t>
            </w:r>
            <w:r>
              <w:rPr>
                <w:rFonts w:ascii="Cambria" w:hAnsi="Cambria"/>
                <w:spacing w:val="-2"/>
              </w:rPr>
              <w:t xml:space="preserve"> </w:t>
            </w:r>
            <w:r>
              <w:rPr>
                <w:rFonts w:ascii="Cambria" w:hAnsi="Cambria"/>
                <w:spacing w:val="-1"/>
              </w:rPr>
              <w:t>dry</w:t>
            </w:r>
            <w:r>
              <w:rPr>
                <w:rFonts w:ascii="Cambria" w:hAnsi="Cambria"/>
                <w:spacing w:val="-5"/>
              </w:rPr>
              <w:t xml:space="preserve"> </w:t>
            </w:r>
            <w:r>
              <w:rPr>
                <w:rFonts w:ascii="Cambria" w:hAnsi="Cambria"/>
                <w:spacing w:val="-1"/>
              </w:rPr>
              <w:t xml:space="preserve">dt-2b, </w:t>
            </w:r>
            <w:r>
              <w:rPr>
                <w:rFonts w:ascii="Cambria" w:hAnsi="Cambria"/>
              </w:rPr>
              <w:t>25x30</w:t>
            </w:r>
            <w:r>
              <w:rPr>
                <w:rFonts w:ascii="Cambria" w:hAnsi="Cambria"/>
                <w:spacing w:val="-2"/>
              </w:rPr>
              <w:t xml:space="preserve"> </w:t>
            </w:r>
            <w:r>
              <w:rPr>
                <w:rFonts w:ascii="Cambria" w:hAnsi="Cambria"/>
              </w:rPr>
              <w:t>cm</w:t>
            </w:r>
            <w:r>
              <w:rPr>
                <w:rFonts w:ascii="Cambria" w:hAnsi="Cambria"/>
                <w:spacing w:val="-2"/>
              </w:rPr>
              <w:t xml:space="preserve"> </w:t>
            </w:r>
            <w:r>
              <w:rPr>
                <w:rFonts w:ascii="Cambria" w:hAnsi="Cambria"/>
              </w:rPr>
              <w:t>(10x12''),</w:t>
            </w:r>
            <w:r>
              <w:rPr>
                <w:rFonts w:ascii="Cambria" w:hAnsi="Cambria"/>
                <w:spacing w:val="-2"/>
              </w:rPr>
              <w:t xml:space="preserve"> </w:t>
            </w:r>
            <w:r>
              <w:rPr>
                <w:rFonts w:ascii="Cambria" w:hAnsi="Cambria"/>
              </w:rPr>
              <w:t>caixa</w:t>
            </w:r>
            <w:r>
              <w:rPr>
                <w:rFonts w:ascii="Cambria" w:hAnsi="Cambria"/>
                <w:spacing w:val="-9"/>
              </w:rPr>
              <w:t xml:space="preserve"> </w:t>
            </w:r>
            <w:r>
              <w:rPr>
                <w:rFonts w:ascii="Cambria" w:hAnsi="Cambria"/>
              </w:rPr>
              <w:t>com</w:t>
            </w:r>
            <w:r>
              <w:rPr>
                <w:rFonts w:ascii="Cambria" w:hAnsi="Cambria"/>
                <w:spacing w:val="-36"/>
              </w:rPr>
              <w:t xml:space="preserve"> </w:t>
            </w:r>
            <w:r>
              <w:rPr>
                <w:rFonts w:ascii="Cambria" w:hAnsi="Cambria"/>
              </w:rPr>
              <w:t>100 pls.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256555E">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515D316">
            <w:pPr>
              <w:widowControl w:val="0"/>
              <w:suppressAutoHyphens/>
              <w:spacing w:after="288" w:afterLines="120" w:line="276" w:lineRule="auto"/>
              <w:jc w:val="center"/>
              <w:rPr>
                <w:rFonts w:ascii="Cambria" w:hAnsi="Cambria"/>
              </w:rPr>
            </w:pPr>
            <w:r>
              <w:rPr>
                <w:rFonts w:ascii="Cambria" w:hAnsi="Cambria"/>
              </w:rPr>
              <w:t>50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14FD36D">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R$ 496,58</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E6ECDAC">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R$ 24.829,00</w:t>
            </w:r>
          </w:p>
        </w:tc>
      </w:tr>
      <w:tr w14:paraId="316B9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2E32794">
            <w:pPr>
              <w:widowControl w:val="0"/>
              <w:suppressAutoHyphens/>
              <w:spacing w:after="288" w:afterLines="120" w:line="276" w:lineRule="auto"/>
              <w:ind w:left="-108" w:right="-108"/>
              <w:jc w:val="center"/>
              <w:rPr>
                <w:rFonts w:ascii="Cambria" w:hAnsi="Cambria"/>
              </w:rPr>
            </w:pPr>
            <w:r>
              <w:rPr>
                <w:rFonts w:ascii="Cambria" w:hAnsi="Cambria"/>
              </w:rPr>
              <w:t>64</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F724AF6">
            <w:pPr>
              <w:widowControl w:val="0"/>
              <w:suppressAutoHyphens/>
              <w:spacing w:after="288" w:afterLines="120" w:line="276" w:lineRule="auto"/>
              <w:jc w:val="both"/>
              <w:rPr>
                <w:rFonts w:ascii="Cambria" w:hAnsi="Cambria"/>
                <w:spacing w:val="-1"/>
              </w:rPr>
            </w:pPr>
            <w:r>
              <w:rPr>
                <w:rFonts w:ascii="Cambria" w:hAnsi="Cambria"/>
              </w:rPr>
              <w:t>Seringa 10ml c/ Agulha 25x7 (Corpo transparente;</w:t>
            </w:r>
            <w:r>
              <w:rPr>
                <w:rFonts w:ascii="Cambria" w:hAnsi="Cambria"/>
                <w:spacing w:val="1"/>
              </w:rPr>
              <w:t xml:space="preserve"> </w:t>
            </w:r>
            <w:r>
              <w:rPr>
                <w:rFonts w:ascii="Cambria" w:hAnsi="Cambria"/>
              </w:rPr>
              <w:t>cilindro</w:t>
            </w:r>
            <w:r>
              <w:rPr>
                <w:rFonts w:ascii="Cambria" w:hAnsi="Cambria"/>
                <w:spacing w:val="-3"/>
              </w:rPr>
              <w:t xml:space="preserve"> </w:t>
            </w:r>
            <w:r>
              <w:rPr>
                <w:rFonts w:ascii="Cambria" w:hAnsi="Cambria"/>
              </w:rPr>
              <w:t>com</w:t>
            </w:r>
            <w:r>
              <w:rPr>
                <w:rFonts w:ascii="Cambria" w:hAnsi="Cambria"/>
                <w:spacing w:val="-3"/>
              </w:rPr>
              <w:t xml:space="preserve"> </w:t>
            </w:r>
            <w:r>
              <w:rPr>
                <w:rFonts w:ascii="Cambria" w:hAnsi="Cambria"/>
              </w:rPr>
              <w:t>anel</w:t>
            </w:r>
            <w:r>
              <w:rPr>
                <w:rFonts w:ascii="Cambria" w:hAnsi="Cambria"/>
                <w:spacing w:val="-3"/>
              </w:rPr>
              <w:t xml:space="preserve"> </w:t>
            </w:r>
            <w:r>
              <w:rPr>
                <w:rFonts w:ascii="Cambria" w:hAnsi="Cambria"/>
              </w:rPr>
              <w:t>de</w:t>
            </w:r>
            <w:r>
              <w:rPr>
                <w:rFonts w:ascii="Cambria" w:hAnsi="Cambria"/>
                <w:spacing w:val="-3"/>
              </w:rPr>
              <w:t xml:space="preserve"> </w:t>
            </w:r>
            <w:r>
              <w:rPr>
                <w:rFonts w:ascii="Cambria" w:hAnsi="Cambria"/>
              </w:rPr>
              <w:t>retenção.</w:t>
            </w:r>
            <w:r>
              <w:rPr>
                <w:rFonts w:ascii="Cambria" w:hAnsi="Cambria"/>
                <w:spacing w:val="-3"/>
              </w:rPr>
              <w:t xml:space="preserve"> </w:t>
            </w:r>
            <w:r>
              <w:rPr>
                <w:rFonts w:ascii="Cambria" w:hAnsi="Cambria"/>
              </w:rPr>
              <w:t>Siliconada,</w:t>
            </w:r>
            <w:r>
              <w:rPr>
                <w:rFonts w:ascii="Cambria" w:hAnsi="Cambria"/>
                <w:spacing w:val="-3"/>
              </w:rPr>
              <w:t xml:space="preserve"> </w:t>
            </w:r>
            <w:r>
              <w:rPr>
                <w:rFonts w:ascii="Cambria" w:hAnsi="Cambria"/>
              </w:rPr>
              <w:t>embaladas</w:t>
            </w:r>
            <w:r>
              <w:rPr>
                <w:rFonts w:ascii="Cambria" w:hAnsi="Cambria"/>
                <w:spacing w:val="-36"/>
              </w:rPr>
              <w:t xml:space="preserve"> </w:t>
            </w:r>
            <w:r>
              <w:rPr>
                <w:rFonts w:ascii="Cambria" w:hAnsi="Cambria"/>
              </w:rPr>
              <w:t>individualmente em blister de filme termoplástico +</w:t>
            </w:r>
            <w:r>
              <w:rPr>
                <w:rFonts w:ascii="Cambria" w:hAnsi="Cambria"/>
                <w:spacing w:val="1"/>
              </w:rPr>
              <w:t xml:space="preserve"> </w:t>
            </w:r>
            <w:r>
              <w:rPr>
                <w:rFonts w:ascii="Cambria" w:hAnsi="Cambria"/>
              </w:rPr>
              <w:t>papel grau cirúrgico, seladas termicamente.). Com</w:t>
            </w:r>
            <w:r>
              <w:rPr>
                <w:rFonts w:ascii="Cambria" w:hAnsi="Cambria"/>
                <w:spacing w:val="1"/>
              </w:rPr>
              <w:t xml:space="preserve"> </w:t>
            </w:r>
            <w:r>
              <w:rPr>
                <w:rFonts w:ascii="Cambria" w:hAnsi="Cambria"/>
              </w:rPr>
              <w:t>dispositivo de segurança em atendimento à NR32.</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EB26BF3">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DE4260B">
            <w:pPr>
              <w:widowControl w:val="0"/>
              <w:suppressAutoHyphens/>
              <w:spacing w:after="288" w:afterLines="120" w:line="276" w:lineRule="auto"/>
              <w:jc w:val="center"/>
              <w:rPr>
                <w:rFonts w:ascii="Cambria" w:hAnsi="Cambria"/>
              </w:rPr>
            </w:pPr>
            <w:r>
              <w:rPr>
                <w:rFonts w:ascii="Cambria" w:hAnsi="Cambria"/>
              </w:rPr>
              <w:t>40.000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4942288">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R$ 0,88</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1FD672A">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R$ 35.200,00</w:t>
            </w:r>
          </w:p>
        </w:tc>
      </w:tr>
      <w:tr w14:paraId="6B244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A575B11">
            <w:pPr>
              <w:widowControl w:val="0"/>
              <w:suppressAutoHyphens/>
              <w:spacing w:after="288" w:afterLines="120" w:line="276" w:lineRule="auto"/>
              <w:ind w:left="-108" w:right="-108"/>
              <w:jc w:val="center"/>
              <w:rPr>
                <w:rFonts w:ascii="Cambria" w:hAnsi="Cambria"/>
              </w:rPr>
            </w:pPr>
            <w:r>
              <w:rPr>
                <w:rFonts w:ascii="Cambria" w:hAnsi="Cambria"/>
              </w:rPr>
              <w:t>65</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44D716A">
            <w:pPr>
              <w:widowControl w:val="0"/>
              <w:suppressAutoHyphens/>
              <w:spacing w:after="288" w:afterLines="120" w:line="276" w:lineRule="auto"/>
              <w:jc w:val="both"/>
              <w:rPr>
                <w:rFonts w:ascii="Cambria" w:hAnsi="Cambria"/>
              </w:rPr>
            </w:pPr>
            <w:r>
              <w:rPr>
                <w:rFonts w:ascii="Cambria" w:hAnsi="Cambria"/>
                <w:spacing w:val="-1"/>
              </w:rPr>
              <w:t>Seringa</w:t>
            </w:r>
            <w:r>
              <w:rPr>
                <w:rFonts w:ascii="Cambria" w:hAnsi="Cambria"/>
                <w:spacing w:val="-9"/>
              </w:rPr>
              <w:t xml:space="preserve"> </w:t>
            </w:r>
            <w:r>
              <w:rPr>
                <w:rFonts w:ascii="Cambria" w:hAnsi="Cambria"/>
                <w:spacing w:val="-1"/>
              </w:rPr>
              <w:t>1ml</w:t>
            </w:r>
            <w:r>
              <w:rPr>
                <w:rFonts w:ascii="Cambria" w:hAnsi="Cambria"/>
                <w:spacing w:val="-7"/>
              </w:rPr>
              <w:t xml:space="preserve"> </w:t>
            </w:r>
            <w:r>
              <w:rPr>
                <w:rFonts w:ascii="Cambria" w:hAnsi="Cambria"/>
                <w:spacing w:val="-1"/>
              </w:rPr>
              <w:t>c/</w:t>
            </w:r>
            <w:r>
              <w:rPr>
                <w:rFonts w:ascii="Cambria" w:hAnsi="Cambria"/>
                <w:spacing w:val="-8"/>
              </w:rPr>
              <w:t xml:space="preserve"> </w:t>
            </w:r>
            <w:r>
              <w:rPr>
                <w:rFonts w:ascii="Cambria" w:hAnsi="Cambria"/>
              </w:rPr>
              <w:t>agulha</w:t>
            </w:r>
            <w:r>
              <w:rPr>
                <w:rFonts w:ascii="Cambria" w:hAnsi="Cambria"/>
                <w:spacing w:val="-9"/>
              </w:rPr>
              <w:t xml:space="preserve"> </w:t>
            </w:r>
            <w:r>
              <w:rPr>
                <w:rFonts w:ascii="Cambria" w:hAnsi="Cambria"/>
              </w:rPr>
              <w:t>13x3,8</w:t>
            </w:r>
            <w:r>
              <w:rPr>
                <w:rFonts w:ascii="Cambria" w:hAnsi="Cambria"/>
                <w:spacing w:val="-3"/>
              </w:rPr>
              <w:t xml:space="preserve"> </w:t>
            </w:r>
            <w:r>
              <w:rPr>
                <w:rFonts w:ascii="Cambria" w:hAnsi="Cambria"/>
              </w:rPr>
              <w:t>tuberculínica</w:t>
            </w:r>
            <w:r>
              <w:rPr>
                <w:rFonts w:ascii="Cambria" w:hAnsi="Cambria"/>
                <w:spacing w:val="-36"/>
              </w:rPr>
              <w:t xml:space="preserve"> </w:t>
            </w:r>
            <w:r>
              <w:rPr>
                <w:rFonts w:ascii="Cambria" w:hAnsi="Cambria"/>
              </w:rPr>
              <w:t>para vacina bcg, graduada. C/100</w:t>
            </w:r>
            <w:r>
              <w:rPr>
                <w:rFonts w:ascii="Cambria" w:hAnsi="Cambria"/>
                <w:spacing w:val="1"/>
              </w:rPr>
              <w:t xml:space="preserve"> </w:t>
            </w:r>
            <w:r>
              <w:rPr>
                <w:rFonts w:ascii="Cambria" w:hAnsi="Cambria"/>
              </w:rPr>
              <w:t>unidades. Corpo transparente, cilindro</w:t>
            </w:r>
            <w:r>
              <w:rPr>
                <w:rFonts w:ascii="Cambria" w:hAnsi="Cambria"/>
                <w:spacing w:val="1"/>
              </w:rPr>
              <w:t xml:space="preserve"> </w:t>
            </w:r>
            <w:r>
              <w:rPr>
                <w:rFonts w:ascii="Cambria" w:hAnsi="Cambria"/>
              </w:rPr>
              <w:t>com anel de retenção, siliconada,</w:t>
            </w:r>
            <w:r>
              <w:rPr>
                <w:rFonts w:ascii="Cambria" w:hAnsi="Cambria"/>
                <w:spacing w:val="1"/>
              </w:rPr>
              <w:t xml:space="preserve"> </w:t>
            </w:r>
            <w:r>
              <w:rPr>
                <w:rFonts w:ascii="Cambria" w:hAnsi="Cambria"/>
              </w:rPr>
              <w:t>embaladas individualmente em blister de</w:t>
            </w:r>
            <w:r>
              <w:rPr>
                <w:rFonts w:ascii="Cambria" w:hAnsi="Cambria"/>
                <w:spacing w:val="1"/>
              </w:rPr>
              <w:t xml:space="preserve"> </w:t>
            </w:r>
            <w:r>
              <w:rPr>
                <w:rFonts w:ascii="Cambria" w:hAnsi="Cambria"/>
              </w:rPr>
              <w:t>filme termoplástico + papel grau</w:t>
            </w:r>
            <w:r>
              <w:rPr>
                <w:rFonts w:ascii="Cambria" w:hAnsi="Cambria"/>
                <w:spacing w:val="1"/>
              </w:rPr>
              <w:t xml:space="preserve"> </w:t>
            </w:r>
            <w:r>
              <w:rPr>
                <w:rFonts w:ascii="Cambria" w:hAnsi="Cambria"/>
              </w:rPr>
              <w:t>cirúrgico, seladas</w:t>
            </w:r>
            <w:r>
              <w:rPr>
                <w:rFonts w:ascii="Cambria" w:hAnsi="Cambria"/>
                <w:spacing w:val="-3"/>
              </w:rPr>
              <w:t xml:space="preserve"> </w:t>
            </w:r>
            <w:r>
              <w:rPr>
                <w:rFonts w:ascii="Cambria" w:hAnsi="Cambria"/>
              </w:rPr>
              <w:t>termicamente.</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A04F255">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AD1866B">
            <w:pPr>
              <w:widowControl w:val="0"/>
              <w:suppressAutoHyphens/>
              <w:spacing w:after="288" w:afterLines="120" w:line="276" w:lineRule="auto"/>
              <w:jc w:val="center"/>
              <w:rPr>
                <w:rFonts w:ascii="Cambria" w:hAnsi="Cambria"/>
              </w:rPr>
            </w:pPr>
            <w:r>
              <w:rPr>
                <w:rFonts w:ascii="Cambria" w:hAnsi="Cambria"/>
              </w:rPr>
              <w:t>300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31E5AB0">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R$ 143,56</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E89E508">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R$ 43.068,00</w:t>
            </w:r>
          </w:p>
        </w:tc>
      </w:tr>
      <w:tr w14:paraId="19E42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F27F1CF">
            <w:pPr>
              <w:widowControl w:val="0"/>
              <w:suppressAutoHyphens/>
              <w:spacing w:after="288" w:afterLines="120" w:line="276" w:lineRule="auto"/>
              <w:ind w:left="-108" w:right="-108"/>
              <w:jc w:val="center"/>
              <w:rPr>
                <w:rFonts w:ascii="Cambria" w:hAnsi="Cambria"/>
              </w:rPr>
            </w:pPr>
            <w:r>
              <w:rPr>
                <w:rFonts w:ascii="Cambria" w:hAnsi="Cambria"/>
              </w:rPr>
              <w:t>66</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A74636C">
            <w:pPr>
              <w:widowControl w:val="0"/>
              <w:suppressAutoHyphens/>
              <w:spacing w:after="288" w:afterLines="120" w:line="276" w:lineRule="auto"/>
              <w:jc w:val="both"/>
              <w:rPr>
                <w:rFonts w:ascii="Cambria" w:hAnsi="Cambria"/>
                <w:spacing w:val="-1"/>
              </w:rPr>
            </w:pPr>
            <w:r>
              <w:rPr>
                <w:rFonts w:ascii="Cambria" w:hAnsi="Cambria"/>
                <w:spacing w:val="-2"/>
              </w:rPr>
              <w:t>Fralda</w:t>
            </w:r>
            <w:r>
              <w:rPr>
                <w:rFonts w:ascii="Cambria" w:hAnsi="Cambria"/>
                <w:spacing w:val="-8"/>
              </w:rPr>
              <w:t xml:space="preserve"> </w:t>
            </w:r>
            <w:r>
              <w:rPr>
                <w:rFonts w:ascii="Cambria" w:hAnsi="Cambria"/>
                <w:spacing w:val="-2"/>
              </w:rPr>
              <w:t>infantil, tamanho</w:t>
            </w:r>
            <w:r>
              <w:rPr>
                <w:rFonts w:ascii="Cambria" w:hAnsi="Cambria"/>
                <w:spacing w:val="1"/>
              </w:rPr>
              <w:t xml:space="preserve"> </w:t>
            </w:r>
            <w:r>
              <w:rPr>
                <w:rFonts w:ascii="Cambria" w:hAnsi="Cambria"/>
                <w:spacing w:val="-1"/>
              </w:rPr>
              <w:t>p,</w:t>
            </w:r>
            <w:r>
              <w:rPr>
                <w:rFonts w:ascii="Cambria" w:hAnsi="Cambria"/>
                <w:spacing w:val="1"/>
              </w:rPr>
              <w:t xml:space="preserve"> </w:t>
            </w:r>
            <w:r>
              <w:rPr>
                <w:rFonts w:ascii="Cambria" w:hAnsi="Cambria"/>
                <w:spacing w:val="-1"/>
              </w:rPr>
              <w:t>com</w:t>
            </w:r>
            <w:r>
              <w:rPr>
                <w:rFonts w:ascii="Cambria" w:hAnsi="Cambria"/>
                <w:spacing w:val="1"/>
              </w:rPr>
              <w:t xml:space="preserve"> </w:t>
            </w:r>
            <w:r>
              <w:rPr>
                <w:rFonts w:ascii="Cambria" w:hAnsi="Cambria"/>
                <w:spacing w:val="-1"/>
              </w:rPr>
              <w:t>barreiras</w:t>
            </w:r>
            <w:r>
              <w:rPr>
                <w:rFonts w:ascii="Cambria" w:hAnsi="Cambria"/>
                <w:spacing w:val="-36"/>
              </w:rPr>
              <w:t xml:space="preserve"> </w:t>
            </w:r>
            <w:r>
              <w:rPr>
                <w:rFonts w:ascii="Cambria" w:hAnsi="Cambria"/>
                <w:spacing w:val="-2"/>
              </w:rPr>
              <w:t xml:space="preserve">laterais </w:t>
            </w:r>
            <w:r>
              <w:rPr>
                <w:rFonts w:ascii="Cambria" w:hAnsi="Cambria"/>
                <w:spacing w:val="-1"/>
              </w:rPr>
              <w:t>e antivazamento, fita multiuso</w:t>
            </w:r>
            <w:r>
              <w:rPr>
                <w:rFonts w:ascii="Cambria" w:hAnsi="Cambria"/>
              </w:rPr>
              <w:t xml:space="preserve"> </w:t>
            </w:r>
            <w:r>
              <w:rPr>
                <w:rFonts w:ascii="Cambria" w:hAnsi="Cambria"/>
                <w:spacing w:val="-2"/>
              </w:rPr>
              <w:t xml:space="preserve">ajustável, </w:t>
            </w:r>
            <w:r>
              <w:rPr>
                <w:rFonts w:ascii="Cambria" w:hAnsi="Cambria"/>
                <w:spacing w:val="-1"/>
              </w:rPr>
              <w:t>elásticos ajustáveis na perna,</w:t>
            </w:r>
            <w:r>
              <w:rPr>
                <w:rFonts w:ascii="Cambria" w:hAnsi="Cambria"/>
                <w:spacing w:val="-36"/>
              </w:rPr>
              <w:t xml:space="preserve"> </w:t>
            </w:r>
            <w:r>
              <w:rPr>
                <w:rFonts w:ascii="Cambria" w:hAnsi="Cambria"/>
              </w:rPr>
              <w:t>corte anatômico e antimicol, com 10</w:t>
            </w:r>
            <w:r>
              <w:rPr>
                <w:rFonts w:ascii="Cambria" w:hAnsi="Cambria"/>
                <w:spacing w:val="1"/>
              </w:rPr>
              <w:t xml:space="preserve"> </w:t>
            </w:r>
            <w:r>
              <w:rPr>
                <w:rFonts w:ascii="Cambria" w:hAnsi="Cambria"/>
              </w:rPr>
              <w:t>unidades</w:t>
            </w:r>
            <w:r>
              <w:rPr>
                <w:rFonts w:ascii="Cambria" w:hAnsi="Cambria"/>
                <w:spacing w:val="-1"/>
              </w:rPr>
              <w:t xml:space="preserve"> </w:t>
            </w:r>
            <w:r>
              <w:rPr>
                <w:rFonts w:ascii="Cambria" w:hAnsi="Cambria"/>
              </w:rPr>
              <w:t>o pacote.</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E16FC2D">
            <w:pPr>
              <w:widowControl w:val="0"/>
              <w:suppressAutoHyphens/>
              <w:spacing w:after="288" w:afterLines="120" w:line="276" w:lineRule="auto"/>
              <w:ind w:left="-108" w:right="-108"/>
              <w:jc w:val="center"/>
              <w:rPr>
                <w:rFonts w:ascii="Cambria" w:hAnsi="Cambria"/>
              </w:rPr>
            </w:pPr>
            <w:r>
              <w:rPr>
                <w:rFonts w:ascii="Cambria" w:hAnsi="Cambria"/>
              </w:rPr>
              <w:t>Pct</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2D5314E">
            <w:pPr>
              <w:widowControl w:val="0"/>
              <w:suppressAutoHyphens/>
              <w:spacing w:after="288" w:afterLines="120" w:line="276" w:lineRule="auto"/>
              <w:jc w:val="center"/>
              <w:rPr>
                <w:rFonts w:ascii="Cambria" w:hAnsi="Cambria"/>
              </w:rPr>
            </w:pPr>
            <w:r>
              <w:rPr>
                <w:rFonts w:ascii="Cambria" w:hAnsi="Cambria"/>
              </w:rPr>
              <w:t>100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7D120A1">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R$ 35,74</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CDD892C">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R$ 3.574,00</w:t>
            </w:r>
          </w:p>
        </w:tc>
      </w:tr>
      <w:tr w14:paraId="3F84A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C25DD93">
            <w:pPr>
              <w:widowControl w:val="0"/>
              <w:suppressAutoHyphens/>
              <w:spacing w:after="288" w:afterLines="120" w:line="276" w:lineRule="auto"/>
              <w:ind w:left="-108" w:right="-108"/>
              <w:jc w:val="center"/>
              <w:rPr>
                <w:rFonts w:ascii="Cambria" w:hAnsi="Cambria"/>
              </w:rPr>
            </w:pPr>
            <w:r>
              <w:rPr>
                <w:rFonts w:ascii="Cambria" w:hAnsi="Cambria"/>
              </w:rPr>
              <w:t>67</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3B23E52">
            <w:pPr>
              <w:widowControl w:val="0"/>
              <w:suppressAutoHyphens/>
              <w:spacing w:after="288" w:afterLines="120" w:line="276" w:lineRule="auto"/>
              <w:jc w:val="both"/>
              <w:rPr>
                <w:rFonts w:ascii="Cambria" w:hAnsi="Cambria"/>
                <w:spacing w:val="-2"/>
              </w:rPr>
            </w:pPr>
            <w:r>
              <w:rPr>
                <w:rFonts w:ascii="Cambria" w:hAnsi="Cambria"/>
              </w:rPr>
              <w:t>Válvula reguladora cilíndrica 2</w:t>
            </w:r>
            <w:r>
              <w:rPr>
                <w:rFonts w:ascii="Cambria" w:hAnsi="Cambria"/>
                <w:spacing w:val="1"/>
              </w:rPr>
              <w:t xml:space="preserve"> </w:t>
            </w:r>
            <w:r>
              <w:rPr>
                <w:rFonts w:ascii="Cambria" w:hAnsi="Cambria"/>
              </w:rPr>
              <w:t>manômetros. Pressão de entrada:</w:t>
            </w:r>
            <w:r>
              <w:rPr>
                <w:rFonts w:ascii="Cambria" w:hAnsi="Cambria"/>
                <w:spacing w:val="1"/>
              </w:rPr>
              <w:t xml:space="preserve"> </w:t>
            </w:r>
            <w:r>
              <w:rPr>
                <w:rFonts w:ascii="Cambria" w:hAnsi="Cambria"/>
              </w:rPr>
              <w:t>máximo</w:t>
            </w:r>
            <w:r>
              <w:rPr>
                <w:rFonts w:ascii="Cambria" w:hAnsi="Cambria"/>
                <w:spacing w:val="-3"/>
              </w:rPr>
              <w:t xml:space="preserve"> </w:t>
            </w:r>
            <w:r>
              <w:rPr>
                <w:rFonts w:ascii="Cambria" w:hAnsi="Cambria"/>
              </w:rPr>
              <w:t>200</w:t>
            </w:r>
            <w:r>
              <w:rPr>
                <w:rFonts w:ascii="Cambria" w:hAnsi="Cambria"/>
                <w:spacing w:val="-2"/>
              </w:rPr>
              <w:t xml:space="preserve"> </w:t>
            </w:r>
            <w:r>
              <w:rPr>
                <w:rFonts w:ascii="Cambria" w:hAnsi="Cambria"/>
              </w:rPr>
              <w:t>kgf/cm²</w:t>
            </w:r>
            <w:r>
              <w:rPr>
                <w:rFonts w:ascii="Cambria" w:hAnsi="Cambria"/>
                <w:spacing w:val="-2"/>
              </w:rPr>
              <w:t xml:space="preserve"> </w:t>
            </w:r>
            <w:r>
              <w:rPr>
                <w:rFonts w:ascii="Cambria" w:hAnsi="Cambria"/>
              </w:rPr>
              <w:t>-</w:t>
            </w:r>
            <w:r>
              <w:rPr>
                <w:rFonts w:ascii="Cambria" w:hAnsi="Cambria"/>
                <w:spacing w:val="-3"/>
              </w:rPr>
              <w:t xml:space="preserve"> </w:t>
            </w:r>
            <w:r>
              <w:rPr>
                <w:rFonts w:ascii="Cambria" w:hAnsi="Cambria"/>
              </w:rPr>
              <w:t>pressão</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saída:</w:t>
            </w:r>
            <w:r>
              <w:rPr>
                <w:rFonts w:ascii="Cambria" w:hAnsi="Cambria"/>
                <w:spacing w:val="-3"/>
              </w:rPr>
              <w:t xml:space="preserve"> </w:t>
            </w:r>
            <w:r>
              <w:rPr>
                <w:rFonts w:ascii="Cambria" w:hAnsi="Cambria"/>
              </w:rPr>
              <w:t>3,5 ±0,3 kgf/cm² - escala do manômetro: 0 a 16</w:t>
            </w:r>
            <w:r>
              <w:rPr>
                <w:rFonts w:ascii="Cambria" w:hAnsi="Cambria"/>
                <w:spacing w:val="1"/>
              </w:rPr>
              <w:t xml:space="preserve"> </w:t>
            </w:r>
            <w:r>
              <w:rPr>
                <w:rFonts w:ascii="Cambria" w:hAnsi="Cambria"/>
                <w:spacing w:val="-1"/>
              </w:rPr>
              <w:t>kgf/cm² 0</w:t>
            </w:r>
            <w:r>
              <w:rPr>
                <w:rFonts w:ascii="Cambria" w:hAnsi="Cambria"/>
                <w:spacing w:val="-9"/>
              </w:rPr>
              <w:t xml:space="preserve"> </w:t>
            </w:r>
            <w:r>
              <w:rPr>
                <w:rFonts w:ascii="Cambria" w:hAnsi="Cambria"/>
                <w:spacing w:val="-1"/>
              </w:rPr>
              <w:t>a</w:t>
            </w:r>
            <w:r>
              <w:rPr>
                <w:rFonts w:ascii="Cambria" w:hAnsi="Cambria"/>
                <w:spacing w:val="-9"/>
              </w:rPr>
              <w:t xml:space="preserve"> </w:t>
            </w:r>
            <w:r>
              <w:rPr>
                <w:rFonts w:ascii="Cambria" w:hAnsi="Cambria"/>
                <w:spacing w:val="-1"/>
              </w:rPr>
              <w:t>315 kgf/cm²</w:t>
            </w:r>
            <w:r>
              <w:rPr>
                <w:rFonts w:ascii="Cambria" w:hAnsi="Cambria"/>
              </w:rPr>
              <w:t xml:space="preserve"> </w:t>
            </w:r>
            <w:r>
              <w:rPr>
                <w:rFonts w:ascii="Cambria" w:hAnsi="Cambria"/>
                <w:spacing w:val="-1"/>
              </w:rPr>
              <w:t xml:space="preserve">- </w:t>
            </w:r>
            <w:r>
              <w:rPr>
                <w:rFonts w:ascii="Cambria" w:hAnsi="Cambria"/>
              </w:rPr>
              <w:t>material</w:t>
            </w:r>
            <w:r>
              <w:rPr>
                <w:rFonts w:ascii="Cambria" w:hAnsi="Cambria"/>
                <w:spacing w:val="-7"/>
              </w:rPr>
              <w:t xml:space="preserve"> </w:t>
            </w:r>
            <w:r>
              <w:rPr>
                <w:rFonts w:ascii="Cambria" w:hAnsi="Cambria"/>
              </w:rPr>
              <w:t>utilizado:</w:t>
            </w:r>
            <w:r>
              <w:rPr>
                <w:rFonts w:ascii="Cambria" w:hAnsi="Cambria"/>
                <w:spacing w:val="-36"/>
              </w:rPr>
              <w:t xml:space="preserve"> </w:t>
            </w:r>
            <w:r>
              <w:rPr>
                <w:rFonts w:ascii="Cambria" w:hAnsi="Cambria"/>
                <w:spacing w:val="-1"/>
              </w:rPr>
              <w:t>latão</w:t>
            </w:r>
            <w:r>
              <w:rPr>
                <w:rFonts w:ascii="Cambria" w:hAnsi="Cambria"/>
                <w:spacing w:val="-2"/>
              </w:rPr>
              <w:t xml:space="preserve"> </w:t>
            </w:r>
            <w:r>
              <w:rPr>
                <w:rFonts w:ascii="Cambria" w:hAnsi="Cambria"/>
                <w:spacing w:val="-1"/>
              </w:rPr>
              <w:t xml:space="preserve">cromado </w:t>
            </w:r>
            <w:r>
              <w:rPr>
                <w:rFonts w:ascii="Cambria" w:hAnsi="Cambria"/>
              </w:rPr>
              <w:t>-</w:t>
            </w:r>
            <w:r>
              <w:rPr>
                <w:rFonts w:ascii="Cambria" w:hAnsi="Cambria"/>
                <w:spacing w:val="-2"/>
              </w:rPr>
              <w:t xml:space="preserve"> </w:t>
            </w:r>
            <w:r>
              <w:rPr>
                <w:rFonts w:ascii="Cambria" w:hAnsi="Cambria"/>
              </w:rPr>
              <w:t>válvula</w:t>
            </w:r>
            <w:r>
              <w:rPr>
                <w:rFonts w:ascii="Cambria" w:hAnsi="Cambria"/>
                <w:spacing w:val="-9"/>
              </w:rPr>
              <w:t xml:space="preserve"> </w:t>
            </w:r>
            <w:r>
              <w:rPr>
                <w:rFonts w:ascii="Cambria" w:hAnsi="Cambria"/>
              </w:rPr>
              <w:t>de</w:t>
            </w:r>
            <w:r>
              <w:rPr>
                <w:rFonts w:ascii="Cambria" w:hAnsi="Cambria"/>
                <w:spacing w:val="-9"/>
              </w:rPr>
              <w:t xml:space="preserve"> </w:t>
            </w:r>
            <w:r>
              <w:rPr>
                <w:rFonts w:ascii="Cambria" w:hAnsi="Cambria"/>
              </w:rPr>
              <w:t>alívio:</w:t>
            </w:r>
            <w:r>
              <w:rPr>
                <w:rFonts w:ascii="Cambria" w:hAnsi="Cambria"/>
                <w:spacing w:val="-1"/>
              </w:rPr>
              <w:t xml:space="preserve"> </w:t>
            </w:r>
            <w:r>
              <w:rPr>
                <w:rFonts w:ascii="Cambria" w:hAnsi="Cambria"/>
              </w:rPr>
              <w:t>10,0</w:t>
            </w:r>
            <w:r>
              <w:rPr>
                <w:rFonts w:ascii="Cambria" w:hAnsi="Cambria"/>
                <w:spacing w:val="-2"/>
              </w:rPr>
              <w:t xml:space="preserve"> </w:t>
            </w:r>
            <w:r>
              <w:rPr>
                <w:rFonts w:ascii="Cambria" w:hAnsi="Cambria"/>
              </w:rPr>
              <w:t>±0,4</w:t>
            </w:r>
            <w:r>
              <w:rPr>
                <w:rFonts w:ascii="Cambria" w:hAnsi="Cambria"/>
                <w:spacing w:val="-36"/>
              </w:rPr>
              <w:t xml:space="preserve"> </w:t>
            </w:r>
            <w:r>
              <w:rPr>
                <w:rFonts w:ascii="Cambria" w:hAnsi="Cambria"/>
              </w:rPr>
              <w:t>kgf/cm² - conexões de entrada e saída:</w:t>
            </w:r>
            <w:r>
              <w:rPr>
                <w:rFonts w:ascii="Cambria" w:hAnsi="Cambria"/>
                <w:spacing w:val="1"/>
              </w:rPr>
              <w:t xml:space="preserve"> </w:t>
            </w:r>
            <w:r>
              <w:rPr>
                <w:rFonts w:ascii="Cambria" w:hAnsi="Cambria"/>
                <w:spacing w:val="-1"/>
              </w:rPr>
              <w:t xml:space="preserve">conforme a norma </w:t>
            </w:r>
            <w:r>
              <w:rPr>
                <w:rFonts w:ascii="Cambria" w:hAnsi="Cambria"/>
              </w:rPr>
              <w:t>abnt nbr 11.725 - tipos</w:t>
            </w:r>
            <w:r>
              <w:rPr>
                <w:rFonts w:ascii="Cambria" w:hAnsi="Cambria"/>
                <w:spacing w:val="1"/>
              </w:rPr>
              <w:t xml:space="preserve"> </w:t>
            </w:r>
            <w:r>
              <w:rPr>
                <w:rFonts w:ascii="Cambria" w:hAnsi="Cambria"/>
              </w:rPr>
              <w:t>de gás: oxigênio, ar comprimido, óxido</w:t>
            </w:r>
            <w:r>
              <w:rPr>
                <w:rFonts w:ascii="Cambria" w:hAnsi="Cambria"/>
                <w:spacing w:val="1"/>
              </w:rPr>
              <w:t xml:space="preserve"> </w:t>
            </w:r>
            <w:r>
              <w:rPr>
                <w:rFonts w:ascii="Cambria" w:hAnsi="Cambria"/>
              </w:rPr>
              <w:t>nitroso, gás carbônico e nitrogênio. *</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80DBB89">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1E05840">
            <w:pPr>
              <w:widowControl w:val="0"/>
              <w:suppressAutoHyphens/>
              <w:spacing w:after="288" w:afterLines="120" w:line="276" w:lineRule="auto"/>
              <w:jc w:val="center"/>
              <w:rPr>
                <w:rFonts w:ascii="Cambria" w:hAnsi="Cambria"/>
              </w:rPr>
            </w:pPr>
            <w:r>
              <w:rPr>
                <w:rFonts w:ascii="Cambria" w:hAnsi="Cambria"/>
              </w:rPr>
              <w:t>20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6A67528">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R$ 599,03</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AE93434">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R$ 11.980,60</w:t>
            </w:r>
          </w:p>
        </w:tc>
      </w:tr>
      <w:tr w14:paraId="1E148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EC70220">
            <w:pPr>
              <w:widowControl w:val="0"/>
              <w:suppressAutoHyphens/>
              <w:spacing w:after="288" w:afterLines="120" w:line="276" w:lineRule="auto"/>
              <w:ind w:left="-108" w:right="-108"/>
              <w:jc w:val="center"/>
              <w:rPr>
                <w:rFonts w:ascii="Cambria" w:hAnsi="Cambria"/>
              </w:rPr>
            </w:pPr>
            <w:r>
              <w:rPr>
                <w:rFonts w:ascii="Cambria" w:hAnsi="Cambria"/>
              </w:rPr>
              <w:t>68</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3A94DA1">
            <w:pPr>
              <w:widowControl w:val="0"/>
              <w:suppressAutoHyphens/>
              <w:spacing w:after="288" w:afterLines="120" w:line="276" w:lineRule="auto"/>
              <w:jc w:val="both"/>
              <w:rPr>
                <w:rFonts w:ascii="Cambria" w:hAnsi="Cambria"/>
              </w:rPr>
            </w:pPr>
            <w:r>
              <w:rPr>
                <w:rFonts w:ascii="Cambria" w:hAnsi="Cambria"/>
                <w:spacing w:val="-1"/>
              </w:rPr>
              <w:t xml:space="preserve">Luva cirúrgica 6,5 anatômica, </w:t>
            </w:r>
            <w:r>
              <w:rPr>
                <w:rFonts w:ascii="Cambria" w:hAnsi="Cambria"/>
              </w:rPr>
              <w:t>superfície</w:t>
            </w:r>
            <w:r>
              <w:rPr>
                <w:rFonts w:ascii="Cambria" w:hAnsi="Cambria"/>
                <w:spacing w:val="1"/>
              </w:rPr>
              <w:t xml:space="preserve"> </w:t>
            </w:r>
            <w:r>
              <w:rPr>
                <w:rFonts w:ascii="Cambria" w:hAnsi="Cambria"/>
              </w:rPr>
              <w:t>micro texturizada na extremidade dos</w:t>
            </w:r>
            <w:r>
              <w:rPr>
                <w:rFonts w:ascii="Cambria" w:hAnsi="Cambria"/>
                <w:spacing w:val="1"/>
              </w:rPr>
              <w:t xml:space="preserve"> </w:t>
            </w:r>
            <w:r>
              <w:rPr>
                <w:rFonts w:ascii="Cambria" w:hAnsi="Cambria"/>
              </w:rPr>
              <w:t>dedos, levemente</w:t>
            </w:r>
            <w:r>
              <w:rPr>
                <w:rFonts w:ascii="Cambria" w:hAnsi="Cambria"/>
                <w:spacing w:val="1"/>
              </w:rPr>
              <w:t xml:space="preserve"> </w:t>
            </w:r>
            <w:r>
              <w:rPr>
                <w:rFonts w:ascii="Cambria" w:hAnsi="Cambria"/>
              </w:rPr>
              <w:t>talcada, esterilizada</w:t>
            </w:r>
            <w:r>
              <w:rPr>
                <w:rFonts w:ascii="Cambria" w:hAnsi="Cambria"/>
                <w:spacing w:val="1"/>
              </w:rPr>
              <w:t xml:space="preserve"> </w:t>
            </w:r>
            <w:r>
              <w:rPr>
                <w:rFonts w:ascii="Cambria" w:hAnsi="Cambria"/>
              </w:rPr>
              <w:t>por</w:t>
            </w:r>
            <w:r>
              <w:rPr>
                <w:rFonts w:ascii="Cambria" w:hAnsi="Cambria"/>
                <w:spacing w:val="-5"/>
              </w:rPr>
              <w:t xml:space="preserve"> </w:t>
            </w:r>
            <w:r>
              <w:rPr>
                <w:rFonts w:ascii="Cambria" w:hAnsi="Cambria"/>
              </w:rPr>
              <w:t>raio</w:t>
            </w:r>
            <w:r>
              <w:rPr>
                <w:rFonts w:ascii="Cambria" w:hAnsi="Cambria"/>
                <w:spacing w:val="-4"/>
              </w:rPr>
              <w:t xml:space="preserve"> </w:t>
            </w:r>
            <w:r>
              <w:rPr>
                <w:rFonts w:ascii="Cambria" w:hAnsi="Cambria"/>
              </w:rPr>
              <w:t>gama.</w:t>
            </w:r>
            <w:r>
              <w:rPr>
                <w:rFonts w:ascii="Cambria" w:hAnsi="Cambria"/>
                <w:spacing w:val="-4"/>
              </w:rPr>
              <w:t xml:space="preserve"> </w:t>
            </w:r>
            <w:r>
              <w:rPr>
                <w:rFonts w:ascii="Cambria" w:hAnsi="Cambria"/>
              </w:rPr>
              <w:t>Embalagem</w:t>
            </w:r>
            <w:r>
              <w:rPr>
                <w:rFonts w:ascii="Cambria" w:hAnsi="Cambria"/>
                <w:spacing w:val="-4"/>
              </w:rPr>
              <w:t xml:space="preserve"> </w:t>
            </w:r>
            <w:r>
              <w:rPr>
                <w:rFonts w:ascii="Cambria" w:hAnsi="Cambria"/>
              </w:rPr>
              <w:t>em</w:t>
            </w:r>
            <w:r>
              <w:rPr>
                <w:rFonts w:ascii="Cambria" w:hAnsi="Cambria"/>
                <w:spacing w:val="-5"/>
              </w:rPr>
              <w:t xml:space="preserve"> </w:t>
            </w:r>
            <w:r>
              <w:rPr>
                <w:rFonts w:ascii="Cambria" w:hAnsi="Cambria"/>
              </w:rPr>
              <w:t>papel</w:t>
            </w:r>
            <w:r>
              <w:rPr>
                <w:rFonts w:ascii="Cambria" w:hAnsi="Cambria"/>
                <w:spacing w:val="-9"/>
              </w:rPr>
              <w:t xml:space="preserve"> </w:t>
            </w:r>
            <w:r>
              <w:rPr>
                <w:rFonts w:ascii="Cambria" w:hAnsi="Cambria"/>
              </w:rPr>
              <w:t>grau</w:t>
            </w:r>
            <w:r>
              <w:rPr>
                <w:rFonts w:ascii="Cambria" w:hAnsi="Cambria"/>
                <w:spacing w:val="-36"/>
              </w:rPr>
              <w:t xml:space="preserve"> </w:t>
            </w:r>
            <w:r>
              <w:rPr>
                <w:rFonts w:ascii="Cambria" w:hAnsi="Cambria"/>
              </w:rPr>
              <w:t>cirúrgico.</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11408AF">
            <w:pPr>
              <w:widowControl w:val="0"/>
              <w:suppressAutoHyphens/>
              <w:spacing w:after="288" w:afterLines="120" w:line="276" w:lineRule="auto"/>
              <w:ind w:left="-108" w:right="-108"/>
              <w:jc w:val="center"/>
              <w:rPr>
                <w:rFonts w:ascii="Cambria" w:hAnsi="Cambria"/>
              </w:rPr>
            </w:pPr>
            <w:r>
              <w:rPr>
                <w:rFonts w:ascii="Cambria" w:hAnsi="Cambria"/>
              </w:rPr>
              <w:t>Pr</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89DEA55">
            <w:pPr>
              <w:widowControl w:val="0"/>
              <w:suppressAutoHyphens/>
              <w:spacing w:after="288" w:afterLines="120" w:line="276" w:lineRule="auto"/>
              <w:jc w:val="center"/>
              <w:rPr>
                <w:rFonts w:ascii="Cambria" w:hAnsi="Cambria"/>
              </w:rPr>
            </w:pPr>
            <w:r>
              <w:rPr>
                <w:rFonts w:ascii="Cambria" w:hAnsi="Cambria"/>
              </w:rPr>
              <w:t>2.000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D3380AB">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R$ 1,75</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BDBE607">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R$ 3.500,00</w:t>
            </w:r>
          </w:p>
        </w:tc>
      </w:tr>
      <w:tr w14:paraId="76C47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DFBEF85">
            <w:pPr>
              <w:widowControl w:val="0"/>
              <w:suppressAutoHyphens/>
              <w:spacing w:after="288" w:afterLines="120" w:line="276" w:lineRule="auto"/>
              <w:ind w:left="-108" w:right="-108"/>
              <w:jc w:val="center"/>
              <w:rPr>
                <w:rFonts w:ascii="Cambria" w:hAnsi="Cambria"/>
              </w:rPr>
            </w:pPr>
            <w:r>
              <w:rPr>
                <w:rFonts w:ascii="Cambria" w:hAnsi="Cambria"/>
              </w:rPr>
              <w:t>69</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520C2A4">
            <w:pPr>
              <w:widowControl w:val="0"/>
              <w:suppressAutoHyphens/>
              <w:spacing w:after="288" w:afterLines="120" w:line="276" w:lineRule="auto"/>
              <w:jc w:val="both"/>
              <w:rPr>
                <w:rFonts w:ascii="Cambria" w:hAnsi="Cambria"/>
                <w:spacing w:val="-1"/>
              </w:rPr>
            </w:pPr>
            <w:r>
              <w:rPr>
                <w:rFonts w:ascii="Cambria" w:hAnsi="Cambria"/>
              </w:rPr>
              <w:t>Agulha hipodérmica, cânula em aço inox,</w:t>
            </w:r>
            <w:r>
              <w:rPr>
                <w:rFonts w:ascii="Cambria" w:hAnsi="Cambria"/>
                <w:spacing w:val="1"/>
              </w:rPr>
              <w:t xml:space="preserve"> </w:t>
            </w:r>
            <w:r>
              <w:rPr>
                <w:rFonts w:ascii="Cambria" w:hAnsi="Cambria"/>
              </w:rPr>
              <w:t>cilíndrica-oca-reta, com pereira</w:t>
            </w:r>
            <w:r>
              <w:rPr>
                <w:rFonts w:ascii="Cambria" w:hAnsi="Cambria"/>
                <w:spacing w:val="1"/>
              </w:rPr>
              <w:t xml:space="preserve"> </w:t>
            </w:r>
            <w:r>
              <w:rPr>
                <w:rFonts w:ascii="Cambria" w:hAnsi="Cambria"/>
                <w:spacing w:val="-1"/>
              </w:rPr>
              <w:t xml:space="preserve">adaptação universal ao canhão, </w:t>
            </w:r>
            <w:r>
              <w:rPr>
                <w:rFonts w:ascii="Cambria" w:hAnsi="Cambria"/>
              </w:rPr>
              <w:t>espaço</w:t>
            </w:r>
            <w:r>
              <w:rPr>
                <w:rFonts w:ascii="Cambria" w:hAnsi="Cambria"/>
                <w:spacing w:val="1"/>
              </w:rPr>
              <w:t xml:space="preserve"> </w:t>
            </w:r>
            <w:r>
              <w:rPr>
                <w:rFonts w:ascii="Cambria" w:hAnsi="Cambria"/>
              </w:rPr>
              <w:t>morto reduzido no canhão,</w:t>
            </w:r>
            <w:r>
              <w:rPr>
                <w:rFonts w:ascii="Cambria" w:hAnsi="Cambria"/>
                <w:spacing w:val="1"/>
              </w:rPr>
              <w:t xml:space="preserve"> </w:t>
            </w:r>
            <w:r>
              <w:rPr>
                <w:rFonts w:ascii="Cambria" w:hAnsi="Cambria"/>
                <w:spacing w:val="-2"/>
              </w:rPr>
              <w:t xml:space="preserve">biseltrifacetado </w:t>
            </w:r>
            <w:r>
              <w:rPr>
                <w:rFonts w:ascii="Cambria" w:hAnsi="Cambria"/>
                <w:spacing w:val="-1"/>
              </w:rPr>
              <w:t>com a ponta afiada,</w:t>
            </w:r>
            <w:r>
              <w:rPr>
                <w:rFonts w:ascii="Cambria" w:hAnsi="Cambria"/>
              </w:rPr>
              <w:t xml:space="preserve"> canhão e protetor na cor vermelha em</w:t>
            </w:r>
            <w:r>
              <w:rPr>
                <w:rFonts w:ascii="Cambria" w:hAnsi="Cambria"/>
                <w:spacing w:val="1"/>
              </w:rPr>
              <w:t xml:space="preserve"> </w:t>
            </w:r>
            <w:r>
              <w:rPr>
                <w:rFonts w:ascii="Cambria" w:hAnsi="Cambria"/>
                <w:spacing w:val="-1"/>
              </w:rPr>
              <w:t xml:space="preserve">polipropileno </w:t>
            </w:r>
            <w:r>
              <w:rPr>
                <w:rFonts w:ascii="Cambria" w:hAnsi="Cambria"/>
              </w:rPr>
              <w:t>atóxico, com protetor em</w:t>
            </w:r>
            <w:r>
              <w:rPr>
                <w:rFonts w:ascii="Cambria" w:hAnsi="Cambria"/>
                <w:spacing w:val="1"/>
              </w:rPr>
              <w:t xml:space="preserve"> </w:t>
            </w:r>
            <w:r>
              <w:rPr>
                <w:rFonts w:ascii="Cambria" w:hAnsi="Cambria"/>
              </w:rPr>
              <w:t>polipropileno atóxico em dispositivo de</w:t>
            </w:r>
            <w:r>
              <w:rPr>
                <w:rFonts w:ascii="Cambria" w:hAnsi="Cambria"/>
                <w:spacing w:val="1"/>
              </w:rPr>
              <w:t xml:space="preserve"> </w:t>
            </w:r>
            <w:r>
              <w:rPr>
                <w:rFonts w:ascii="Cambria" w:hAnsi="Cambria"/>
                <w:spacing w:val="-1"/>
              </w:rPr>
              <w:t>segurança</w:t>
            </w:r>
            <w:r>
              <w:rPr>
                <w:rFonts w:ascii="Cambria" w:hAnsi="Cambria"/>
                <w:spacing w:val="-16"/>
              </w:rPr>
              <w:t xml:space="preserve"> </w:t>
            </w:r>
            <w:r>
              <w:rPr>
                <w:rFonts w:ascii="Cambria" w:hAnsi="Cambria"/>
                <w:spacing w:val="-1"/>
              </w:rPr>
              <w:t>acoplado</w:t>
            </w:r>
            <w:r>
              <w:rPr>
                <w:rFonts w:ascii="Cambria" w:hAnsi="Cambria"/>
              </w:rPr>
              <w:t xml:space="preserve"> que impeça</w:t>
            </w:r>
            <w:r>
              <w:rPr>
                <w:rFonts w:ascii="Cambria" w:hAnsi="Cambria"/>
                <w:spacing w:val="-8"/>
              </w:rPr>
              <w:t xml:space="preserve"> </w:t>
            </w:r>
            <w:r>
              <w:rPr>
                <w:rFonts w:ascii="Cambria" w:hAnsi="Cambria"/>
              </w:rPr>
              <w:t>o reuso,</w:t>
            </w:r>
            <w:r>
              <w:rPr>
                <w:rFonts w:ascii="Cambria" w:hAnsi="Cambria"/>
                <w:spacing w:val="-36"/>
              </w:rPr>
              <w:t xml:space="preserve"> </w:t>
            </w:r>
            <w:r>
              <w:rPr>
                <w:rFonts w:ascii="Cambria" w:hAnsi="Cambria"/>
              </w:rPr>
              <w:t>calibre 20 x 5,5, estéril, uso descartável,</w:t>
            </w:r>
            <w:r>
              <w:rPr>
                <w:rFonts w:ascii="Cambria" w:hAnsi="Cambria"/>
                <w:spacing w:val="-36"/>
              </w:rPr>
              <w:t xml:space="preserve"> </w:t>
            </w:r>
            <w:r>
              <w:rPr>
                <w:rFonts w:ascii="Cambria" w:hAnsi="Cambria"/>
              </w:rPr>
              <w:t>embalado em material que promova</w:t>
            </w:r>
            <w:r>
              <w:rPr>
                <w:rFonts w:ascii="Cambria" w:hAnsi="Cambria"/>
                <w:spacing w:val="1"/>
              </w:rPr>
              <w:t xml:space="preserve"> </w:t>
            </w:r>
            <w:r>
              <w:rPr>
                <w:rFonts w:ascii="Cambria" w:hAnsi="Cambria"/>
              </w:rPr>
              <w:t>barreira microbiana e abertura</w:t>
            </w:r>
            <w:r>
              <w:rPr>
                <w:rFonts w:ascii="Cambria" w:hAnsi="Cambria"/>
                <w:spacing w:val="1"/>
              </w:rPr>
              <w:t xml:space="preserve"> </w:t>
            </w:r>
            <w:r>
              <w:rPr>
                <w:rFonts w:ascii="Cambria" w:hAnsi="Cambria"/>
              </w:rPr>
              <w:t>asséptica.</w:t>
            </w:r>
            <w:r>
              <w:rPr>
                <w:rFonts w:ascii="Cambria" w:hAnsi="Cambria"/>
                <w:spacing w:val="-2"/>
              </w:rPr>
              <w:t xml:space="preserve"> </w:t>
            </w:r>
            <w:r>
              <w:rPr>
                <w:rFonts w:ascii="Cambria" w:hAnsi="Cambria"/>
              </w:rPr>
              <w:t>O</w:t>
            </w:r>
            <w:r>
              <w:rPr>
                <w:rFonts w:ascii="Cambria" w:hAnsi="Cambria"/>
                <w:spacing w:val="-1"/>
              </w:rPr>
              <w:t xml:space="preserve"> </w:t>
            </w:r>
            <w:r>
              <w:rPr>
                <w:rFonts w:ascii="Cambria" w:hAnsi="Cambria"/>
              </w:rPr>
              <w:t>material</w:t>
            </w:r>
            <w:r>
              <w:rPr>
                <w:rFonts w:ascii="Cambria" w:hAnsi="Cambria"/>
                <w:spacing w:val="-7"/>
              </w:rPr>
              <w:t xml:space="preserve"> </w:t>
            </w:r>
            <w:r>
              <w:rPr>
                <w:rFonts w:ascii="Cambria" w:hAnsi="Cambria"/>
              </w:rPr>
              <w:t>deverá</w:t>
            </w:r>
            <w:r>
              <w:rPr>
                <w:rFonts w:ascii="Cambria" w:hAnsi="Cambria"/>
                <w:spacing w:val="-1"/>
              </w:rPr>
              <w:t xml:space="preserve"> </w:t>
            </w:r>
            <w:r>
              <w:rPr>
                <w:rFonts w:ascii="Cambria" w:hAnsi="Cambria"/>
              </w:rPr>
              <w:t>obedecer</w:t>
            </w:r>
            <w:r>
              <w:rPr>
                <w:rFonts w:ascii="Cambria" w:hAnsi="Cambria"/>
                <w:spacing w:val="-1"/>
              </w:rPr>
              <w:t xml:space="preserve"> a</w:t>
            </w:r>
            <w:r>
              <w:rPr>
                <w:rFonts w:ascii="Cambria" w:hAnsi="Cambria"/>
                <w:spacing w:val="-9"/>
              </w:rPr>
              <w:t xml:space="preserve"> </w:t>
            </w:r>
            <w:r>
              <w:rPr>
                <w:rFonts w:ascii="Cambria" w:hAnsi="Cambria"/>
                <w:spacing w:val="-1"/>
              </w:rPr>
              <w:t>legislação</w:t>
            </w:r>
            <w:r>
              <w:rPr>
                <w:rFonts w:ascii="Cambria" w:hAnsi="Cambria"/>
              </w:rPr>
              <w:t xml:space="preserve"> </w:t>
            </w:r>
            <w:r>
              <w:rPr>
                <w:rFonts w:ascii="Cambria" w:hAnsi="Cambria"/>
                <w:spacing w:val="-1"/>
              </w:rPr>
              <w:t>vigente</w:t>
            </w:r>
            <w:r>
              <w:rPr>
                <w:rFonts w:ascii="Cambria" w:hAnsi="Cambria"/>
                <w:spacing w:val="-9"/>
              </w:rPr>
              <w:t xml:space="preserve"> </w:t>
            </w:r>
            <w:r>
              <w:rPr>
                <w:rFonts w:ascii="Cambria" w:hAnsi="Cambria"/>
                <w:spacing w:val="-1"/>
              </w:rPr>
              <w:t>atual.</w:t>
            </w:r>
            <w:r>
              <w:rPr>
                <w:rFonts w:ascii="Cambria" w:hAnsi="Cambria"/>
              </w:rPr>
              <w:t xml:space="preserve"> Caixa</w:t>
            </w:r>
            <w:r>
              <w:rPr>
                <w:rFonts w:ascii="Cambria" w:hAnsi="Cambria"/>
                <w:spacing w:val="-9"/>
              </w:rPr>
              <w:t xml:space="preserve"> </w:t>
            </w:r>
            <w:r>
              <w:rPr>
                <w:rFonts w:ascii="Cambria" w:hAnsi="Cambria"/>
              </w:rPr>
              <w:t>com 100</w:t>
            </w:r>
            <w:r>
              <w:rPr>
                <w:rFonts w:ascii="Cambria" w:hAnsi="Cambria"/>
                <w:spacing w:val="-36"/>
              </w:rPr>
              <w:t xml:space="preserve"> </w:t>
            </w:r>
            <w:r>
              <w:rPr>
                <w:rFonts w:ascii="Cambria" w:hAnsi="Cambria"/>
              </w:rPr>
              <w:t>unidades.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4D7FB34">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CCCA379">
            <w:pPr>
              <w:widowControl w:val="0"/>
              <w:suppressAutoHyphens/>
              <w:spacing w:after="288" w:afterLines="120" w:line="276" w:lineRule="auto"/>
              <w:jc w:val="center"/>
              <w:rPr>
                <w:rFonts w:ascii="Cambria" w:hAnsi="Cambria"/>
              </w:rPr>
            </w:pPr>
            <w:r>
              <w:rPr>
                <w:rFonts w:ascii="Cambria" w:hAnsi="Cambria"/>
              </w:rPr>
              <w:t>300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1A851E5">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R$ 7,06</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15A7843">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R$ 2.118,00</w:t>
            </w:r>
          </w:p>
        </w:tc>
      </w:tr>
      <w:tr w14:paraId="6B4DD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7F18DF8">
            <w:pPr>
              <w:widowControl w:val="0"/>
              <w:suppressAutoHyphens/>
              <w:spacing w:after="288" w:afterLines="120" w:line="276" w:lineRule="auto"/>
              <w:ind w:left="-108" w:right="-108"/>
              <w:jc w:val="center"/>
              <w:rPr>
                <w:rFonts w:ascii="Cambria" w:hAnsi="Cambria"/>
              </w:rPr>
            </w:pPr>
            <w:r>
              <w:rPr>
                <w:rFonts w:ascii="Cambria" w:hAnsi="Cambria"/>
              </w:rPr>
              <w:t>70</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8E03C1C">
            <w:pPr>
              <w:widowControl w:val="0"/>
              <w:suppressAutoHyphens/>
              <w:spacing w:after="288" w:afterLines="120" w:line="276" w:lineRule="auto"/>
              <w:jc w:val="both"/>
              <w:rPr>
                <w:rFonts w:ascii="Cambria" w:hAnsi="Cambria"/>
              </w:rPr>
            </w:pPr>
            <w:r>
              <w:rPr>
                <w:rFonts w:ascii="Cambria" w:hAnsi="Cambria"/>
              </w:rPr>
              <w:t>Agulha hipodérmica, cânula em aço inox,</w:t>
            </w:r>
            <w:r>
              <w:rPr>
                <w:rFonts w:ascii="Cambria" w:hAnsi="Cambria"/>
                <w:spacing w:val="1"/>
              </w:rPr>
              <w:t xml:space="preserve"> </w:t>
            </w:r>
            <w:r>
              <w:rPr>
                <w:rFonts w:ascii="Cambria" w:hAnsi="Cambria"/>
              </w:rPr>
              <w:t>cilíndrica-oca-reta, com perfeita</w:t>
            </w:r>
            <w:r>
              <w:rPr>
                <w:rFonts w:ascii="Cambria" w:hAnsi="Cambria"/>
                <w:spacing w:val="1"/>
              </w:rPr>
              <w:t xml:space="preserve"> </w:t>
            </w:r>
            <w:r>
              <w:rPr>
                <w:rFonts w:ascii="Cambria" w:hAnsi="Cambria"/>
                <w:spacing w:val="-1"/>
              </w:rPr>
              <w:t xml:space="preserve">adaptação universal ao canhão, </w:t>
            </w:r>
            <w:r>
              <w:rPr>
                <w:rFonts w:ascii="Cambria" w:hAnsi="Cambria"/>
              </w:rPr>
              <w:t>espaço</w:t>
            </w:r>
            <w:r>
              <w:rPr>
                <w:rFonts w:ascii="Cambria" w:hAnsi="Cambria"/>
                <w:spacing w:val="1"/>
              </w:rPr>
              <w:t xml:space="preserve"> </w:t>
            </w:r>
            <w:r>
              <w:rPr>
                <w:rFonts w:ascii="Cambria" w:hAnsi="Cambria"/>
              </w:rPr>
              <w:t>morto reduzido no canhão,</w:t>
            </w:r>
            <w:r>
              <w:rPr>
                <w:rFonts w:ascii="Cambria" w:hAnsi="Cambria"/>
                <w:spacing w:val="1"/>
              </w:rPr>
              <w:t xml:space="preserve"> </w:t>
            </w:r>
            <w:r>
              <w:rPr>
                <w:rFonts w:ascii="Cambria" w:hAnsi="Cambria"/>
                <w:spacing w:val="-2"/>
              </w:rPr>
              <w:t xml:space="preserve">biseltrifacetado </w:t>
            </w:r>
            <w:r>
              <w:rPr>
                <w:rFonts w:ascii="Cambria" w:hAnsi="Cambria"/>
                <w:spacing w:val="-1"/>
              </w:rPr>
              <w:t>com a ponta afiada,</w:t>
            </w:r>
            <w:r>
              <w:rPr>
                <w:rFonts w:ascii="Cambria" w:hAnsi="Cambria"/>
              </w:rPr>
              <w:t xml:space="preserve"> canhão e protetor na cor rosa em</w:t>
            </w:r>
            <w:r>
              <w:rPr>
                <w:rFonts w:ascii="Cambria" w:hAnsi="Cambria"/>
                <w:spacing w:val="1"/>
              </w:rPr>
              <w:t xml:space="preserve"> </w:t>
            </w:r>
            <w:r>
              <w:rPr>
                <w:rFonts w:ascii="Cambria" w:hAnsi="Cambria"/>
                <w:spacing w:val="-1"/>
              </w:rPr>
              <w:t xml:space="preserve">polipropileno </w:t>
            </w:r>
            <w:r>
              <w:rPr>
                <w:rFonts w:ascii="Cambria" w:hAnsi="Cambria"/>
              </w:rPr>
              <w:t>atóxico, com protetor em</w:t>
            </w:r>
            <w:r>
              <w:rPr>
                <w:rFonts w:ascii="Cambria" w:hAnsi="Cambria"/>
                <w:spacing w:val="1"/>
              </w:rPr>
              <w:t xml:space="preserve"> </w:t>
            </w:r>
            <w:r>
              <w:rPr>
                <w:rFonts w:ascii="Cambria" w:hAnsi="Cambria"/>
              </w:rPr>
              <w:t>polipropileno atóxico em dispositivo de</w:t>
            </w:r>
            <w:r>
              <w:rPr>
                <w:rFonts w:ascii="Cambria" w:hAnsi="Cambria"/>
                <w:spacing w:val="1"/>
              </w:rPr>
              <w:t xml:space="preserve"> </w:t>
            </w:r>
            <w:r>
              <w:rPr>
                <w:rFonts w:ascii="Cambria" w:hAnsi="Cambria"/>
                <w:w w:val="95"/>
              </w:rPr>
              <w:t>segurança acoplado</w:t>
            </w:r>
            <w:r>
              <w:rPr>
                <w:rFonts w:ascii="Cambria" w:hAnsi="Cambria"/>
                <w:spacing w:val="1"/>
                <w:w w:val="95"/>
              </w:rPr>
              <w:t xml:space="preserve"> </w:t>
            </w:r>
            <w:r>
              <w:rPr>
                <w:rFonts w:ascii="Cambria" w:hAnsi="Cambria"/>
                <w:w w:val="95"/>
              </w:rPr>
              <w:t>que</w:t>
            </w:r>
            <w:r>
              <w:rPr>
                <w:rFonts w:ascii="Cambria" w:hAnsi="Cambria"/>
                <w:spacing w:val="1"/>
                <w:w w:val="95"/>
              </w:rPr>
              <w:t xml:space="preserve"> </w:t>
            </w:r>
            <w:r>
              <w:rPr>
                <w:rFonts w:ascii="Cambria" w:hAnsi="Cambria"/>
                <w:w w:val="95"/>
              </w:rPr>
              <w:t>impeça</w:t>
            </w:r>
            <w:r>
              <w:rPr>
                <w:rFonts w:ascii="Cambria" w:hAnsi="Cambria"/>
                <w:spacing w:val="1"/>
                <w:w w:val="95"/>
              </w:rPr>
              <w:t xml:space="preserve"> </w:t>
            </w:r>
            <w:r>
              <w:rPr>
                <w:rFonts w:ascii="Cambria" w:hAnsi="Cambria"/>
                <w:w w:val="95"/>
              </w:rPr>
              <w:t>o</w:t>
            </w:r>
            <w:r>
              <w:rPr>
                <w:rFonts w:ascii="Cambria" w:hAnsi="Cambria"/>
                <w:spacing w:val="1"/>
                <w:w w:val="95"/>
              </w:rPr>
              <w:t xml:space="preserve"> </w:t>
            </w:r>
            <w:r>
              <w:rPr>
                <w:rFonts w:ascii="Cambria" w:hAnsi="Cambria"/>
                <w:w w:val="95"/>
              </w:rPr>
              <w:t>reuso,</w:t>
            </w:r>
            <w:r>
              <w:rPr>
                <w:rFonts w:ascii="Cambria" w:hAnsi="Cambria"/>
                <w:spacing w:val="-34"/>
                <w:w w:val="95"/>
              </w:rPr>
              <w:t xml:space="preserve"> </w:t>
            </w:r>
            <w:r>
              <w:rPr>
                <w:rFonts w:ascii="Cambria" w:hAnsi="Cambria"/>
              </w:rPr>
              <w:t>calibre</w:t>
            </w:r>
            <w:r>
              <w:rPr>
                <w:rFonts w:ascii="Cambria" w:hAnsi="Cambria"/>
                <w:spacing w:val="-4"/>
              </w:rPr>
              <w:t xml:space="preserve"> </w:t>
            </w:r>
            <w:r>
              <w:rPr>
                <w:rFonts w:ascii="Cambria" w:hAnsi="Cambria"/>
              </w:rPr>
              <w:t>40</w:t>
            </w:r>
            <w:r>
              <w:rPr>
                <w:rFonts w:ascii="Cambria" w:hAnsi="Cambria"/>
                <w:spacing w:val="-3"/>
              </w:rPr>
              <w:t xml:space="preserve"> </w:t>
            </w:r>
            <w:r>
              <w:rPr>
                <w:rFonts w:ascii="Cambria" w:hAnsi="Cambria"/>
              </w:rPr>
              <w:t>x</w:t>
            </w:r>
            <w:r>
              <w:rPr>
                <w:rFonts w:ascii="Cambria" w:hAnsi="Cambria"/>
                <w:spacing w:val="-3"/>
              </w:rPr>
              <w:t xml:space="preserve"> </w:t>
            </w:r>
            <w:r>
              <w:rPr>
                <w:rFonts w:ascii="Cambria" w:hAnsi="Cambria"/>
              </w:rPr>
              <w:t>12,0</w:t>
            </w:r>
            <w:r>
              <w:rPr>
                <w:rFonts w:ascii="Cambria" w:hAnsi="Cambria"/>
                <w:spacing w:val="-3"/>
              </w:rPr>
              <w:t xml:space="preserve"> </w:t>
            </w:r>
            <w:r>
              <w:rPr>
                <w:rFonts w:ascii="Cambria" w:hAnsi="Cambria"/>
              </w:rPr>
              <w:t>estéril,</w:t>
            </w:r>
            <w:r>
              <w:rPr>
                <w:rFonts w:ascii="Cambria" w:hAnsi="Cambria"/>
                <w:spacing w:val="-3"/>
              </w:rPr>
              <w:t xml:space="preserve"> </w:t>
            </w:r>
            <w:r>
              <w:rPr>
                <w:rFonts w:ascii="Cambria" w:hAnsi="Cambria"/>
              </w:rPr>
              <w:t>uso</w:t>
            </w:r>
            <w:r>
              <w:rPr>
                <w:rFonts w:ascii="Cambria" w:hAnsi="Cambria"/>
                <w:spacing w:val="-3"/>
              </w:rPr>
              <w:t xml:space="preserve"> </w:t>
            </w:r>
            <w:r>
              <w:rPr>
                <w:rFonts w:ascii="Cambria" w:hAnsi="Cambria"/>
              </w:rPr>
              <w:t>descartável,</w:t>
            </w:r>
            <w:r>
              <w:rPr>
                <w:rFonts w:ascii="Cambria" w:hAnsi="Cambria"/>
                <w:spacing w:val="-36"/>
              </w:rPr>
              <w:t xml:space="preserve"> </w:t>
            </w:r>
            <w:r>
              <w:rPr>
                <w:rFonts w:ascii="Cambria" w:hAnsi="Cambria"/>
              </w:rPr>
              <w:t>embalado em material que promova</w:t>
            </w:r>
            <w:r>
              <w:rPr>
                <w:rFonts w:ascii="Cambria" w:hAnsi="Cambria"/>
                <w:spacing w:val="1"/>
              </w:rPr>
              <w:t xml:space="preserve"> </w:t>
            </w:r>
            <w:r>
              <w:rPr>
                <w:rFonts w:ascii="Cambria" w:hAnsi="Cambria"/>
              </w:rPr>
              <w:t>barreira microbiana e abertura</w:t>
            </w:r>
            <w:r>
              <w:rPr>
                <w:rFonts w:ascii="Cambria" w:hAnsi="Cambria"/>
                <w:spacing w:val="1"/>
              </w:rPr>
              <w:t xml:space="preserve"> </w:t>
            </w:r>
            <w:r>
              <w:rPr>
                <w:rFonts w:ascii="Cambria" w:hAnsi="Cambria"/>
              </w:rPr>
              <w:t>asséptica. O material deverá obedecer a</w:t>
            </w:r>
            <w:r>
              <w:rPr>
                <w:rFonts w:ascii="Cambria" w:hAnsi="Cambria"/>
                <w:spacing w:val="1"/>
              </w:rPr>
              <w:t xml:space="preserve"> </w:t>
            </w:r>
            <w:r>
              <w:rPr>
                <w:rFonts w:ascii="Cambria" w:hAnsi="Cambria"/>
              </w:rPr>
              <w:t>legislação vigente atual. Caixa com 100</w:t>
            </w:r>
            <w:r>
              <w:rPr>
                <w:rFonts w:ascii="Cambria" w:hAnsi="Cambria"/>
                <w:spacing w:val="1"/>
              </w:rPr>
              <w:t xml:space="preserve"> </w:t>
            </w:r>
            <w:r>
              <w:rPr>
                <w:rFonts w:ascii="Cambria" w:hAnsi="Cambria"/>
              </w:rPr>
              <w:t>unidades.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D6ECFEB">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F2B4ABA">
            <w:pPr>
              <w:widowControl w:val="0"/>
              <w:suppressAutoHyphens/>
              <w:spacing w:after="288" w:afterLines="120" w:line="276" w:lineRule="auto"/>
              <w:jc w:val="center"/>
              <w:rPr>
                <w:rFonts w:ascii="Cambria" w:hAnsi="Cambria"/>
              </w:rPr>
            </w:pPr>
            <w:r>
              <w:rPr>
                <w:rFonts w:ascii="Cambria" w:hAnsi="Cambria"/>
              </w:rPr>
              <w:t>400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ADEB230">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R$ 8,01</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C66B580">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R$ 3.204,00</w:t>
            </w:r>
          </w:p>
        </w:tc>
      </w:tr>
      <w:tr w14:paraId="1BD9C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CD36FD6">
            <w:pPr>
              <w:widowControl w:val="0"/>
              <w:suppressAutoHyphens/>
              <w:spacing w:after="288" w:afterLines="120" w:line="276" w:lineRule="auto"/>
              <w:ind w:left="-108" w:right="-108"/>
              <w:jc w:val="center"/>
              <w:rPr>
                <w:rFonts w:ascii="Cambria" w:hAnsi="Cambria"/>
              </w:rPr>
            </w:pPr>
            <w:r>
              <w:rPr>
                <w:rFonts w:ascii="Cambria" w:hAnsi="Cambria"/>
              </w:rPr>
              <w:t>71</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6763FDB">
            <w:pPr>
              <w:widowControl w:val="0"/>
              <w:suppressAutoHyphens/>
              <w:spacing w:after="288" w:afterLines="120" w:line="276" w:lineRule="auto"/>
              <w:jc w:val="both"/>
              <w:rPr>
                <w:rFonts w:ascii="Cambria" w:hAnsi="Cambria"/>
              </w:rPr>
            </w:pPr>
            <w:r>
              <w:rPr>
                <w:rFonts w:ascii="Cambria" w:hAnsi="Cambria"/>
              </w:rPr>
              <w:t>Agulha hipodérmica, cânula em aço inox,</w:t>
            </w:r>
            <w:r>
              <w:rPr>
                <w:rFonts w:ascii="Cambria" w:hAnsi="Cambria"/>
                <w:spacing w:val="1"/>
              </w:rPr>
              <w:t xml:space="preserve"> </w:t>
            </w:r>
            <w:r>
              <w:rPr>
                <w:rFonts w:ascii="Cambria" w:hAnsi="Cambria"/>
              </w:rPr>
              <w:t>cilíndrica-oca-reta, com perfeita</w:t>
            </w:r>
            <w:r>
              <w:rPr>
                <w:rFonts w:ascii="Cambria" w:hAnsi="Cambria"/>
                <w:spacing w:val="1"/>
              </w:rPr>
              <w:t xml:space="preserve"> </w:t>
            </w:r>
            <w:r>
              <w:rPr>
                <w:rFonts w:ascii="Cambria" w:hAnsi="Cambria"/>
                <w:spacing w:val="-1"/>
              </w:rPr>
              <w:t xml:space="preserve">adaptação universal ao canhão, </w:t>
            </w:r>
            <w:r>
              <w:rPr>
                <w:rFonts w:ascii="Cambria" w:hAnsi="Cambria"/>
              </w:rPr>
              <w:t>espaço</w:t>
            </w:r>
            <w:r>
              <w:rPr>
                <w:rFonts w:ascii="Cambria" w:hAnsi="Cambria"/>
                <w:spacing w:val="1"/>
              </w:rPr>
              <w:t xml:space="preserve"> </w:t>
            </w:r>
            <w:r>
              <w:rPr>
                <w:rFonts w:ascii="Cambria" w:hAnsi="Cambria"/>
              </w:rPr>
              <w:t>morto reduzido no canhão,</w:t>
            </w:r>
            <w:r>
              <w:rPr>
                <w:rFonts w:ascii="Cambria" w:hAnsi="Cambria"/>
                <w:spacing w:val="1"/>
              </w:rPr>
              <w:t xml:space="preserve"> </w:t>
            </w:r>
            <w:r>
              <w:rPr>
                <w:rFonts w:ascii="Cambria" w:hAnsi="Cambria"/>
                <w:spacing w:val="-2"/>
              </w:rPr>
              <w:t xml:space="preserve">biseltrifacetado </w:t>
            </w:r>
            <w:r>
              <w:rPr>
                <w:rFonts w:ascii="Cambria" w:hAnsi="Cambria"/>
                <w:spacing w:val="-1"/>
              </w:rPr>
              <w:t>com a ponta afiada,</w:t>
            </w:r>
            <w:r>
              <w:rPr>
                <w:rFonts w:ascii="Cambria" w:hAnsi="Cambria"/>
              </w:rPr>
              <w:t xml:space="preserve"> canhão e protetor na cor preta em</w:t>
            </w:r>
            <w:r>
              <w:rPr>
                <w:rFonts w:ascii="Cambria" w:hAnsi="Cambria"/>
                <w:spacing w:val="1"/>
              </w:rPr>
              <w:t xml:space="preserve"> </w:t>
            </w:r>
            <w:r>
              <w:rPr>
                <w:rFonts w:ascii="Cambria" w:hAnsi="Cambria"/>
                <w:spacing w:val="-1"/>
              </w:rPr>
              <w:t xml:space="preserve">polipropileno </w:t>
            </w:r>
            <w:r>
              <w:rPr>
                <w:rFonts w:ascii="Cambria" w:hAnsi="Cambria"/>
              </w:rPr>
              <w:t>atóxico, com protetor em</w:t>
            </w:r>
            <w:r>
              <w:rPr>
                <w:rFonts w:ascii="Cambria" w:hAnsi="Cambria"/>
                <w:spacing w:val="1"/>
              </w:rPr>
              <w:t xml:space="preserve"> </w:t>
            </w:r>
            <w:r>
              <w:rPr>
                <w:rFonts w:ascii="Cambria" w:hAnsi="Cambria"/>
              </w:rPr>
              <w:t>polipropileno atóxico em dispositivo de</w:t>
            </w:r>
            <w:r>
              <w:rPr>
                <w:rFonts w:ascii="Cambria" w:hAnsi="Cambria"/>
                <w:spacing w:val="1"/>
              </w:rPr>
              <w:t xml:space="preserve"> </w:t>
            </w:r>
            <w:r>
              <w:rPr>
                <w:rFonts w:ascii="Cambria" w:hAnsi="Cambria"/>
                <w:spacing w:val="-1"/>
              </w:rPr>
              <w:t>segurança</w:t>
            </w:r>
            <w:r>
              <w:rPr>
                <w:rFonts w:ascii="Cambria" w:hAnsi="Cambria"/>
                <w:spacing w:val="-16"/>
              </w:rPr>
              <w:t xml:space="preserve"> </w:t>
            </w:r>
            <w:r>
              <w:rPr>
                <w:rFonts w:ascii="Cambria" w:hAnsi="Cambria"/>
                <w:spacing w:val="-1"/>
              </w:rPr>
              <w:t>acoplado</w:t>
            </w:r>
            <w:r>
              <w:rPr>
                <w:rFonts w:ascii="Cambria" w:hAnsi="Cambria"/>
              </w:rPr>
              <w:t xml:space="preserve"> que impeça</w:t>
            </w:r>
            <w:r>
              <w:rPr>
                <w:rFonts w:ascii="Cambria" w:hAnsi="Cambria"/>
                <w:spacing w:val="-8"/>
              </w:rPr>
              <w:t xml:space="preserve"> </w:t>
            </w:r>
            <w:r>
              <w:rPr>
                <w:rFonts w:ascii="Cambria" w:hAnsi="Cambria"/>
              </w:rPr>
              <w:t>o reuso,</w:t>
            </w:r>
            <w:r>
              <w:rPr>
                <w:rFonts w:ascii="Cambria" w:hAnsi="Cambria"/>
                <w:spacing w:val="-36"/>
              </w:rPr>
              <w:t xml:space="preserve"> </w:t>
            </w:r>
            <w:r>
              <w:rPr>
                <w:rFonts w:ascii="Cambria" w:hAnsi="Cambria"/>
              </w:rPr>
              <w:t>calibre 25 x 7,0, estéril, uso descartável,</w:t>
            </w:r>
            <w:r>
              <w:rPr>
                <w:rFonts w:ascii="Cambria" w:hAnsi="Cambria"/>
                <w:spacing w:val="-36"/>
              </w:rPr>
              <w:t xml:space="preserve"> </w:t>
            </w:r>
            <w:r>
              <w:rPr>
                <w:rFonts w:ascii="Cambria" w:hAnsi="Cambria"/>
              </w:rPr>
              <w:t>embalado em material que promova</w:t>
            </w:r>
            <w:r>
              <w:rPr>
                <w:rFonts w:ascii="Cambria" w:hAnsi="Cambria"/>
                <w:spacing w:val="1"/>
              </w:rPr>
              <w:t xml:space="preserve"> </w:t>
            </w:r>
            <w:r>
              <w:rPr>
                <w:rFonts w:ascii="Cambria" w:hAnsi="Cambria"/>
              </w:rPr>
              <w:t>barreira microbiana e abertura</w:t>
            </w:r>
            <w:r>
              <w:rPr>
                <w:rFonts w:ascii="Cambria" w:hAnsi="Cambria"/>
                <w:spacing w:val="1"/>
              </w:rPr>
              <w:t xml:space="preserve"> </w:t>
            </w:r>
            <w:r>
              <w:rPr>
                <w:rFonts w:ascii="Cambria" w:hAnsi="Cambria"/>
              </w:rPr>
              <w:t>asséptica. O material deverá obedecer a</w:t>
            </w:r>
            <w:r>
              <w:rPr>
                <w:rFonts w:ascii="Cambria" w:hAnsi="Cambria"/>
                <w:spacing w:val="1"/>
              </w:rPr>
              <w:t xml:space="preserve"> </w:t>
            </w:r>
            <w:r>
              <w:rPr>
                <w:rFonts w:ascii="Cambria" w:hAnsi="Cambria"/>
              </w:rPr>
              <w:t>legislação vigente atual. Caixa com 100</w:t>
            </w:r>
            <w:r>
              <w:rPr>
                <w:rFonts w:ascii="Cambria" w:hAnsi="Cambria"/>
                <w:spacing w:val="1"/>
              </w:rPr>
              <w:t xml:space="preserve"> </w:t>
            </w:r>
            <w:r>
              <w:rPr>
                <w:rFonts w:ascii="Cambria" w:hAnsi="Cambria"/>
              </w:rPr>
              <w:t>unidades.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17C899A">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1B7B900">
            <w:pPr>
              <w:widowControl w:val="0"/>
              <w:suppressAutoHyphens/>
              <w:spacing w:after="288" w:afterLines="120" w:line="276" w:lineRule="auto"/>
              <w:jc w:val="center"/>
              <w:rPr>
                <w:rFonts w:ascii="Cambria" w:hAnsi="Cambria"/>
              </w:rPr>
            </w:pPr>
            <w:r>
              <w:rPr>
                <w:rFonts w:ascii="Cambria" w:hAnsi="Cambria"/>
              </w:rPr>
              <w:t>300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0412FF5">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R$ 9,16</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FD9A69E">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R$ 2.748,00</w:t>
            </w:r>
          </w:p>
        </w:tc>
      </w:tr>
      <w:tr w14:paraId="315CF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193BD27">
            <w:pPr>
              <w:widowControl w:val="0"/>
              <w:suppressAutoHyphens/>
              <w:spacing w:after="288" w:afterLines="120" w:line="276" w:lineRule="auto"/>
              <w:ind w:left="-108" w:right="-108"/>
              <w:jc w:val="center"/>
              <w:rPr>
                <w:rFonts w:ascii="Cambria" w:hAnsi="Cambria"/>
              </w:rPr>
            </w:pPr>
            <w:r>
              <w:rPr>
                <w:rFonts w:ascii="Cambria" w:hAnsi="Cambria"/>
              </w:rPr>
              <w:t>72</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BCC57EF">
            <w:pPr>
              <w:widowControl w:val="0"/>
              <w:suppressAutoHyphens/>
              <w:spacing w:after="288" w:afterLines="120" w:line="276" w:lineRule="auto"/>
              <w:jc w:val="both"/>
              <w:rPr>
                <w:rFonts w:ascii="Cambria" w:hAnsi="Cambria"/>
              </w:rPr>
            </w:pPr>
            <w:r>
              <w:rPr>
                <w:rFonts w:ascii="Cambria" w:hAnsi="Cambria"/>
              </w:rPr>
              <w:t>Sonda Endotraqueal nº 2,0 com balão</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95652B3">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FAF85EE">
            <w:pPr>
              <w:widowControl w:val="0"/>
              <w:suppressAutoHyphens/>
              <w:spacing w:after="288" w:afterLines="120" w:line="276" w:lineRule="auto"/>
              <w:jc w:val="center"/>
              <w:rPr>
                <w:rFonts w:ascii="Cambria" w:hAnsi="Cambria"/>
              </w:rPr>
            </w:pPr>
            <w:r>
              <w:rPr>
                <w:rFonts w:ascii="Cambria" w:hAnsi="Cambria"/>
              </w:rPr>
              <w:t>60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BB1BA53">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R$ 4,79</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C45EB34">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R$ 287,40</w:t>
            </w:r>
          </w:p>
        </w:tc>
      </w:tr>
      <w:tr w14:paraId="5AC56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8AB75C0">
            <w:pPr>
              <w:widowControl w:val="0"/>
              <w:suppressAutoHyphens/>
              <w:spacing w:after="288" w:afterLines="120" w:line="276" w:lineRule="auto"/>
              <w:ind w:left="-108" w:right="-108"/>
              <w:jc w:val="center"/>
              <w:rPr>
                <w:rFonts w:ascii="Cambria" w:hAnsi="Cambria"/>
              </w:rPr>
            </w:pPr>
            <w:r>
              <w:rPr>
                <w:rFonts w:ascii="Cambria" w:hAnsi="Cambria"/>
              </w:rPr>
              <w:t>73</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4D136C5">
            <w:pPr>
              <w:widowControl w:val="0"/>
              <w:suppressAutoHyphens/>
              <w:spacing w:after="288" w:afterLines="120" w:line="276" w:lineRule="auto"/>
              <w:jc w:val="both"/>
              <w:rPr>
                <w:rFonts w:ascii="Cambria" w:hAnsi="Cambria"/>
              </w:rPr>
            </w:pPr>
            <w:r>
              <w:rPr>
                <w:rFonts w:ascii="Cambria" w:hAnsi="Cambria"/>
              </w:rPr>
              <w:t>Termômetro</w:t>
            </w:r>
            <w:r>
              <w:rPr>
                <w:rFonts w:ascii="Cambria" w:hAnsi="Cambria"/>
                <w:spacing w:val="-3"/>
              </w:rPr>
              <w:t xml:space="preserve"> </w:t>
            </w:r>
            <w:r>
              <w:rPr>
                <w:rFonts w:ascii="Cambria" w:hAnsi="Cambria"/>
              </w:rPr>
              <w:t>para</w:t>
            </w:r>
            <w:r>
              <w:rPr>
                <w:rFonts w:ascii="Cambria" w:hAnsi="Cambria"/>
                <w:spacing w:val="-2"/>
              </w:rPr>
              <w:t xml:space="preserve"> </w:t>
            </w:r>
            <w:r>
              <w:rPr>
                <w:rFonts w:ascii="Cambria" w:hAnsi="Cambria"/>
              </w:rPr>
              <w:t>banho-maria</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rPr>
              <w:t>10°C</w:t>
            </w:r>
            <w:r>
              <w:rPr>
                <w:rFonts w:ascii="Cambria" w:hAnsi="Cambria"/>
                <w:spacing w:val="-3"/>
              </w:rPr>
              <w:t xml:space="preserve"> </w:t>
            </w:r>
            <w:r>
              <w:rPr>
                <w:rFonts w:ascii="Cambria" w:hAnsi="Cambria"/>
              </w:rPr>
              <w:t>a</w:t>
            </w:r>
            <w:r>
              <w:rPr>
                <w:rFonts w:ascii="Cambria" w:hAnsi="Cambria"/>
                <w:spacing w:val="-2"/>
              </w:rPr>
              <w:t xml:space="preserve"> </w:t>
            </w:r>
            <w:r>
              <w:rPr>
                <w:rFonts w:ascii="Cambria" w:hAnsi="Cambria"/>
              </w:rPr>
              <w:t>60°C</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92EEC40">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82A0E13">
            <w:pPr>
              <w:widowControl w:val="0"/>
              <w:suppressAutoHyphens/>
              <w:spacing w:after="288" w:afterLines="120" w:line="276" w:lineRule="auto"/>
              <w:jc w:val="center"/>
              <w:rPr>
                <w:rFonts w:ascii="Cambria" w:hAnsi="Cambria"/>
              </w:rPr>
            </w:pPr>
            <w:r>
              <w:rPr>
                <w:rFonts w:ascii="Cambria" w:hAnsi="Cambria"/>
              </w:rPr>
              <w:t>10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06A9291">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R$ 104,45</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385B033">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R$ 1.044,50</w:t>
            </w:r>
          </w:p>
        </w:tc>
      </w:tr>
      <w:tr w14:paraId="682A4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3D15574">
            <w:pPr>
              <w:widowControl w:val="0"/>
              <w:suppressAutoHyphens/>
              <w:spacing w:after="288" w:afterLines="120" w:line="276" w:lineRule="auto"/>
              <w:ind w:left="-108" w:right="-108"/>
              <w:jc w:val="center"/>
              <w:rPr>
                <w:rFonts w:ascii="Cambria" w:hAnsi="Cambria"/>
              </w:rPr>
            </w:pPr>
            <w:r>
              <w:rPr>
                <w:rFonts w:ascii="Cambria" w:hAnsi="Cambria"/>
              </w:rPr>
              <w:t>74</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0C8303D">
            <w:pPr>
              <w:widowControl w:val="0"/>
              <w:suppressAutoHyphens/>
              <w:spacing w:after="288" w:afterLines="120" w:line="276" w:lineRule="auto"/>
              <w:jc w:val="both"/>
              <w:rPr>
                <w:rFonts w:ascii="Cambria" w:hAnsi="Cambria"/>
              </w:rPr>
            </w:pPr>
            <w:r>
              <w:rPr>
                <w:rFonts w:ascii="Cambria" w:hAnsi="Cambria"/>
              </w:rPr>
              <w:t>Compressa de gaze não estéril 7,5x7,5cm,</w:t>
            </w:r>
            <w:r>
              <w:rPr>
                <w:rFonts w:ascii="Cambria" w:hAnsi="Cambria"/>
                <w:spacing w:val="-36"/>
              </w:rPr>
              <w:t xml:space="preserve"> </w:t>
            </w:r>
            <w:r>
              <w:rPr>
                <w:rFonts w:ascii="Cambria" w:hAnsi="Cambria"/>
                <w:spacing w:val="-1"/>
              </w:rPr>
              <w:t>confeccionada</w:t>
            </w:r>
            <w:r>
              <w:rPr>
                <w:rFonts w:ascii="Cambria" w:hAnsi="Cambria"/>
                <w:spacing w:val="-9"/>
              </w:rPr>
              <w:t xml:space="preserve"> </w:t>
            </w:r>
            <w:r>
              <w:rPr>
                <w:rFonts w:ascii="Cambria" w:hAnsi="Cambria"/>
              </w:rPr>
              <w:t>com</w:t>
            </w:r>
            <w:r>
              <w:rPr>
                <w:rFonts w:ascii="Cambria" w:hAnsi="Cambria"/>
                <w:spacing w:val="-1"/>
              </w:rPr>
              <w:t xml:space="preserve"> </w:t>
            </w:r>
            <w:r>
              <w:rPr>
                <w:rFonts w:ascii="Cambria" w:hAnsi="Cambria"/>
              </w:rPr>
              <w:t>fios 100%</w:t>
            </w:r>
            <w:r>
              <w:rPr>
                <w:rFonts w:ascii="Cambria" w:hAnsi="Cambria"/>
                <w:spacing w:val="-9"/>
              </w:rPr>
              <w:t xml:space="preserve"> </w:t>
            </w:r>
            <w:r>
              <w:rPr>
                <w:rFonts w:ascii="Cambria" w:hAnsi="Cambria"/>
              </w:rPr>
              <w:t>algodão em</w:t>
            </w:r>
            <w:r>
              <w:rPr>
                <w:rFonts w:ascii="Cambria" w:hAnsi="Cambria"/>
                <w:spacing w:val="-36"/>
              </w:rPr>
              <w:t xml:space="preserve"> </w:t>
            </w:r>
            <w:r>
              <w:rPr>
                <w:rFonts w:ascii="Cambria" w:hAnsi="Cambria"/>
              </w:rPr>
              <w:t>tecido tipo tela, com 8 camadas e 5</w:t>
            </w:r>
            <w:r>
              <w:rPr>
                <w:rFonts w:ascii="Cambria" w:hAnsi="Cambria"/>
                <w:spacing w:val="1"/>
              </w:rPr>
              <w:t xml:space="preserve"> </w:t>
            </w:r>
            <w:r>
              <w:rPr>
                <w:rFonts w:ascii="Cambria" w:hAnsi="Cambria"/>
                <w:spacing w:val="-1"/>
              </w:rPr>
              <w:t xml:space="preserve">dobras medindo 15x30cm </w:t>
            </w:r>
            <w:r>
              <w:rPr>
                <w:rFonts w:ascii="Cambria" w:hAnsi="Cambria"/>
              </w:rPr>
              <w:t>quando abertas.</w:t>
            </w:r>
            <w:r>
              <w:rPr>
                <w:rFonts w:ascii="Cambria" w:hAnsi="Cambria"/>
                <w:spacing w:val="-36"/>
              </w:rPr>
              <w:t xml:space="preserve"> </w:t>
            </w:r>
            <w:r>
              <w:rPr>
                <w:rFonts w:ascii="Cambria" w:hAnsi="Cambria"/>
              </w:rPr>
              <w:t>São alvejadas e isentas de impurezas,</w:t>
            </w:r>
            <w:r>
              <w:rPr>
                <w:rFonts w:ascii="Cambria" w:hAnsi="Cambria"/>
                <w:spacing w:val="1"/>
              </w:rPr>
              <w:t xml:space="preserve"> </w:t>
            </w:r>
            <w:r>
              <w:rPr>
                <w:rFonts w:ascii="Cambria" w:hAnsi="Cambria"/>
              </w:rPr>
              <w:t>substâncias gordurosas, amido,</w:t>
            </w:r>
            <w:r>
              <w:rPr>
                <w:rFonts w:ascii="Cambria" w:hAnsi="Cambria"/>
                <w:spacing w:val="1"/>
              </w:rPr>
              <w:t xml:space="preserve"> </w:t>
            </w:r>
            <w:r>
              <w:rPr>
                <w:rFonts w:ascii="Cambria" w:hAnsi="Cambria"/>
              </w:rPr>
              <w:t>corantes corretivos e alvejantes</w:t>
            </w:r>
            <w:r>
              <w:rPr>
                <w:rFonts w:ascii="Cambria" w:hAnsi="Cambria"/>
                <w:spacing w:val="1"/>
              </w:rPr>
              <w:t xml:space="preserve"> </w:t>
            </w:r>
            <w:r>
              <w:rPr>
                <w:rFonts w:ascii="Cambria" w:hAnsi="Cambria"/>
              </w:rPr>
              <w:t>ópticos,</w:t>
            </w:r>
            <w:r>
              <w:rPr>
                <w:rFonts w:ascii="Cambria" w:hAnsi="Cambria"/>
                <w:spacing w:val="-1"/>
              </w:rPr>
              <w:t xml:space="preserve"> </w:t>
            </w:r>
            <w:r>
              <w:rPr>
                <w:rFonts w:ascii="Cambria" w:hAnsi="Cambria"/>
              </w:rPr>
              <w:t>pacote</w:t>
            </w:r>
            <w:r>
              <w:rPr>
                <w:rFonts w:ascii="Cambria" w:hAnsi="Cambria"/>
                <w:spacing w:val="-1"/>
              </w:rPr>
              <w:t xml:space="preserve"> </w:t>
            </w:r>
            <w:r>
              <w:rPr>
                <w:rFonts w:ascii="Cambria" w:hAnsi="Cambria"/>
              </w:rPr>
              <w:t>com 500</w:t>
            </w:r>
            <w:r>
              <w:rPr>
                <w:rFonts w:ascii="Cambria" w:hAnsi="Cambria"/>
                <w:spacing w:val="-1"/>
              </w:rPr>
              <w:t xml:space="preserve"> </w:t>
            </w:r>
            <w:r>
              <w:rPr>
                <w:rFonts w:ascii="Cambria" w:hAnsi="Cambria"/>
              </w:rPr>
              <w:t>unidades.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AEF599E">
            <w:pPr>
              <w:widowControl w:val="0"/>
              <w:suppressAutoHyphens/>
              <w:spacing w:after="288" w:afterLines="120" w:line="276" w:lineRule="auto"/>
              <w:ind w:left="-108" w:right="-108"/>
              <w:jc w:val="center"/>
              <w:rPr>
                <w:rFonts w:ascii="Cambria" w:hAnsi="Cambria"/>
              </w:rPr>
            </w:pPr>
            <w:r>
              <w:rPr>
                <w:rFonts w:ascii="Cambria" w:hAnsi="Cambria"/>
              </w:rPr>
              <w:t>Pct</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B4DEADA">
            <w:pPr>
              <w:widowControl w:val="0"/>
              <w:suppressAutoHyphens/>
              <w:spacing w:after="288" w:afterLines="120" w:line="276" w:lineRule="auto"/>
              <w:jc w:val="center"/>
              <w:rPr>
                <w:rFonts w:ascii="Cambria" w:hAnsi="Cambria"/>
              </w:rPr>
            </w:pPr>
            <w:r>
              <w:rPr>
                <w:rFonts w:ascii="Cambria" w:hAnsi="Cambria"/>
              </w:rPr>
              <w:t>4.000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737689D">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R$ 15,84</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3B52A72">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R$ 63.360,00</w:t>
            </w:r>
          </w:p>
        </w:tc>
      </w:tr>
      <w:tr w14:paraId="0C169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9C6147C">
            <w:pPr>
              <w:widowControl w:val="0"/>
              <w:suppressAutoHyphens/>
              <w:spacing w:after="288" w:afterLines="120" w:line="276" w:lineRule="auto"/>
              <w:ind w:left="-108" w:right="-108"/>
              <w:jc w:val="center"/>
              <w:rPr>
                <w:rFonts w:ascii="Cambria" w:hAnsi="Cambria"/>
              </w:rPr>
            </w:pPr>
            <w:r>
              <w:rPr>
                <w:rFonts w:ascii="Cambria" w:hAnsi="Cambria"/>
              </w:rPr>
              <w:t>75</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F0CBE45">
            <w:pPr>
              <w:widowControl w:val="0"/>
              <w:suppressAutoHyphens/>
              <w:spacing w:after="288" w:afterLines="120" w:line="276" w:lineRule="auto"/>
              <w:jc w:val="both"/>
              <w:rPr>
                <w:rFonts w:ascii="Cambria" w:hAnsi="Cambria"/>
              </w:rPr>
            </w:pPr>
            <w:r>
              <w:rPr>
                <w:rFonts w:ascii="Cambria" w:hAnsi="Cambria"/>
              </w:rPr>
              <w:t>Equipo de soro macro gotas com</w:t>
            </w:r>
            <w:r>
              <w:rPr>
                <w:rFonts w:ascii="Cambria" w:hAnsi="Cambria"/>
                <w:spacing w:val="1"/>
              </w:rPr>
              <w:t xml:space="preserve"> </w:t>
            </w:r>
            <w:r>
              <w:rPr>
                <w:rFonts w:ascii="Cambria" w:hAnsi="Cambria"/>
                <w:spacing w:val="-1"/>
              </w:rPr>
              <w:t xml:space="preserve">penetrador </w:t>
            </w:r>
            <w:r>
              <w:rPr>
                <w:rFonts w:ascii="Cambria" w:hAnsi="Cambria"/>
              </w:rPr>
              <w:t>tri facetado com entrada de</w:t>
            </w:r>
            <w:r>
              <w:rPr>
                <w:rFonts w:ascii="Cambria" w:hAnsi="Cambria"/>
                <w:spacing w:val="1"/>
              </w:rPr>
              <w:t xml:space="preserve"> </w:t>
            </w:r>
            <w:r>
              <w:rPr>
                <w:rFonts w:ascii="Cambria" w:hAnsi="Cambria"/>
              </w:rPr>
              <w:t>ar</w:t>
            </w:r>
            <w:r>
              <w:rPr>
                <w:rFonts w:ascii="Cambria" w:hAnsi="Cambria"/>
                <w:spacing w:val="1"/>
              </w:rPr>
              <w:t xml:space="preserve"> </w:t>
            </w:r>
            <w:r>
              <w:rPr>
                <w:rFonts w:ascii="Cambria" w:hAnsi="Cambria"/>
              </w:rPr>
              <w:t>com</w:t>
            </w:r>
            <w:r>
              <w:rPr>
                <w:rFonts w:ascii="Cambria" w:hAnsi="Cambria"/>
                <w:spacing w:val="1"/>
              </w:rPr>
              <w:t xml:space="preserve"> </w:t>
            </w:r>
            <w:r>
              <w:rPr>
                <w:rFonts w:ascii="Cambria" w:hAnsi="Cambria"/>
              </w:rPr>
              <w:t>filtro</w:t>
            </w:r>
            <w:r>
              <w:rPr>
                <w:rFonts w:ascii="Cambria" w:hAnsi="Cambria"/>
                <w:spacing w:val="1"/>
              </w:rPr>
              <w:t xml:space="preserve"> </w:t>
            </w:r>
            <w:r>
              <w:rPr>
                <w:rFonts w:ascii="Cambria" w:hAnsi="Cambria"/>
              </w:rPr>
              <w:t>de</w:t>
            </w:r>
            <w:r>
              <w:rPr>
                <w:rFonts w:ascii="Cambria" w:hAnsi="Cambria"/>
                <w:spacing w:val="1"/>
              </w:rPr>
              <w:t xml:space="preserve"> </w:t>
            </w:r>
            <w:r>
              <w:rPr>
                <w:rFonts w:ascii="Cambria" w:hAnsi="Cambria"/>
              </w:rPr>
              <w:t>0,22</w:t>
            </w:r>
            <w:r>
              <w:rPr>
                <w:rFonts w:ascii="Cambria" w:hAnsi="Cambria"/>
                <w:spacing w:val="2"/>
              </w:rPr>
              <w:t xml:space="preserve"> </w:t>
            </w:r>
            <w:r>
              <w:rPr>
                <w:rFonts w:ascii="Cambria" w:hAnsi="Cambria"/>
              </w:rPr>
              <w:t>micras,</w:t>
            </w:r>
            <w:r>
              <w:rPr>
                <w:rFonts w:ascii="Cambria" w:hAnsi="Cambria"/>
                <w:spacing w:val="1"/>
              </w:rPr>
              <w:t xml:space="preserve"> </w:t>
            </w:r>
            <w:r>
              <w:rPr>
                <w:rFonts w:ascii="Cambria" w:hAnsi="Cambria"/>
              </w:rPr>
              <w:t>com</w:t>
            </w:r>
            <w:r>
              <w:rPr>
                <w:rFonts w:ascii="Cambria" w:hAnsi="Cambria"/>
                <w:spacing w:val="1"/>
              </w:rPr>
              <w:t xml:space="preserve"> </w:t>
            </w:r>
            <w:r>
              <w:rPr>
                <w:rFonts w:ascii="Cambria" w:hAnsi="Cambria"/>
              </w:rPr>
              <w:t>filtro</w:t>
            </w:r>
            <w:r>
              <w:rPr>
                <w:rFonts w:ascii="Cambria" w:hAnsi="Cambria"/>
                <w:spacing w:val="1"/>
              </w:rPr>
              <w:t xml:space="preserve"> </w:t>
            </w:r>
            <w:r>
              <w:rPr>
                <w:rFonts w:ascii="Cambria" w:hAnsi="Cambria"/>
              </w:rPr>
              <w:t>de partículas de 15 micras, adaptação</w:t>
            </w:r>
            <w:r>
              <w:rPr>
                <w:rFonts w:ascii="Cambria" w:hAnsi="Cambria"/>
                <w:spacing w:val="1"/>
              </w:rPr>
              <w:t xml:space="preserve"> </w:t>
            </w:r>
            <w:r>
              <w:rPr>
                <w:rFonts w:ascii="Cambria" w:hAnsi="Cambria"/>
                <w:spacing w:val="-1"/>
              </w:rPr>
              <w:t xml:space="preserve">segura para as </w:t>
            </w:r>
            <w:r>
              <w:rPr>
                <w:rFonts w:ascii="Cambria" w:hAnsi="Cambria"/>
              </w:rPr>
              <w:t>ampolas plásticas e</w:t>
            </w:r>
            <w:r>
              <w:rPr>
                <w:rFonts w:ascii="Cambria" w:hAnsi="Cambria"/>
                <w:spacing w:val="1"/>
              </w:rPr>
              <w:t xml:space="preserve"> </w:t>
            </w:r>
            <w:r>
              <w:rPr>
                <w:rFonts w:ascii="Cambria" w:hAnsi="Cambria"/>
                <w:spacing w:val="-1"/>
              </w:rPr>
              <w:t xml:space="preserve">frascos, câmara flexível </w:t>
            </w:r>
            <w:r>
              <w:rPr>
                <w:rFonts w:ascii="Cambria" w:hAnsi="Cambria"/>
              </w:rPr>
              <w:t>cristal, tubo em</w:t>
            </w:r>
            <w:r>
              <w:rPr>
                <w:rFonts w:ascii="Cambria" w:hAnsi="Cambria"/>
                <w:spacing w:val="-37"/>
              </w:rPr>
              <w:t xml:space="preserve"> </w:t>
            </w:r>
            <w:r>
              <w:rPr>
                <w:rFonts w:ascii="Cambria" w:hAnsi="Cambria"/>
                <w:spacing w:val="-1"/>
              </w:rPr>
              <w:t xml:space="preserve">pvc cristal, atóxico, comprimento </w:t>
            </w:r>
            <w:r>
              <w:rPr>
                <w:rFonts w:ascii="Cambria" w:hAnsi="Cambria"/>
              </w:rPr>
              <w:t>mínimo</w:t>
            </w:r>
            <w:r>
              <w:rPr>
                <w:rFonts w:ascii="Cambria" w:hAnsi="Cambria"/>
                <w:spacing w:val="1"/>
              </w:rPr>
              <w:t xml:space="preserve"> </w:t>
            </w:r>
            <w:r>
              <w:rPr>
                <w:rFonts w:ascii="Cambria" w:hAnsi="Cambria"/>
              </w:rPr>
              <w:t>de 1,50m, pinça rolete de alta precisão</w:t>
            </w:r>
            <w:r>
              <w:rPr>
                <w:rFonts w:ascii="Cambria" w:hAnsi="Cambria"/>
                <w:spacing w:val="1"/>
              </w:rPr>
              <w:t xml:space="preserve"> </w:t>
            </w:r>
            <w:r>
              <w:rPr>
                <w:rFonts w:ascii="Cambria" w:hAnsi="Cambria"/>
                <w:spacing w:val="-1"/>
              </w:rPr>
              <w:t xml:space="preserve">para controle do fluxo, </w:t>
            </w:r>
            <w:r>
              <w:rPr>
                <w:rFonts w:ascii="Cambria" w:hAnsi="Cambria"/>
              </w:rPr>
              <w:t>injetor lateral</w:t>
            </w:r>
            <w:r>
              <w:rPr>
                <w:rFonts w:ascii="Cambria" w:hAnsi="Cambria"/>
                <w:spacing w:val="1"/>
              </w:rPr>
              <w:t xml:space="preserve"> </w:t>
            </w:r>
            <w:r>
              <w:rPr>
                <w:rFonts w:ascii="Cambria" w:hAnsi="Cambria"/>
              </w:rPr>
              <w:t>com dispositivo valvulado para</w:t>
            </w:r>
            <w:r>
              <w:rPr>
                <w:rFonts w:ascii="Cambria" w:hAnsi="Cambria"/>
                <w:spacing w:val="1"/>
              </w:rPr>
              <w:t xml:space="preserve"> </w:t>
            </w:r>
            <w:r>
              <w:rPr>
                <w:rFonts w:ascii="Cambria" w:hAnsi="Cambria"/>
              </w:rPr>
              <w:t>administração de soluções que dispense</w:t>
            </w:r>
            <w:r>
              <w:rPr>
                <w:rFonts w:ascii="Cambria" w:hAnsi="Cambria"/>
                <w:spacing w:val="1"/>
              </w:rPr>
              <w:t xml:space="preserve"> </w:t>
            </w:r>
            <w:r>
              <w:rPr>
                <w:rFonts w:ascii="Cambria" w:hAnsi="Cambria"/>
              </w:rPr>
              <w:t>o uso de agulhas, compatível com</w:t>
            </w:r>
            <w:r>
              <w:rPr>
                <w:rFonts w:ascii="Cambria" w:hAnsi="Cambria"/>
                <w:spacing w:val="1"/>
              </w:rPr>
              <w:t xml:space="preserve"> </w:t>
            </w:r>
            <w:r>
              <w:rPr>
                <w:rFonts w:ascii="Cambria" w:hAnsi="Cambria"/>
              </w:rPr>
              <w:t>conexões</w:t>
            </w:r>
            <w:r>
              <w:rPr>
                <w:rFonts w:ascii="Cambria" w:hAnsi="Cambria"/>
                <w:spacing w:val="3"/>
              </w:rPr>
              <w:t xml:space="preserve"> </w:t>
            </w:r>
            <w:r>
              <w:rPr>
                <w:rFonts w:ascii="Cambria" w:hAnsi="Cambria"/>
              </w:rPr>
              <w:t>luer</w:t>
            </w:r>
            <w:r>
              <w:rPr>
                <w:rFonts w:ascii="Cambria" w:hAnsi="Cambria"/>
                <w:spacing w:val="3"/>
              </w:rPr>
              <w:t xml:space="preserve"> </w:t>
            </w:r>
            <w:r>
              <w:rPr>
                <w:rFonts w:ascii="Cambria" w:hAnsi="Cambria"/>
              </w:rPr>
              <w:t>lock</w:t>
            </w:r>
            <w:r>
              <w:rPr>
                <w:rFonts w:ascii="Cambria" w:hAnsi="Cambria"/>
                <w:spacing w:val="3"/>
              </w:rPr>
              <w:t xml:space="preserve"> </w:t>
            </w:r>
            <w:r>
              <w:rPr>
                <w:rFonts w:ascii="Cambria" w:hAnsi="Cambria"/>
              </w:rPr>
              <w:t>e</w:t>
            </w:r>
            <w:r>
              <w:rPr>
                <w:rFonts w:ascii="Cambria" w:hAnsi="Cambria"/>
                <w:spacing w:val="3"/>
              </w:rPr>
              <w:t xml:space="preserve"> </w:t>
            </w:r>
            <w:r>
              <w:rPr>
                <w:rFonts w:ascii="Cambria" w:hAnsi="Cambria"/>
              </w:rPr>
              <w:t>luer</w:t>
            </w:r>
            <w:r>
              <w:rPr>
                <w:rFonts w:ascii="Cambria" w:hAnsi="Cambria"/>
                <w:spacing w:val="3"/>
              </w:rPr>
              <w:t xml:space="preserve"> </w:t>
            </w:r>
            <w:r>
              <w:rPr>
                <w:rFonts w:ascii="Cambria" w:hAnsi="Cambria"/>
              </w:rPr>
              <w:t>slip,</w:t>
            </w:r>
            <w:r>
              <w:rPr>
                <w:rFonts w:ascii="Cambria" w:hAnsi="Cambria"/>
                <w:spacing w:val="1"/>
              </w:rPr>
              <w:t xml:space="preserve"> </w:t>
            </w:r>
            <w:r>
              <w:rPr>
                <w:rFonts w:ascii="Cambria" w:hAnsi="Cambria"/>
              </w:rPr>
              <w:t>conector distal luer lock rotativo e</w:t>
            </w:r>
            <w:r>
              <w:rPr>
                <w:rFonts w:ascii="Cambria" w:hAnsi="Cambria"/>
                <w:spacing w:val="1"/>
              </w:rPr>
              <w:t xml:space="preserve"> </w:t>
            </w:r>
            <w:r>
              <w:rPr>
                <w:rFonts w:ascii="Cambria" w:hAnsi="Cambria"/>
                <w:spacing w:val="-1"/>
              </w:rPr>
              <w:t>reversível, com tampa protetora e filtro</w:t>
            </w:r>
            <w:r>
              <w:rPr>
                <w:rFonts w:ascii="Cambria" w:hAnsi="Cambria"/>
                <w:spacing w:val="-36"/>
              </w:rPr>
              <w:t xml:space="preserve"> </w:t>
            </w:r>
            <w:r>
              <w:rPr>
                <w:rFonts w:ascii="Cambria" w:hAnsi="Cambria"/>
                <w:spacing w:val="-1"/>
              </w:rPr>
              <w:t xml:space="preserve">que permita a </w:t>
            </w:r>
            <w:r>
              <w:rPr>
                <w:rFonts w:ascii="Cambria" w:hAnsi="Cambria"/>
              </w:rPr>
              <w:t>realização do primming sem</w:t>
            </w:r>
            <w:r>
              <w:rPr>
                <w:rFonts w:ascii="Cambria" w:hAnsi="Cambria"/>
                <w:spacing w:val="-36"/>
              </w:rPr>
              <w:t xml:space="preserve"> </w:t>
            </w:r>
            <w:r>
              <w:rPr>
                <w:rFonts w:ascii="Cambria" w:hAnsi="Cambria"/>
                <w:spacing w:val="-1"/>
              </w:rPr>
              <w:t>a</w:t>
            </w:r>
            <w:r>
              <w:rPr>
                <w:rFonts w:ascii="Cambria" w:hAnsi="Cambria"/>
                <w:spacing w:val="-8"/>
              </w:rPr>
              <w:t xml:space="preserve"> </w:t>
            </w:r>
            <w:r>
              <w:rPr>
                <w:rFonts w:ascii="Cambria" w:hAnsi="Cambria"/>
                <w:spacing w:val="-1"/>
              </w:rPr>
              <w:t>retirada</w:t>
            </w:r>
            <w:r>
              <w:rPr>
                <w:rFonts w:ascii="Cambria" w:hAnsi="Cambria"/>
                <w:spacing w:val="-8"/>
              </w:rPr>
              <w:t xml:space="preserve"> </w:t>
            </w:r>
            <w:r>
              <w:rPr>
                <w:rFonts w:ascii="Cambria" w:hAnsi="Cambria"/>
                <w:spacing w:val="-1"/>
              </w:rPr>
              <w:t>da</w:t>
            </w:r>
            <w:r>
              <w:rPr>
                <w:rFonts w:ascii="Cambria" w:hAnsi="Cambria"/>
                <w:spacing w:val="-11"/>
              </w:rPr>
              <w:t xml:space="preserve"> </w:t>
            </w:r>
            <w:r>
              <w:rPr>
                <w:rFonts w:ascii="Cambria" w:hAnsi="Cambria"/>
                <w:spacing w:val="-1"/>
              </w:rPr>
              <w:t>tampa,</w:t>
            </w:r>
            <w:r>
              <w:rPr>
                <w:rFonts w:ascii="Cambria" w:hAnsi="Cambria"/>
              </w:rPr>
              <w:t xml:space="preserve"> </w:t>
            </w:r>
            <w:r>
              <w:rPr>
                <w:rFonts w:ascii="Cambria" w:hAnsi="Cambria"/>
                <w:spacing w:val="-1"/>
              </w:rPr>
              <w:t>estéril,</w:t>
            </w:r>
            <w:r>
              <w:rPr>
                <w:rFonts w:ascii="Cambria" w:hAnsi="Cambria"/>
              </w:rPr>
              <w:t xml:space="preserve"> descartável.</w:t>
            </w:r>
            <w:r>
              <w:rPr>
                <w:rFonts w:ascii="Cambria" w:hAnsi="Cambria"/>
                <w:spacing w:val="-36"/>
              </w:rPr>
              <w:t xml:space="preserve"> </w:t>
            </w:r>
            <w:r>
              <w:rPr>
                <w:rFonts w:ascii="Cambria" w:hAnsi="Cambria"/>
              </w:rPr>
              <w:t>Embalagem individual em papel grau</w:t>
            </w:r>
            <w:r>
              <w:rPr>
                <w:rFonts w:ascii="Cambria" w:hAnsi="Cambria"/>
                <w:spacing w:val="1"/>
              </w:rPr>
              <w:t xml:space="preserve"> </w:t>
            </w:r>
            <w:r>
              <w:rPr>
                <w:rFonts w:ascii="Cambria" w:hAnsi="Cambria"/>
              </w:rPr>
              <w:t>cirúrgico, contendo dados de</w:t>
            </w:r>
            <w:r>
              <w:rPr>
                <w:rFonts w:ascii="Cambria" w:hAnsi="Cambria"/>
                <w:spacing w:val="1"/>
              </w:rPr>
              <w:t xml:space="preserve"> </w:t>
            </w:r>
            <w:r>
              <w:rPr>
                <w:rFonts w:ascii="Cambria" w:hAnsi="Cambria"/>
              </w:rPr>
              <w:t>identificação, procedência, lote,</w:t>
            </w:r>
            <w:r>
              <w:rPr>
                <w:rFonts w:ascii="Cambria" w:hAnsi="Cambria"/>
                <w:spacing w:val="1"/>
              </w:rPr>
              <w:t xml:space="preserve"> </w:t>
            </w:r>
            <w:r>
              <w:rPr>
                <w:rFonts w:ascii="Cambria" w:hAnsi="Cambria"/>
              </w:rPr>
              <w:t>fabricação</w:t>
            </w:r>
            <w:r>
              <w:rPr>
                <w:rFonts w:ascii="Cambria" w:hAnsi="Cambria"/>
                <w:spacing w:val="-1"/>
              </w:rPr>
              <w:t xml:space="preserve"> </w:t>
            </w:r>
            <w:r>
              <w:rPr>
                <w:rFonts w:ascii="Cambria" w:hAnsi="Cambria"/>
              </w:rPr>
              <w:t>e validade.</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6EC6C7B">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70A77A2">
            <w:pPr>
              <w:widowControl w:val="0"/>
              <w:suppressAutoHyphens/>
              <w:spacing w:after="288" w:afterLines="120" w:line="276" w:lineRule="auto"/>
              <w:jc w:val="center"/>
              <w:rPr>
                <w:rFonts w:ascii="Cambria" w:hAnsi="Cambria"/>
              </w:rPr>
            </w:pPr>
            <w:r>
              <w:rPr>
                <w:rFonts w:ascii="Cambria" w:hAnsi="Cambria"/>
              </w:rPr>
              <w:t>45.000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79C7098">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R$ 2,07</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79862E4">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R$ 93.150,00</w:t>
            </w:r>
          </w:p>
        </w:tc>
      </w:tr>
      <w:tr w14:paraId="3E8F9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C10124A">
            <w:pPr>
              <w:widowControl w:val="0"/>
              <w:suppressAutoHyphens/>
              <w:spacing w:after="288" w:afterLines="120" w:line="276" w:lineRule="auto"/>
              <w:ind w:left="-108" w:right="-108"/>
              <w:jc w:val="center"/>
              <w:rPr>
                <w:rFonts w:ascii="Cambria" w:hAnsi="Cambria"/>
              </w:rPr>
            </w:pPr>
            <w:r>
              <w:rPr>
                <w:rFonts w:ascii="Cambria" w:hAnsi="Cambria"/>
              </w:rPr>
              <w:t>76</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F9A85AA">
            <w:pPr>
              <w:widowControl w:val="0"/>
              <w:suppressAutoHyphens/>
              <w:spacing w:after="288" w:afterLines="120" w:line="276" w:lineRule="auto"/>
              <w:jc w:val="both"/>
              <w:rPr>
                <w:rFonts w:ascii="Cambria" w:hAnsi="Cambria"/>
              </w:rPr>
            </w:pPr>
            <w:r>
              <w:rPr>
                <w:rFonts w:ascii="Cambria" w:hAnsi="Cambria"/>
                <w:spacing w:val="-1"/>
              </w:rPr>
              <w:t xml:space="preserve">Blocos com 100 folhas para </w:t>
            </w:r>
            <w:r>
              <w:rPr>
                <w:rFonts w:ascii="Cambria" w:hAnsi="Cambria"/>
              </w:rPr>
              <w:t>aparelho</w:t>
            </w:r>
            <w:r>
              <w:rPr>
                <w:rFonts w:ascii="Cambria" w:hAnsi="Cambria"/>
                <w:spacing w:val="1"/>
              </w:rPr>
              <w:t xml:space="preserve"> </w:t>
            </w:r>
            <w:r>
              <w:rPr>
                <w:rFonts w:ascii="Cambria" w:hAnsi="Cambria"/>
                <w:spacing w:val="-1"/>
              </w:rPr>
              <w:t xml:space="preserve">eletrocardiógrafo, marca do </w:t>
            </w:r>
            <w:r>
              <w:rPr>
                <w:rFonts w:ascii="Cambria" w:hAnsi="Cambria"/>
              </w:rPr>
              <w:t>aparelho:</w:t>
            </w:r>
            <w:r>
              <w:rPr>
                <w:rFonts w:ascii="Cambria" w:hAnsi="Cambria"/>
                <w:spacing w:val="-36"/>
              </w:rPr>
              <w:t xml:space="preserve"> </w:t>
            </w:r>
            <w:r>
              <w:rPr>
                <w:rFonts w:ascii="Cambria" w:hAnsi="Cambria"/>
              </w:rPr>
              <w:t>edan-se-1200 express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6068A00">
            <w:pPr>
              <w:widowControl w:val="0"/>
              <w:suppressAutoHyphens/>
              <w:spacing w:after="288" w:afterLines="120" w:line="276" w:lineRule="auto"/>
              <w:ind w:left="-108" w:right="-108"/>
              <w:jc w:val="center"/>
              <w:rPr>
                <w:rFonts w:ascii="Cambria" w:hAnsi="Cambria"/>
              </w:rPr>
            </w:pPr>
            <w:r>
              <w:rPr>
                <w:rFonts w:ascii="Cambria" w:hAnsi="Cambria"/>
              </w:rPr>
              <w:t>Bl</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3E8E12A">
            <w:pPr>
              <w:widowControl w:val="0"/>
              <w:suppressAutoHyphens/>
              <w:spacing w:after="288" w:afterLines="120" w:line="276" w:lineRule="auto"/>
              <w:jc w:val="center"/>
              <w:rPr>
                <w:rFonts w:ascii="Cambria" w:hAnsi="Cambria"/>
              </w:rPr>
            </w:pPr>
            <w:r>
              <w:rPr>
                <w:rFonts w:ascii="Cambria" w:hAnsi="Cambria"/>
              </w:rPr>
              <w:t>50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812E6D1">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R$ 63,15</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82DC29B">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R$ 3.157,50</w:t>
            </w:r>
          </w:p>
        </w:tc>
      </w:tr>
      <w:tr w14:paraId="7644C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44924DB">
            <w:pPr>
              <w:widowControl w:val="0"/>
              <w:suppressAutoHyphens/>
              <w:spacing w:after="288" w:afterLines="120" w:line="276" w:lineRule="auto"/>
              <w:ind w:left="-108" w:right="-108"/>
              <w:jc w:val="center"/>
              <w:rPr>
                <w:rFonts w:ascii="Cambria" w:hAnsi="Cambria"/>
              </w:rPr>
            </w:pPr>
            <w:r>
              <w:rPr>
                <w:rFonts w:ascii="Cambria" w:hAnsi="Cambria"/>
              </w:rPr>
              <w:t>77</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517BA27">
            <w:pPr>
              <w:widowControl w:val="0"/>
              <w:suppressAutoHyphens/>
              <w:spacing w:after="288" w:afterLines="120" w:line="276" w:lineRule="auto"/>
              <w:jc w:val="both"/>
              <w:rPr>
                <w:rFonts w:ascii="Cambria" w:hAnsi="Cambria"/>
                <w:spacing w:val="-1"/>
              </w:rPr>
            </w:pPr>
            <w:r>
              <w:rPr>
                <w:rFonts w:ascii="Cambria" w:hAnsi="Cambria"/>
              </w:rPr>
              <w:t>Ferula</w:t>
            </w:r>
            <w:r>
              <w:rPr>
                <w:rFonts w:ascii="Cambria" w:hAnsi="Cambria"/>
                <w:spacing w:val="-3"/>
              </w:rPr>
              <w:t xml:space="preserve"> </w:t>
            </w:r>
            <w:r>
              <w:rPr>
                <w:rFonts w:ascii="Cambria" w:hAnsi="Cambria"/>
              </w:rPr>
              <w:t>metálica</w:t>
            </w:r>
            <w:r>
              <w:rPr>
                <w:rFonts w:ascii="Cambria" w:hAnsi="Cambria"/>
                <w:spacing w:val="-3"/>
              </w:rPr>
              <w:t xml:space="preserve"> </w:t>
            </w:r>
            <w:r>
              <w:rPr>
                <w:rFonts w:ascii="Cambria" w:hAnsi="Cambria"/>
              </w:rPr>
              <w:t>(dedos</w:t>
            </w:r>
            <w:r>
              <w:rPr>
                <w:rFonts w:ascii="Cambria" w:hAnsi="Cambria"/>
                <w:spacing w:val="-2"/>
              </w:rPr>
              <w:t xml:space="preserve"> </w:t>
            </w:r>
            <w:r>
              <w:rPr>
                <w:rFonts w:ascii="Cambria" w:hAnsi="Cambria"/>
              </w:rPr>
              <w:t>das</w:t>
            </w:r>
            <w:r>
              <w:rPr>
                <w:rFonts w:ascii="Cambria" w:hAnsi="Cambria"/>
                <w:spacing w:val="-3"/>
              </w:rPr>
              <w:t xml:space="preserve"> </w:t>
            </w:r>
            <w:r>
              <w:rPr>
                <w:rFonts w:ascii="Cambria" w:hAnsi="Cambria"/>
              </w:rPr>
              <w:t>mãos)</w:t>
            </w:r>
            <w:r>
              <w:rPr>
                <w:rFonts w:ascii="Cambria" w:hAnsi="Cambria"/>
                <w:spacing w:val="-2"/>
              </w:rPr>
              <w:t xml:space="preserve"> </w:t>
            </w:r>
            <w:r>
              <w:rPr>
                <w:rFonts w:ascii="Cambria" w:hAnsi="Cambria"/>
              </w:rPr>
              <w:t>P</w:t>
            </w:r>
            <w:r>
              <w:rPr>
                <w:rFonts w:ascii="Cambria" w:hAnsi="Cambria"/>
                <w:spacing w:val="-6"/>
              </w:rPr>
              <w:t xml:space="preserve"> </w:t>
            </w:r>
            <w:r>
              <w:rPr>
                <w:rFonts w:ascii="Cambria" w:hAnsi="Cambria"/>
              </w:rPr>
              <w:t>tamanho</w:t>
            </w:r>
            <w:r>
              <w:rPr>
                <w:rFonts w:ascii="Cambria" w:hAnsi="Cambria"/>
                <w:spacing w:val="-36"/>
              </w:rPr>
              <w:t xml:space="preserve"> </w:t>
            </w:r>
            <w:r>
              <w:rPr>
                <w:rFonts w:ascii="Cambria" w:hAnsi="Cambria"/>
              </w:rPr>
              <w:t>12x180mm</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A4D46C8">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1A12D9D">
            <w:pPr>
              <w:widowControl w:val="0"/>
              <w:suppressAutoHyphens/>
              <w:spacing w:after="288" w:afterLines="120" w:line="276" w:lineRule="auto"/>
              <w:jc w:val="center"/>
              <w:rPr>
                <w:rFonts w:ascii="Cambria" w:hAnsi="Cambria"/>
              </w:rPr>
            </w:pPr>
            <w:r>
              <w:rPr>
                <w:rFonts w:ascii="Cambria" w:hAnsi="Cambria"/>
              </w:rPr>
              <w:t>50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F5FBA66">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R$ 13,66</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67EB723">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R$ 683,00</w:t>
            </w:r>
          </w:p>
        </w:tc>
      </w:tr>
      <w:tr w14:paraId="6DCEE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C60D3BD">
            <w:pPr>
              <w:widowControl w:val="0"/>
              <w:suppressAutoHyphens/>
              <w:spacing w:after="288" w:afterLines="120" w:line="276" w:lineRule="auto"/>
              <w:ind w:left="-108" w:right="-108"/>
              <w:jc w:val="center"/>
              <w:rPr>
                <w:rFonts w:ascii="Cambria" w:hAnsi="Cambria"/>
              </w:rPr>
            </w:pPr>
            <w:r>
              <w:rPr>
                <w:rFonts w:ascii="Cambria" w:hAnsi="Cambria"/>
              </w:rPr>
              <w:t>78</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9A7CF4F">
            <w:pPr>
              <w:widowControl w:val="0"/>
              <w:suppressAutoHyphens/>
              <w:spacing w:after="288" w:afterLines="120" w:line="276" w:lineRule="auto"/>
              <w:jc w:val="both"/>
              <w:rPr>
                <w:rFonts w:ascii="Cambria" w:hAnsi="Cambria"/>
              </w:rPr>
            </w:pPr>
            <w:r>
              <w:rPr>
                <w:rFonts w:ascii="Cambria" w:hAnsi="Cambria"/>
              </w:rPr>
              <w:t>Termômetro</w:t>
            </w:r>
            <w:r>
              <w:rPr>
                <w:rFonts w:ascii="Cambria" w:hAnsi="Cambria"/>
                <w:spacing w:val="-5"/>
              </w:rPr>
              <w:t xml:space="preserve"> </w:t>
            </w:r>
            <w:r>
              <w:rPr>
                <w:rFonts w:ascii="Cambria" w:hAnsi="Cambria"/>
              </w:rPr>
              <w:t>para</w:t>
            </w:r>
            <w:r>
              <w:rPr>
                <w:rFonts w:ascii="Cambria" w:hAnsi="Cambria"/>
                <w:spacing w:val="-4"/>
              </w:rPr>
              <w:t xml:space="preserve"> </w:t>
            </w:r>
            <w:r>
              <w:rPr>
                <w:rFonts w:ascii="Cambria" w:hAnsi="Cambria"/>
              </w:rPr>
              <w:t>geladeira</w:t>
            </w:r>
            <w:r>
              <w:rPr>
                <w:rFonts w:ascii="Cambria" w:hAnsi="Cambria"/>
                <w:spacing w:val="-5"/>
              </w:rPr>
              <w:t xml:space="preserve"> </w:t>
            </w:r>
            <w:r>
              <w:rPr>
                <w:rFonts w:ascii="Cambria" w:hAnsi="Cambria"/>
              </w:rPr>
              <w:t>-</w:t>
            </w:r>
            <w:r>
              <w:rPr>
                <w:rFonts w:ascii="Cambria" w:hAnsi="Cambria"/>
                <w:spacing w:val="-4"/>
              </w:rPr>
              <w:t xml:space="preserve"> </w:t>
            </w:r>
            <w:r>
              <w:rPr>
                <w:rFonts w:ascii="Cambria" w:hAnsi="Cambria"/>
              </w:rPr>
              <w:t>50°C</w:t>
            </w:r>
            <w:r>
              <w:rPr>
                <w:rFonts w:ascii="Cambria" w:hAnsi="Cambria"/>
                <w:spacing w:val="-4"/>
              </w:rPr>
              <w:t xml:space="preserve"> </w:t>
            </w:r>
            <w:r>
              <w:rPr>
                <w:rFonts w:ascii="Cambria" w:hAnsi="Cambria"/>
              </w:rPr>
              <w:t>a</w:t>
            </w:r>
            <w:r>
              <w:rPr>
                <w:rFonts w:ascii="Cambria" w:hAnsi="Cambria"/>
                <w:spacing w:val="-5"/>
              </w:rPr>
              <w:t xml:space="preserve"> </w:t>
            </w:r>
            <w:r>
              <w:rPr>
                <w:rFonts w:ascii="Cambria" w:hAnsi="Cambria"/>
              </w:rPr>
              <w:t>60°C</w:t>
            </w:r>
            <w:r>
              <w:rPr>
                <w:rFonts w:ascii="Cambria" w:hAnsi="Cambria"/>
                <w:spacing w:val="-4"/>
              </w:rPr>
              <w:t xml:space="preserve"> </w:t>
            </w:r>
            <w:r>
              <w:rPr>
                <w:rFonts w:ascii="Cambria" w:hAnsi="Cambria"/>
              </w:rPr>
              <w:t>Melhor</w:t>
            </w:r>
            <w:r>
              <w:rPr>
                <w:rFonts w:ascii="Cambria" w:hAnsi="Cambria"/>
                <w:spacing w:val="-36"/>
              </w:rPr>
              <w:t xml:space="preserve"> </w:t>
            </w:r>
            <w:r>
              <w:rPr>
                <w:rFonts w:ascii="Cambria" w:hAnsi="Cambria"/>
              </w:rPr>
              <w:t>qualidade</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5C8B9E2">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08FBEB7">
            <w:pPr>
              <w:widowControl w:val="0"/>
              <w:suppressAutoHyphens/>
              <w:spacing w:after="288" w:afterLines="120" w:line="276" w:lineRule="auto"/>
              <w:jc w:val="center"/>
              <w:rPr>
                <w:rFonts w:ascii="Cambria" w:hAnsi="Cambria"/>
              </w:rPr>
            </w:pPr>
            <w:r>
              <w:rPr>
                <w:rFonts w:ascii="Cambria" w:hAnsi="Cambria"/>
              </w:rPr>
              <w:t>20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5941B05">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R$ 113,00</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DDD4C8F">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R$ 2.260,00</w:t>
            </w:r>
          </w:p>
        </w:tc>
      </w:tr>
      <w:tr w14:paraId="21544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B36E39D">
            <w:pPr>
              <w:widowControl w:val="0"/>
              <w:suppressAutoHyphens/>
              <w:spacing w:after="288" w:afterLines="120" w:line="276" w:lineRule="auto"/>
              <w:ind w:left="-108" w:right="-108"/>
              <w:jc w:val="center"/>
              <w:rPr>
                <w:rFonts w:ascii="Cambria" w:hAnsi="Cambria"/>
              </w:rPr>
            </w:pPr>
            <w:r>
              <w:rPr>
                <w:rFonts w:ascii="Cambria" w:hAnsi="Cambria"/>
              </w:rPr>
              <w:t>79</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3C6E969">
            <w:pPr>
              <w:widowControl w:val="0"/>
              <w:suppressAutoHyphens/>
              <w:spacing w:after="288" w:afterLines="120" w:line="276" w:lineRule="auto"/>
              <w:jc w:val="both"/>
              <w:rPr>
                <w:rFonts w:ascii="Cambria" w:hAnsi="Cambria"/>
              </w:rPr>
            </w:pPr>
            <w:r>
              <w:rPr>
                <w:rFonts w:ascii="Cambria" w:hAnsi="Cambria"/>
                <w:spacing w:val="-1"/>
              </w:rPr>
              <w:t xml:space="preserve">Braçadeira adulta de pni (pressão </w:t>
            </w:r>
            <w:r>
              <w:rPr>
                <w:rFonts w:ascii="Cambria" w:hAnsi="Cambria"/>
              </w:rPr>
              <w:t>não</w:t>
            </w:r>
            <w:r>
              <w:rPr>
                <w:rFonts w:ascii="Cambria" w:hAnsi="Cambria"/>
                <w:spacing w:val="1"/>
              </w:rPr>
              <w:t xml:space="preserve"> </w:t>
            </w:r>
            <w:r>
              <w:rPr>
                <w:rFonts w:ascii="Cambria" w:hAnsi="Cambria"/>
                <w:spacing w:val="-2"/>
              </w:rPr>
              <w:t xml:space="preserve">invasiva) com manguito </w:t>
            </w:r>
            <w:r>
              <w:rPr>
                <w:rFonts w:ascii="Cambria" w:hAnsi="Cambria"/>
                <w:spacing w:val="-1"/>
              </w:rPr>
              <w:t>1 via para monitor</w:t>
            </w:r>
            <w:r>
              <w:rPr>
                <w:rFonts w:ascii="Cambria" w:hAnsi="Cambria"/>
                <w:spacing w:val="-36"/>
              </w:rPr>
              <w:t xml:space="preserve"> </w:t>
            </w:r>
            <w:r>
              <w:rPr>
                <w:rFonts w:ascii="Cambria" w:hAnsi="Cambria"/>
              </w:rPr>
              <w:t>com</w:t>
            </w:r>
            <w:r>
              <w:rPr>
                <w:rFonts w:ascii="Cambria" w:hAnsi="Cambria"/>
                <w:spacing w:val="-1"/>
              </w:rPr>
              <w:t xml:space="preserve"> </w:t>
            </w:r>
            <w:r>
              <w:rPr>
                <w:rFonts w:ascii="Cambria" w:hAnsi="Cambria"/>
              </w:rPr>
              <w:t>conector</w:t>
            </w:r>
            <w:r>
              <w:rPr>
                <w:rFonts w:ascii="Cambria" w:hAnsi="Cambria"/>
                <w:spacing w:val="-8"/>
              </w:rPr>
              <w:t xml:space="preserve"> </w:t>
            </w:r>
            <w:r>
              <w:rPr>
                <w:rFonts w:ascii="Cambria" w:hAnsi="Cambria"/>
              </w:rPr>
              <w:t>acoplado</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0F51FDB">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6D4160A">
            <w:pPr>
              <w:widowControl w:val="0"/>
              <w:suppressAutoHyphens/>
              <w:spacing w:after="288" w:afterLines="120" w:line="276" w:lineRule="auto"/>
              <w:jc w:val="center"/>
              <w:rPr>
                <w:rFonts w:ascii="Cambria" w:hAnsi="Cambria"/>
              </w:rPr>
            </w:pPr>
            <w:r>
              <w:rPr>
                <w:rFonts w:ascii="Cambria" w:hAnsi="Cambria"/>
              </w:rPr>
              <w:t>2.000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15E2C51">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R$ 134,70</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4D6D91E">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R$ 269.400,00</w:t>
            </w:r>
          </w:p>
        </w:tc>
      </w:tr>
      <w:tr w14:paraId="4DE06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B747E0D">
            <w:pPr>
              <w:widowControl w:val="0"/>
              <w:suppressAutoHyphens/>
              <w:spacing w:after="288" w:afterLines="120" w:line="276" w:lineRule="auto"/>
              <w:ind w:left="-108" w:right="-108"/>
              <w:jc w:val="center"/>
              <w:rPr>
                <w:rFonts w:ascii="Cambria" w:hAnsi="Cambria"/>
              </w:rPr>
            </w:pPr>
            <w:r>
              <w:rPr>
                <w:rFonts w:ascii="Cambria" w:hAnsi="Cambria"/>
              </w:rPr>
              <w:t>80</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F14A8E3">
            <w:pPr>
              <w:widowControl w:val="0"/>
              <w:suppressAutoHyphens/>
              <w:spacing w:after="288" w:afterLines="120" w:line="276" w:lineRule="auto"/>
              <w:jc w:val="both"/>
              <w:rPr>
                <w:rFonts w:ascii="Cambria" w:hAnsi="Cambria"/>
                <w:spacing w:val="-1"/>
              </w:rPr>
            </w:pPr>
            <w:r>
              <w:rPr>
                <w:rFonts w:ascii="Cambria" w:hAnsi="Cambria"/>
              </w:rPr>
              <w:t>Braçadeira infantil de pni (pressão não</w:t>
            </w:r>
            <w:r>
              <w:rPr>
                <w:rFonts w:ascii="Cambria" w:hAnsi="Cambria"/>
                <w:spacing w:val="1"/>
              </w:rPr>
              <w:t xml:space="preserve"> </w:t>
            </w:r>
            <w:r>
              <w:rPr>
                <w:rFonts w:ascii="Cambria" w:hAnsi="Cambria"/>
                <w:spacing w:val="-2"/>
              </w:rPr>
              <w:t xml:space="preserve">invasiva) com manguito </w:t>
            </w:r>
            <w:r>
              <w:rPr>
                <w:rFonts w:ascii="Cambria" w:hAnsi="Cambria"/>
                <w:spacing w:val="-1"/>
              </w:rPr>
              <w:t>1 via para monitor</w:t>
            </w:r>
            <w:r>
              <w:rPr>
                <w:rFonts w:ascii="Cambria" w:hAnsi="Cambria"/>
                <w:spacing w:val="-36"/>
              </w:rPr>
              <w:t xml:space="preserve"> </w:t>
            </w:r>
            <w:r>
              <w:rPr>
                <w:rFonts w:ascii="Cambria" w:hAnsi="Cambria"/>
              </w:rPr>
              <w:t>com</w:t>
            </w:r>
            <w:r>
              <w:rPr>
                <w:rFonts w:ascii="Cambria" w:hAnsi="Cambria"/>
                <w:spacing w:val="-1"/>
              </w:rPr>
              <w:t xml:space="preserve"> </w:t>
            </w:r>
            <w:r>
              <w:rPr>
                <w:rFonts w:ascii="Cambria" w:hAnsi="Cambria"/>
              </w:rPr>
              <w:t>conector</w:t>
            </w:r>
            <w:r>
              <w:rPr>
                <w:rFonts w:ascii="Cambria" w:hAnsi="Cambria"/>
                <w:spacing w:val="-8"/>
              </w:rPr>
              <w:t xml:space="preserve"> </w:t>
            </w:r>
            <w:r>
              <w:rPr>
                <w:rFonts w:ascii="Cambria" w:hAnsi="Cambria"/>
              </w:rPr>
              <w:t>acoplado</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6A00986">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49A134D">
            <w:pPr>
              <w:widowControl w:val="0"/>
              <w:suppressAutoHyphens/>
              <w:spacing w:after="288" w:afterLines="120" w:line="276" w:lineRule="auto"/>
              <w:jc w:val="center"/>
              <w:rPr>
                <w:rFonts w:ascii="Cambria" w:hAnsi="Cambria"/>
              </w:rPr>
            </w:pPr>
            <w:r>
              <w:rPr>
                <w:rFonts w:ascii="Cambria" w:hAnsi="Cambria"/>
              </w:rPr>
              <w:t>1.000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5E33E99">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R$ 119,31</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9E55450">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R$ 119.310,00</w:t>
            </w:r>
          </w:p>
        </w:tc>
      </w:tr>
      <w:tr w14:paraId="1C26A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80455F5">
            <w:pPr>
              <w:widowControl w:val="0"/>
              <w:suppressAutoHyphens/>
              <w:spacing w:after="288" w:afterLines="120" w:line="276" w:lineRule="auto"/>
              <w:ind w:left="-108" w:right="-108"/>
              <w:jc w:val="center"/>
              <w:rPr>
                <w:rFonts w:ascii="Cambria" w:hAnsi="Cambria"/>
              </w:rPr>
            </w:pPr>
            <w:r>
              <w:rPr>
                <w:rFonts w:ascii="Cambria" w:hAnsi="Cambria"/>
              </w:rPr>
              <w:t>81</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9627717">
            <w:pPr>
              <w:widowControl w:val="0"/>
              <w:suppressAutoHyphens/>
              <w:spacing w:after="288" w:afterLines="120" w:line="276" w:lineRule="auto"/>
              <w:jc w:val="both"/>
              <w:rPr>
                <w:rFonts w:ascii="Cambria" w:hAnsi="Cambria"/>
              </w:rPr>
            </w:pPr>
            <w:r>
              <w:rPr>
                <w:rFonts w:ascii="Cambria" w:hAnsi="Cambria"/>
              </w:rPr>
              <w:t>Oxímetro</w:t>
            </w:r>
            <w:r>
              <w:rPr>
                <w:rFonts w:ascii="Cambria" w:hAnsi="Cambria"/>
                <w:spacing w:val="-4"/>
              </w:rPr>
              <w:t xml:space="preserve"> </w:t>
            </w:r>
            <w:r>
              <w:rPr>
                <w:rFonts w:ascii="Cambria" w:hAnsi="Cambria"/>
              </w:rPr>
              <w:t>de</w:t>
            </w:r>
            <w:r>
              <w:rPr>
                <w:rFonts w:ascii="Cambria" w:hAnsi="Cambria"/>
                <w:spacing w:val="-3"/>
              </w:rPr>
              <w:t xml:space="preserve"> </w:t>
            </w:r>
            <w:r>
              <w:rPr>
                <w:rFonts w:ascii="Cambria" w:hAnsi="Cambria"/>
              </w:rPr>
              <w:t>dedo</w:t>
            </w:r>
            <w:r>
              <w:rPr>
                <w:rFonts w:ascii="Cambria" w:hAnsi="Cambria"/>
                <w:spacing w:val="-4"/>
              </w:rPr>
              <w:t xml:space="preserve"> </w:t>
            </w:r>
            <w:r>
              <w:rPr>
                <w:rFonts w:ascii="Cambria" w:hAnsi="Cambria"/>
              </w:rPr>
              <w:t>infantil,</w:t>
            </w:r>
            <w:r>
              <w:rPr>
                <w:rFonts w:ascii="Cambria" w:hAnsi="Cambria"/>
                <w:spacing w:val="-3"/>
              </w:rPr>
              <w:t xml:space="preserve"> </w:t>
            </w:r>
            <w:r>
              <w:rPr>
                <w:rFonts w:ascii="Cambria" w:hAnsi="Cambria"/>
              </w:rPr>
              <w:t>Especificações,</w:t>
            </w:r>
            <w:r>
              <w:rPr>
                <w:rFonts w:ascii="Cambria" w:hAnsi="Cambria"/>
                <w:spacing w:val="-4"/>
              </w:rPr>
              <w:t xml:space="preserve"> </w:t>
            </w:r>
            <w:r>
              <w:rPr>
                <w:rFonts w:ascii="Cambria" w:hAnsi="Cambria"/>
              </w:rPr>
              <w:t>resolução</w:t>
            </w:r>
            <w:r>
              <w:rPr>
                <w:rFonts w:ascii="Cambria" w:hAnsi="Cambria"/>
                <w:spacing w:val="-36"/>
              </w:rPr>
              <w:t xml:space="preserve"> </w:t>
            </w:r>
            <w:r>
              <w:rPr>
                <w:rFonts w:ascii="Cambria" w:hAnsi="Cambria"/>
              </w:rPr>
              <w:t>96*64, spo2 Faixa de medição: 35 ~ 99%,</w:t>
            </w:r>
            <w:r>
              <w:rPr>
                <w:rFonts w:ascii="Cambria" w:hAnsi="Cambria"/>
                <w:spacing w:val="1"/>
              </w:rPr>
              <w:t xml:space="preserve"> </w:t>
            </w:r>
            <w:r>
              <w:rPr>
                <w:rFonts w:ascii="Cambria" w:hAnsi="Cambria"/>
              </w:rPr>
              <w:t>Resolução: ± 1%, Precisão: ± 1% (90% ~ 99%), não</w:t>
            </w:r>
            <w:r>
              <w:rPr>
                <w:rFonts w:ascii="Cambria" w:hAnsi="Cambria"/>
                <w:spacing w:val="-36"/>
              </w:rPr>
              <w:t xml:space="preserve"> </w:t>
            </w:r>
            <w:r>
              <w:rPr>
                <w:rFonts w:ascii="Cambria" w:hAnsi="Cambria"/>
              </w:rPr>
              <w:t>especificadas (&lt;70%), Faixa de medição de pulso</w:t>
            </w:r>
            <w:r>
              <w:rPr>
                <w:rFonts w:ascii="Cambria" w:hAnsi="Cambria"/>
                <w:spacing w:val="1"/>
              </w:rPr>
              <w:t xml:space="preserve"> </w:t>
            </w:r>
            <w:r>
              <w:rPr>
                <w:rFonts w:ascii="Cambria" w:hAnsi="Cambria"/>
              </w:rPr>
              <w:t>taxa: Máximo:100 ~ 250 bpm, Mínimo: 15-95 bpm,</w:t>
            </w:r>
            <w:r>
              <w:rPr>
                <w:rFonts w:ascii="Cambria" w:hAnsi="Cambria"/>
                <w:spacing w:val="1"/>
              </w:rPr>
              <w:t xml:space="preserve"> </w:t>
            </w:r>
            <w:r>
              <w:rPr>
                <w:rFonts w:ascii="Cambria" w:hAnsi="Cambria"/>
              </w:rPr>
              <w:t>Precisão: ± 1bpm ou ± 1% , Potência de 1,5 V (tam</w:t>
            </w:r>
            <w:r>
              <w:rPr>
                <w:rFonts w:ascii="Cambria" w:hAnsi="Cambria"/>
                <w:spacing w:val="-1"/>
              </w:rPr>
              <w:t xml:space="preserve"> anho AAA), 2 Pilhas alcalina, Tensão </w:t>
            </w:r>
            <w:r>
              <w:rPr>
                <w:rFonts w:ascii="Cambria" w:hAnsi="Cambria"/>
              </w:rPr>
              <w:t>de alimentação:</w:t>
            </w:r>
            <w:r>
              <w:rPr>
                <w:rFonts w:ascii="Cambria" w:hAnsi="Cambria"/>
                <w:spacing w:val="-36"/>
              </w:rPr>
              <w:t xml:space="preserve"> </w:t>
            </w:r>
            <w:r>
              <w:rPr>
                <w:rFonts w:ascii="Cambria" w:hAnsi="Cambria"/>
              </w:rPr>
              <w:t>2,6 ~ 3.6V, De trabalho atual = 30ma, Resistência a</w:t>
            </w:r>
            <w:r>
              <w:rPr>
                <w:rFonts w:ascii="Cambria" w:hAnsi="Cambria"/>
                <w:spacing w:val="1"/>
              </w:rPr>
              <w:t xml:space="preserve"> </w:t>
            </w:r>
            <w:r>
              <w:rPr>
                <w:rFonts w:ascii="Cambria" w:hAnsi="Cambria"/>
              </w:rPr>
              <w:t>interferência contra desvio de luz ambiente entre</w:t>
            </w:r>
            <w:r>
              <w:rPr>
                <w:rFonts w:ascii="Cambria" w:hAnsi="Cambria"/>
                <w:spacing w:val="1"/>
              </w:rPr>
              <w:t xml:space="preserve"> </w:t>
            </w:r>
            <w:r>
              <w:rPr>
                <w:rFonts w:ascii="Cambria" w:hAnsi="Cambria"/>
              </w:rPr>
              <w:t>spo2 na natureza condição de iluminação interior e</w:t>
            </w:r>
            <w:r>
              <w:rPr>
                <w:rFonts w:ascii="Cambria" w:hAnsi="Cambria"/>
                <w:spacing w:val="1"/>
              </w:rPr>
              <w:t xml:space="preserve"> </w:t>
            </w:r>
            <w:r>
              <w:rPr>
                <w:rFonts w:ascii="Cambria" w:hAnsi="Cambria"/>
              </w:rPr>
              <w:t>na sala escura é menor do que ± 1%, Peso 65</w:t>
            </w:r>
            <w:r>
              <w:rPr>
                <w:rFonts w:ascii="Cambria" w:hAnsi="Cambria"/>
                <w:spacing w:val="1"/>
              </w:rPr>
              <w:t xml:space="preserve"> </w:t>
            </w:r>
            <w:r>
              <w:rPr>
                <w:rFonts w:ascii="Cambria" w:hAnsi="Cambria"/>
              </w:rPr>
              <w:t>gramas (Com baterias)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17F7416">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1955BD0">
            <w:pPr>
              <w:widowControl w:val="0"/>
              <w:suppressAutoHyphens/>
              <w:spacing w:after="288" w:afterLines="120" w:line="276" w:lineRule="auto"/>
              <w:jc w:val="center"/>
              <w:rPr>
                <w:rFonts w:ascii="Cambria" w:hAnsi="Cambria"/>
              </w:rPr>
            </w:pPr>
            <w:r>
              <w:rPr>
                <w:rFonts w:ascii="Cambria" w:hAnsi="Cambria"/>
              </w:rPr>
              <w:t>20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9F02317">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R$ 261,66</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C7EEBBE">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R$ 5.233,20</w:t>
            </w:r>
          </w:p>
        </w:tc>
      </w:tr>
      <w:tr w14:paraId="293F1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20CE896">
            <w:pPr>
              <w:widowControl w:val="0"/>
              <w:suppressAutoHyphens/>
              <w:spacing w:after="288" w:afterLines="120" w:line="276" w:lineRule="auto"/>
              <w:ind w:left="-108" w:right="-108"/>
              <w:jc w:val="center"/>
              <w:rPr>
                <w:rFonts w:ascii="Cambria" w:hAnsi="Cambria"/>
              </w:rPr>
            </w:pPr>
            <w:r>
              <w:rPr>
                <w:rFonts w:ascii="Cambria" w:hAnsi="Cambria"/>
              </w:rPr>
              <w:t>82</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4438E05">
            <w:pPr>
              <w:widowControl w:val="0"/>
              <w:suppressAutoHyphens/>
              <w:spacing w:after="288" w:afterLines="120" w:line="276" w:lineRule="auto"/>
              <w:jc w:val="both"/>
              <w:rPr>
                <w:rFonts w:ascii="Cambria" w:hAnsi="Cambria"/>
              </w:rPr>
            </w:pPr>
            <w:r>
              <w:rPr>
                <w:rFonts w:ascii="Cambria" w:hAnsi="Cambria"/>
              </w:rPr>
              <w:t>Detergente enzimático para limpeza de</w:t>
            </w:r>
            <w:r>
              <w:rPr>
                <w:rFonts w:ascii="Cambria" w:hAnsi="Cambria"/>
                <w:spacing w:val="1"/>
              </w:rPr>
              <w:t xml:space="preserve"> </w:t>
            </w:r>
            <w:r>
              <w:rPr>
                <w:rFonts w:ascii="Cambria" w:hAnsi="Cambria"/>
              </w:rPr>
              <w:t>artigos</w:t>
            </w:r>
            <w:r>
              <w:rPr>
                <w:rFonts w:ascii="Cambria" w:hAnsi="Cambria"/>
                <w:spacing w:val="-10"/>
              </w:rPr>
              <w:t xml:space="preserve"> </w:t>
            </w:r>
            <w:r>
              <w:rPr>
                <w:rFonts w:ascii="Cambria" w:hAnsi="Cambria"/>
              </w:rPr>
              <w:t>médicos</w:t>
            </w:r>
            <w:r>
              <w:rPr>
                <w:rFonts w:ascii="Cambria" w:hAnsi="Cambria"/>
                <w:spacing w:val="-9"/>
              </w:rPr>
              <w:t xml:space="preserve"> </w:t>
            </w:r>
            <w:r>
              <w:rPr>
                <w:rFonts w:ascii="Cambria" w:hAnsi="Cambria"/>
              </w:rPr>
              <w:t>hospitalares</w:t>
            </w:r>
            <w:r>
              <w:rPr>
                <w:rFonts w:ascii="Cambria" w:hAnsi="Cambria"/>
                <w:spacing w:val="-9"/>
              </w:rPr>
              <w:t xml:space="preserve"> </w:t>
            </w:r>
            <w:r>
              <w:rPr>
                <w:rFonts w:ascii="Cambria" w:hAnsi="Cambria"/>
              </w:rPr>
              <w:t>composto</w:t>
            </w:r>
            <w:r>
              <w:rPr>
                <w:rFonts w:ascii="Cambria" w:hAnsi="Cambria"/>
                <w:spacing w:val="-36"/>
              </w:rPr>
              <w:t xml:space="preserve"> </w:t>
            </w:r>
            <w:r>
              <w:rPr>
                <w:rFonts w:ascii="Cambria" w:hAnsi="Cambria"/>
              </w:rPr>
              <w:t>por no mínimo 6 enzimas; amilase, lipase,</w:t>
            </w:r>
            <w:r>
              <w:rPr>
                <w:rFonts w:ascii="Cambria" w:hAnsi="Cambria"/>
                <w:spacing w:val="1"/>
              </w:rPr>
              <w:t xml:space="preserve"> </w:t>
            </w:r>
            <w:r>
              <w:rPr>
                <w:rFonts w:ascii="Cambria" w:hAnsi="Cambria"/>
              </w:rPr>
              <w:t>protease, carboidrase, peptidase e</w:t>
            </w:r>
            <w:r>
              <w:rPr>
                <w:rFonts w:ascii="Cambria" w:hAnsi="Cambria"/>
                <w:spacing w:val="1"/>
              </w:rPr>
              <w:t xml:space="preserve"> </w:t>
            </w:r>
            <w:r>
              <w:rPr>
                <w:rFonts w:ascii="Cambria" w:hAnsi="Cambria"/>
              </w:rPr>
              <w:t>celulase. Detergente não</w:t>
            </w:r>
            <w:r>
              <w:rPr>
                <w:rFonts w:ascii="Cambria" w:hAnsi="Cambria"/>
                <w:spacing w:val="1"/>
              </w:rPr>
              <w:t xml:space="preserve"> </w:t>
            </w:r>
            <w:r>
              <w:rPr>
                <w:rFonts w:ascii="Cambria" w:hAnsi="Cambria"/>
              </w:rPr>
              <w:t>iônico/aniônico, ph neutro,</w:t>
            </w:r>
            <w:r>
              <w:rPr>
                <w:rFonts w:ascii="Cambria" w:hAnsi="Cambria"/>
                <w:spacing w:val="1"/>
              </w:rPr>
              <w:t xml:space="preserve"> </w:t>
            </w:r>
            <w:r>
              <w:rPr>
                <w:rFonts w:ascii="Cambria" w:hAnsi="Cambria"/>
              </w:rPr>
              <w:t>biodegradável, não corrosivo para</w:t>
            </w:r>
            <w:r>
              <w:rPr>
                <w:rFonts w:ascii="Cambria" w:hAnsi="Cambria"/>
                <w:spacing w:val="1"/>
              </w:rPr>
              <w:t xml:space="preserve"> </w:t>
            </w:r>
            <w:r>
              <w:rPr>
                <w:rFonts w:ascii="Cambria" w:hAnsi="Cambria"/>
              </w:rPr>
              <w:t>metais, para ser utilizado em</w:t>
            </w:r>
            <w:r>
              <w:rPr>
                <w:rFonts w:ascii="Cambria" w:hAnsi="Cambria"/>
                <w:spacing w:val="1"/>
              </w:rPr>
              <w:t xml:space="preserve"> </w:t>
            </w:r>
            <w:r>
              <w:rPr>
                <w:rFonts w:ascii="Cambria" w:hAnsi="Cambria"/>
                <w:spacing w:val="-1"/>
              </w:rPr>
              <w:t xml:space="preserve">temperatura ambiente ou aquecida </w:t>
            </w:r>
            <w:r>
              <w:rPr>
                <w:rFonts w:ascii="Cambria" w:hAnsi="Cambria"/>
              </w:rPr>
              <w:t>para</w:t>
            </w:r>
            <w:r>
              <w:rPr>
                <w:rFonts w:ascii="Cambria" w:hAnsi="Cambria"/>
                <w:spacing w:val="1"/>
              </w:rPr>
              <w:t xml:space="preserve"> </w:t>
            </w:r>
            <w:r>
              <w:rPr>
                <w:rFonts w:ascii="Cambria" w:hAnsi="Cambria"/>
              </w:rPr>
              <w:t>processo de limpeza manual ou</w:t>
            </w:r>
            <w:r>
              <w:rPr>
                <w:rFonts w:ascii="Cambria" w:hAnsi="Cambria"/>
                <w:spacing w:val="1"/>
              </w:rPr>
              <w:t xml:space="preserve"> </w:t>
            </w:r>
            <w:r>
              <w:rPr>
                <w:rFonts w:ascii="Cambria" w:hAnsi="Cambria"/>
              </w:rPr>
              <w:t>automatizado,</w:t>
            </w:r>
            <w:r>
              <w:rPr>
                <w:rFonts w:ascii="Cambria" w:hAnsi="Cambria"/>
                <w:spacing w:val="-2"/>
              </w:rPr>
              <w:t xml:space="preserve"> </w:t>
            </w:r>
            <w:r>
              <w:rPr>
                <w:rFonts w:ascii="Cambria" w:hAnsi="Cambria"/>
              </w:rPr>
              <w:t>de</w:t>
            </w:r>
            <w:r>
              <w:rPr>
                <w:rFonts w:ascii="Cambria" w:hAnsi="Cambria"/>
                <w:spacing w:val="-10"/>
              </w:rPr>
              <w:t xml:space="preserve"> </w:t>
            </w:r>
            <w:r>
              <w:rPr>
                <w:rFonts w:ascii="Cambria" w:hAnsi="Cambria"/>
              </w:rPr>
              <w:t>ação</w:t>
            </w:r>
            <w:r>
              <w:rPr>
                <w:rFonts w:ascii="Cambria" w:hAnsi="Cambria"/>
                <w:spacing w:val="-1"/>
              </w:rPr>
              <w:t xml:space="preserve"> </w:t>
            </w:r>
            <w:r>
              <w:rPr>
                <w:rFonts w:ascii="Cambria" w:hAnsi="Cambria"/>
              </w:rPr>
              <w:t>rápida,</w:t>
            </w:r>
            <w:r>
              <w:rPr>
                <w:rFonts w:ascii="Cambria" w:hAnsi="Cambria"/>
                <w:spacing w:val="-2"/>
              </w:rPr>
              <w:t xml:space="preserve"> </w:t>
            </w:r>
            <w:r>
              <w:rPr>
                <w:rFonts w:ascii="Cambria" w:hAnsi="Cambria"/>
              </w:rPr>
              <w:t>galão</w:t>
            </w:r>
            <w:r>
              <w:rPr>
                <w:rFonts w:ascii="Cambria" w:hAnsi="Cambria"/>
                <w:spacing w:val="-2"/>
              </w:rPr>
              <w:t xml:space="preserve"> </w:t>
            </w:r>
            <w:r>
              <w:rPr>
                <w:rFonts w:ascii="Cambria" w:hAnsi="Cambria"/>
              </w:rPr>
              <w:t xml:space="preserve">de </w:t>
            </w:r>
            <w:r>
              <w:rPr>
                <w:rFonts w:ascii="Cambria" w:hAnsi="Cambria"/>
                <w:spacing w:val="-1"/>
              </w:rPr>
              <w:t xml:space="preserve">5.000 ml, com diluição </w:t>
            </w:r>
            <w:r>
              <w:rPr>
                <w:rFonts w:ascii="Cambria" w:hAnsi="Cambria"/>
              </w:rPr>
              <w:t>para 1ml de solução</w:t>
            </w:r>
            <w:r>
              <w:rPr>
                <w:rFonts w:ascii="Cambria" w:hAnsi="Cambria"/>
                <w:spacing w:val="-37"/>
              </w:rPr>
              <w:t xml:space="preserve"> </w:t>
            </w:r>
            <w:r>
              <w:rPr>
                <w:rFonts w:ascii="Cambria" w:hAnsi="Cambria"/>
              </w:rPr>
              <w:t>para cada litro de água. Possuir laudos</w:t>
            </w:r>
            <w:r>
              <w:rPr>
                <w:rFonts w:ascii="Cambria" w:hAnsi="Cambria"/>
                <w:spacing w:val="1"/>
              </w:rPr>
              <w:t xml:space="preserve"> </w:t>
            </w:r>
            <w:r>
              <w:rPr>
                <w:rFonts w:ascii="Cambria" w:hAnsi="Cambria"/>
              </w:rPr>
              <w:t>de estabilidade das enzimas durante o</w:t>
            </w:r>
            <w:r>
              <w:rPr>
                <w:rFonts w:ascii="Cambria" w:hAnsi="Cambria"/>
                <w:spacing w:val="1"/>
              </w:rPr>
              <w:t xml:space="preserve"> </w:t>
            </w:r>
            <w:r>
              <w:rPr>
                <w:rFonts w:ascii="Cambria" w:hAnsi="Cambria"/>
              </w:rPr>
              <w:t>prazo de validade dos materiais,</w:t>
            </w:r>
            <w:r>
              <w:rPr>
                <w:rFonts w:ascii="Cambria" w:hAnsi="Cambria"/>
                <w:spacing w:val="1"/>
              </w:rPr>
              <w:t xml:space="preserve"> </w:t>
            </w:r>
            <w:r>
              <w:rPr>
                <w:rFonts w:ascii="Cambria" w:hAnsi="Cambria"/>
                <w:spacing w:val="-1"/>
              </w:rPr>
              <w:t xml:space="preserve">estabilidade </w:t>
            </w:r>
            <w:r>
              <w:rPr>
                <w:rFonts w:ascii="Cambria" w:hAnsi="Cambria"/>
              </w:rPr>
              <w:t>do sistema conservante, ph</w:t>
            </w:r>
            <w:r>
              <w:rPr>
                <w:rFonts w:ascii="Cambria" w:hAnsi="Cambria"/>
                <w:spacing w:val="1"/>
              </w:rPr>
              <w:t xml:space="preserve"> </w:t>
            </w:r>
            <w:r>
              <w:rPr>
                <w:rFonts w:ascii="Cambria" w:hAnsi="Cambria"/>
              </w:rPr>
              <w:t>dos materiais puro e diluído,</w:t>
            </w:r>
            <w:r>
              <w:rPr>
                <w:rFonts w:ascii="Cambria" w:hAnsi="Cambria"/>
                <w:spacing w:val="1"/>
              </w:rPr>
              <w:t xml:space="preserve"> </w:t>
            </w:r>
            <w:r>
              <w:rPr>
                <w:rFonts w:ascii="Cambria" w:hAnsi="Cambria"/>
              </w:rPr>
              <w:t>biodegradável, corrosividade em</w:t>
            </w:r>
            <w:r>
              <w:rPr>
                <w:rFonts w:ascii="Cambria" w:hAnsi="Cambria"/>
                <w:spacing w:val="1"/>
              </w:rPr>
              <w:t xml:space="preserve"> </w:t>
            </w:r>
            <w:r>
              <w:rPr>
                <w:rFonts w:ascii="Cambria" w:hAnsi="Cambria"/>
              </w:rPr>
              <w:t>plástico e metal. Embalagem galão de 5</w:t>
            </w:r>
            <w:r>
              <w:rPr>
                <w:rFonts w:ascii="Cambria" w:hAnsi="Cambria"/>
                <w:spacing w:val="1"/>
              </w:rPr>
              <w:t xml:space="preserve"> </w:t>
            </w:r>
            <w:r>
              <w:rPr>
                <w:rFonts w:ascii="Cambria" w:hAnsi="Cambria"/>
              </w:rPr>
              <w:t>litros.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EAC3341">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F370B7E">
            <w:pPr>
              <w:widowControl w:val="0"/>
              <w:suppressAutoHyphens/>
              <w:spacing w:after="288" w:afterLines="120" w:line="276" w:lineRule="auto"/>
              <w:jc w:val="center"/>
              <w:rPr>
                <w:rFonts w:ascii="Cambria" w:hAnsi="Cambria"/>
              </w:rPr>
            </w:pPr>
            <w:r>
              <w:rPr>
                <w:rFonts w:ascii="Cambria" w:hAnsi="Cambria"/>
              </w:rPr>
              <w:t>70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DC0DA87">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R$ 165,39</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A8C73B0">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R$ 11.577,30</w:t>
            </w:r>
          </w:p>
        </w:tc>
      </w:tr>
      <w:tr w14:paraId="3383B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CE58E29">
            <w:pPr>
              <w:widowControl w:val="0"/>
              <w:suppressAutoHyphens/>
              <w:spacing w:after="288" w:afterLines="120" w:line="276" w:lineRule="auto"/>
              <w:ind w:left="-108" w:right="-108"/>
              <w:jc w:val="center"/>
              <w:rPr>
                <w:rFonts w:ascii="Cambria" w:hAnsi="Cambria"/>
              </w:rPr>
            </w:pPr>
            <w:r>
              <w:rPr>
                <w:rFonts w:ascii="Cambria" w:hAnsi="Cambria"/>
              </w:rPr>
              <w:t>83</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D8B90E9">
            <w:pPr>
              <w:widowControl w:val="0"/>
              <w:suppressAutoHyphens/>
              <w:spacing w:after="288" w:afterLines="120" w:line="276" w:lineRule="auto"/>
              <w:jc w:val="both"/>
              <w:rPr>
                <w:rFonts w:ascii="Cambria" w:hAnsi="Cambria"/>
              </w:rPr>
            </w:pPr>
            <w:r>
              <w:rPr>
                <w:rFonts w:ascii="Cambria" w:hAnsi="Cambria"/>
              </w:rPr>
              <w:t>Cateter</w:t>
            </w:r>
            <w:r>
              <w:rPr>
                <w:rFonts w:ascii="Cambria" w:hAnsi="Cambria"/>
                <w:spacing w:val="-7"/>
              </w:rPr>
              <w:t xml:space="preserve"> </w:t>
            </w:r>
            <w:r>
              <w:rPr>
                <w:rFonts w:ascii="Cambria" w:hAnsi="Cambria"/>
              </w:rPr>
              <w:t>intravenoso</w:t>
            </w:r>
            <w:r>
              <w:rPr>
                <w:rFonts w:ascii="Cambria" w:hAnsi="Cambria"/>
                <w:spacing w:val="-7"/>
              </w:rPr>
              <w:t xml:space="preserve"> </w:t>
            </w:r>
            <w:r>
              <w:rPr>
                <w:rFonts w:ascii="Cambria" w:hAnsi="Cambria"/>
              </w:rPr>
              <w:t>periférico</w:t>
            </w:r>
            <w:r>
              <w:rPr>
                <w:rFonts w:ascii="Cambria" w:hAnsi="Cambria"/>
                <w:spacing w:val="-7"/>
              </w:rPr>
              <w:t xml:space="preserve"> </w:t>
            </w:r>
            <w:r>
              <w:rPr>
                <w:rFonts w:ascii="Cambria" w:hAnsi="Cambria"/>
              </w:rPr>
              <w:t>14g</w:t>
            </w:r>
            <w:r>
              <w:rPr>
                <w:rFonts w:ascii="Cambria" w:hAnsi="Cambria"/>
                <w:spacing w:val="-7"/>
              </w:rPr>
              <w:t xml:space="preserve"> </w:t>
            </w:r>
            <w:r>
              <w:rPr>
                <w:rFonts w:ascii="Cambria" w:hAnsi="Cambria"/>
              </w:rPr>
              <w:t>x</w:t>
            </w:r>
            <w:r>
              <w:rPr>
                <w:rFonts w:ascii="Cambria" w:hAnsi="Cambria"/>
                <w:spacing w:val="-7"/>
              </w:rPr>
              <w:t xml:space="preserve"> </w:t>
            </w:r>
            <w:r>
              <w:rPr>
                <w:rFonts w:ascii="Cambria" w:hAnsi="Cambria"/>
              </w:rPr>
              <w:t>50</w:t>
            </w:r>
            <w:r>
              <w:rPr>
                <w:rFonts w:ascii="Cambria" w:hAnsi="Cambria"/>
                <w:spacing w:val="-36"/>
              </w:rPr>
              <w:t xml:space="preserve"> </w:t>
            </w:r>
            <w:r>
              <w:rPr>
                <w:rFonts w:ascii="Cambria" w:hAnsi="Cambria"/>
              </w:rPr>
              <w:t>mm, com dispositivo de proteção,</w:t>
            </w:r>
            <w:r>
              <w:rPr>
                <w:rFonts w:ascii="Cambria" w:hAnsi="Cambria"/>
                <w:spacing w:val="1"/>
              </w:rPr>
              <w:t xml:space="preserve"> </w:t>
            </w:r>
            <w:r>
              <w:rPr>
                <w:rFonts w:ascii="Cambria" w:hAnsi="Cambria"/>
              </w:rPr>
              <w:t>composto de cânula em vialon -</w:t>
            </w:r>
            <w:r>
              <w:rPr>
                <w:rFonts w:ascii="Cambria" w:hAnsi="Cambria"/>
                <w:spacing w:val="1"/>
              </w:rPr>
              <w:t xml:space="preserve"> </w:t>
            </w:r>
            <w:r>
              <w:rPr>
                <w:rFonts w:ascii="Cambria" w:hAnsi="Cambria"/>
              </w:rPr>
              <w:t>radiopaco e transparente; agulha</w:t>
            </w:r>
            <w:r>
              <w:rPr>
                <w:rFonts w:ascii="Cambria" w:hAnsi="Cambria"/>
                <w:spacing w:val="1"/>
              </w:rPr>
              <w:t xml:space="preserve"> </w:t>
            </w:r>
            <w:r>
              <w:rPr>
                <w:rFonts w:ascii="Cambria" w:hAnsi="Cambria"/>
              </w:rPr>
              <w:t>eletripolida com ponta em "v" e bisel tri</w:t>
            </w:r>
            <w:r>
              <w:rPr>
                <w:rFonts w:ascii="Cambria" w:hAnsi="Cambria"/>
                <w:spacing w:val="-36"/>
              </w:rPr>
              <w:t xml:space="preserve"> </w:t>
            </w:r>
            <w:r>
              <w:rPr>
                <w:rFonts w:ascii="Cambria" w:hAnsi="Cambria"/>
              </w:rPr>
              <w:t>facetado; sistema de segurança</w:t>
            </w:r>
            <w:r>
              <w:rPr>
                <w:rFonts w:ascii="Cambria" w:hAnsi="Cambria"/>
                <w:spacing w:val="1"/>
              </w:rPr>
              <w:t xml:space="preserve"> </w:t>
            </w:r>
            <w:r>
              <w:rPr>
                <w:rFonts w:ascii="Cambria" w:hAnsi="Cambria"/>
              </w:rPr>
              <w:t>ergonômico, alerta indicadora da</w:t>
            </w:r>
            <w:r>
              <w:rPr>
                <w:rFonts w:ascii="Cambria" w:hAnsi="Cambria"/>
                <w:spacing w:val="1"/>
              </w:rPr>
              <w:t xml:space="preserve"> </w:t>
            </w:r>
            <w:r>
              <w:rPr>
                <w:rFonts w:ascii="Cambria" w:hAnsi="Cambria"/>
              </w:rPr>
              <w:t>posição do bisel e câmara de refluxo</w:t>
            </w:r>
            <w:r>
              <w:rPr>
                <w:rFonts w:ascii="Cambria" w:hAnsi="Cambria"/>
                <w:spacing w:val="1"/>
              </w:rPr>
              <w:t xml:space="preserve"> </w:t>
            </w:r>
            <w:r>
              <w:rPr>
                <w:rFonts w:ascii="Cambria" w:hAnsi="Cambria"/>
              </w:rPr>
              <w:t>transparente</w:t>
            </w:r>
            <w:r>
              <w:rPr>
                <w:rFonts w:ascii="Cambria" w:hAnsi="Cambria"/>
                <w:spacing w:val="-2"/>
              </w:rPr>
              <w:t xml:space="preserve"> </w:t>
            </w:r>
            <w:r>
              <w:rPr>
                <w:rFonts w:ascii="Cambria" w:hAnsi="Cambria"/>
              </w:rPr>
              <w:t>com</w:t>
            </w:r>
            <w:r>
              <w:rPr>
                <w:rFonts w:ascii="Cambria" w:hAnsi="Cambria"/>
                <w:spacing w:val="-1"/>
              </w:rPr>
              <w:t xml:space="preserve"> </w:t>
            </w:r>
            <w:r>
              <w:rPr>
                <w:rFonts w:ascii="Cambria" w:hAnsi="Cambria"/>
              </w:rPr>
              <w:t>filtro</w:t>
            </w:r>
            <w:r>
              <w:rPr>
                <w:rFonts w:ascii="Cambria" w:hAnsi="Cambria"/>
                <w:spacing w:val="-2"/>
              </w:rPr>
              <w:t xml:space="preserve"> </w:t>
            </w:r>
            <w:r>
              <w:rPr>
                <w:rFonts w:ascii="Cambria" w:hAnsi="Cambria"/>
              </w:rPr>
              <w:t>poroso.</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E432891">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1780823">
            <w:pPr>
              <w:widowControl w:val="0"/>
              <w:suppressAutoHyphens/>
              <w:spacing w:after="288" w:afterLines="120" w:line="276" w:lineRule="auto"/>
              <w:jc w:val="center"/>
              <w:rPr>
                <w:rFonts w:ascii="Cambria" w:hAnsi="Cambria"/>
              </w:rPr>
            </w:pPr>
            <w:r>
              <w:rPr>
                <w:rFonts w:ascii="Cambria" w:hAnsi="Cambria"/>
              </w:rPr>
              <w:t>20.000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4DCE8CD">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R$ 0,89</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9DBE240">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R$ 17.800,00</w:t>
            </w:r>
          </w:p>
        </w:tc>
      </w:tr>
      <w:tr w14:paraId="4DB4F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9721DBB">
            <w:pPr>
              <w:widowControl w:val="0"/>
              <w:suppressAutoHyphens/>
              <w:spacing w:after="288" w:afterLines="120" w:line="276" w:lineRule="auto"/>
              <w:ind w:left="-108" w:right="-108"/>
              <w:jc w:val="center"/>
              <w:rPr>
                <w:rFonts w:ascii="Cambria" w:hAnsi="Cambria"/>
              </w:rPr>
            </w:pPr>
            <w:r>
              <w:rPr>
                <w:rFonts w:ascii="Cambria" w:hAnsi="Cambria"/>
              </w:rPr>
              <w:t>84</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9EB66D4">
            <w:pPr>
              <w:widowControl w:val="0"/>
              <w:suppressAutoHyphens/>
              <w:spacing w:after="288" w:afterLines="120" w:line="276" w:lineRule="auto"/>
              <w:jc w:val="both"/>
              <w:rPr>
                <w:rFonts w:ascii="Cambria" w:hAnsi="Cambria"/>
              </w:rPr>
            </w:pPr>
            <w:r>
              <w:rPr>
                <w:rFonts w:ascii="Cambria" w:hAnsi="Cambria"/>
              </w:rPr>
              <w:t>Cateter</w:t>
            </w:r>
            <w:r>
              <w:rPr>
                <w:rFonts w:ascii="Cambria" w:hAnsi="Cambria"/>
                <w:spacing w:val="-7"/>
              </w:rPr>
              <w:t xml:space="preserve"> </w:t>
            </w:r>
            <w:r>
              <w:rPr>
                <w:rFonts w:ascii="Cambria" w:hAnsi="Cambria"/>
              </w:rPr>
              <w:t>intravenoso</w:t>
            </w:r>
            <w:r>
              <w:rPr>
                <w:rFonts w:ascii="Cambria" w:hAnsi="Cambria"/>
                <w:spacing w:val="-7"/>
              </w:rPr>
              <w:t xml:space="preserve"> </w:t>
            </w:r>
            <w:r>
              <w:rPr>
                <w:rFonts w:ascii="Cambria" w:hAnsi="Cambria"/>
              </w:rPr>
              <w:t>periférico</w:t>
            </w:r>
            <w:r>
              <w:rPr>
                <w:rFonts w:ascii="Cambria" w:hAnsi="Cambria"/>
                <w:spacing w:val="-7"/>
              </w:rPr>
              <w:t xml:space="preserve"> </w:t>
            </w:r>
            <w:r>
              <w:rPr>
                <w:rFonts w:ascii="Cambria" w:hAnsi="Cambria"/>
              </w:rPr>
              <w:t>16g</w:t>
            </w:r>
            <w:r>
              <w:rPr>
                <w:rFonts w:ascii="Cambria" w:hAnsi="Cambria"/>
                <w:spacing w:val="-7"/>
              </w:rPr>
              <w:t xml:space="preserve"> </w:t>
            </w:r>
            <w:r>
              <w:rPr>
                <w:rFonts w:ascii="Cambria" w:hAnsi="Cambria"/>
              </w:rPr>
              <w:t>x</w:t>
            </w:r>
            <w:r>
              <w:rPr>
                <w:rFonts w:ascii="Cambria" w:hAnsi="Cambria"/>
                <w:spacing w:val="-7"/>
              </w:rPr>
              <w:t xml:space="preserve"> </w:t>
            </w:r>
            <w:r>
              <w:rPr>
                <w:rFonts w:ascii="Cambria" w:hAnsi="Cambria"/>
              </w:rPr>
              <w:t>50</w:t>
            </w:r>
            <w:r>
              <w:rPr>
                <w:rFonts w:ascii="Cambria" w:hAnsi="Cambria"/>
                <w:spacing w:val="-36"/>
              </w:rPr>
              <w:t xml:space="preserve"> </w:t>
            </w:r>
            <w:r>
              <w:rPr>
                <w:rFonts w:ascii="Cambria" w:hAnsi="Cambria"/>
              </w:rPr>
              <w:t>mm, com dispositivo de proteção,</w:t>
            </w:r>
            <w:r>
              <w:rPr>
                <w:rFonts w:ascii="Cambria" w:hAnsi="Cambria"/>
                <w:spacing w:val="1"/>
              </w:rPr>
              <w:t xml:space="preserve"> </w:t>
            </w:r>
            <w:r>
              <w:rPr>
                <w:rFonts w:ascii="Cambria" w:hAnsi="Cambria"/>
              </w:rPr>
              <w:t>composto de cânula em vialon -</w:t>
            </w:r>
            <w:r>
              <w:rPr>
                <w:rFonts w:ascii="Cambria" w:hAnsi="Cambria"/>
                <w:spacing w:val="1"/>
              </w:rPr>
              <w:t xml:space="preserve"> </w:t>
            </w:r>
            <w:r>
              <w:rPr>
                <w:rFonts w:ascii="Cambria" w:hAnsi="Cambria"/>
              </w:rPr>
              <w:t>radiopaco e transparente, agulha</w:t>
            </w:r>
            <w:r>
              <w:rPr>
                <w:rFonts w:ascii="Cambria" w:hAnsi="Cambria"/>
                <w:spacing w:val="1"/>
              </w:rPr>
              <w:t xml:space="preserve"> </w:t>
            </w:r>
            <w:r>
              <w:rPr>
                <w:rFonts w:ascii="Cambria" w:hAnsi="Cambria"/>
              </w:rPr>
              <w:t>eletripolida com ponta em "v" e bisel tri</w:t>
            </w:r>
            <w:r>
              <w:rPr>
                <w:rFonts w:ascii="Cambria" w:hAnsi="Cambria"/>
                <w:spacing w:val="-36"/>
              </w:rPr>
              <w:t xml:space="preserve"> </w:t>
            </w:r>
            <w:r>
              <w:rPr>
                <w:rFonts w:ascii="Cambria" w:hAnsi="Cambria"/>
              </w:rPr>
              <w:t>facetado, sistema de segurança</w:t>
            </w:r>
            <w:r>
              <w:rPr>
                <w:rFonts w:ascii="Cambria" w:hAnsi="Cambria"/>
                <w:spacing w:val="1"/>
              </w:rPr>
              <w:t xml:space="preserve"> </w:t>
            </w:r>
            <w:r>
              <w:rPr>
                <w:rFonts w:ascii="Cambria" w:hAnsi="Cambria"/>
              </w:rPr>
              <w:t>ergonômico, alerta indicadora da</w:t>
            </w:r>
            <w:r>
              <w:rPr>
                <w:rFonts w:ascii="Cambria" w:hAnsi="Cambria"/>
                <w:spacing w:val="1"/>
              </w:rPr>
              <w:t xml:space="preserve"> </w:t>
            </w:r>
            <w:r>
              <w:rPr>
                <w:rFonts w:ascii="Cambria" w:hAnsi="Cambria"/>
              </w:rPr>
              <w:t>posição do bisel e câmara de refluxo</w:t>
            </w:r>
            <w:r>
              <w:rPr>
                <w:rFonts w:ascii="Cambria" w:hAnsi="Cambria"/>
                <w:spacing w:val="1"/>
              </w:rPr>
              <w:t xml:space="preserve"> </w:t>
            </w:r>
            <w:r>
              <w:rPr>
                <w:rFonts w:ascii="Cambria" w:hAnsi="Cambria"/>
              </w:rPr>
              <w:t>transparente</w:t>
            </w:r>
            <w:r>
              <w:rPr>
                <w:rFonts w:ascii="Cambria" w:hAnsi="Cambria"/>
                <w:spacing w:val="-2"/>
              </w:rPr>
              <w:t xml:space="preserve"> </w:t>
            </w:r>
            <w:r>
              <w:rPr>
                <w:rFonts w:ascii="Cambria" w:hAnsi="Cambria"/>
              </w:rPr>
              <w:t>com</w:t>
            </w:r>
            <w:r>
              <w:rPr>
                <w:rFonts w:ascii="Cambria" w:hAnsi="Cambria"/>
                <w:spacing w:val="-1"/>
              </w:rPr>
              <w:t xml:space="preserve"> </w:t>
            </w:r>
            <w:r>
              <w:rPr>
                <w:rFonts w:ascii="Cambria" w:hAnsi="Cambria"/>
              </w:rPr>
              <w:t>filtro</w:t>
            </w:r>
            <w:r>
              <w:rPr>
                <w:rFonts w:ascii="Cambria" w:hAnsi="Cambria"/>
                <w:spacing w:val="-2"/>
              </w:rPr>
              <w:t xml:space="preserve"> </w:t>
            </w:r>
            <w:r>
              <w:rPr>
                <w:rFonts w:ascii="Cambria" w:hAnsi="Cambria"/>
              </w:rPr>
              <w:t>poroso.</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6D488F6">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2973D2D">
            <w:pPr>
              <w:widowControl w:val="0"/>
              <w:suppressAutoHyphens/>
              <w:spacing w:after="288" w:afterLines="120" w:line="276" w:lineRule="auto"/>
              <w:jc w:val="center"/>
              <w:rPr>
                <w:rFonts w:ascii="Cambria" w:hAnsi="Cambria"/>
              </w:rPr>
            </w:pPr>
            <w:r>
              <w:rPr>
                <w:rFonts w:ascii="Cambria" w:hAnsi="Cambria"/>
              </w:rPr>
              <w:t>20.000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F12D246">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R$ 0,81</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019829F">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R$ 16.200,00</w:t>
            </w:r>
          </w:p>
        </w:tc>
      </w:tr>
      <w:tr w14:paraId="3A606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7534870">
            <w:pPr>
              <w:widowControl w:val="0"/>
              <w:suppressAutoHyphens/>
              <w:spacing w:after="288" w:afterLines="120" w:line="276" w:lineRule="auto"/>
              <w:ind w:left="-108" w:right="-108"/>
              <w:jc w:val="center"/>
              <w:rPr>
                <w:rFonts w:ascii="Cambria" w:hAnsi="Cambria"/>
              </w:rPr>
            </w:pPr>
            <w:r>
              <w:rPr>
                <w:rFonts w:ascii="Cambria" w:hAnsi="Cambria"/>
              </w:rPr>
              <w:t>85</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10EAC8D">
            <w:pPr>
              <w:widowControl w:val="0"/>
              <w:suppressAutoHyphens/>
              <w:spacing w:after="288" w:afterLines="120" w:line="276" w:lineRule="auto"/>
              <w:jc w:val="both"/>
              <w:rPr>
                <w:rFonts w:ascii="Cambria" w:hAnsi="Cambria"/>
              </w:rPr>
            </w:pPr>
            <w:r>
              <w:rPr>
                <w:rFonts w:ascii="Cambria" w:hAnsi="Cambria"/>
              </w:rPr>
              <w:t>Cateter intravenoso periférico 20G x 50 mm, com</w:t>
            </w:r>
            <w:r>
              <w:rPr>
                <w:rFonts w:ascii="Cambria" w:hAnsi="Cambria"/>
                <w:spacing w:val="1"/>
              </w:rPr>
              <w:t xml:space="preserve"> </w:t>
            </w:r>
            <w:r>
              <w:rPr>
                <w:rFonts w:ascii="Cambria" w:hAnsi="Cambria"/>
              </w:rPr>
              <w:t>dispositivo de proteção, composto de cânula em</w:t>
            </w:r>
            <w:r>
              <w:rPr>
                <w:rFonts w:ascii="Cambria" w:hAnsi="Cambria"/>
                <w:spacing w:val="1"/>
              </w:rPr>
              <w:t xml:space="preserve"> </w:t>
            </w:r>
            <w:r>
              <w:rPr>
                <w:rFonts w:ascii="Cambria" w:hAnsi="Cambria"/>
              </w:rPr>
              <w:t>VIALON - radiopaco e transparente; agulha</w:t>
            </w:r>
            <w:r>
              <w:rPr>
                <w:rFonts w:ascii="Cambria" w:hAnsi="Cambria"/>
                <w:spacing w:val="1"/>
              </w:rPr>
              <w:t xml:space="preserve"> </w:t>
            </w:r>
            <w:r>
              <w:rPr>
                <w:rFonts w:ascii="Cambria" w:hAnsi="Cambria"/>
              </w:rPr>
              <w:t>eletripolida com ponta em "V" e bisel</w:t>
            </w:r>
            <w:r>
              <w:rPr>
                <w:rFonts w:ascii="Cambria" w:hAnsi="Cambria"/>
                <w:spacing w:val="1"/>
              </w:rPr>
              <w:t xml:space="preserve"> </w:t>
            </w:r>
            <w:r>
              <w:rPr>
                <w:rFonts w:ascii="Cambria" w:hAnsi="Cambria"/>
              </w:rPr>
              <w:t>trifacetado; sistema de segurança ergonômico, alerta</w:t>
            </w:r>
            <w:r>
              <w:rPr>
                <w:rFonts w:ascii="Cambria" w:hAnsi="Cambria"/>
                <w:spacing w:val="-37"/>
              </w:rPr>
              <w:t xml:space="preserve"> </w:t>
            </w:r>
            <w:r>
              <w:rPr>
                <w:rFonts w:ascii="Cambria" w:hAnsi="Cambria"/>
              </w:rPr>
              <w:t>indicadora da posição do bisel e câmara de refluxo</w:t>
            </w:r>
            <w:r>
              <w:rPr>
                <w:rFonts w:ascii="Cambria" w:hAnsi="Cambria"/>
                <w:spacing w:val="1"/>
              </w:rPr>
              <w:t xml:space="preserve"> </w:t>
            </w:r>
            <w:r>
              <w:rPr>
                <w:rFonts w:ascii="Cambria" w:hAnsi="Cambria"/>
              </w:rPr>
              <w:t>transparente com filtro poroso.</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AFEA272">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5AAC7C0">
            <w:pPr>
              <w:widowControl w:val="0"/>
              <w:suppressAutoHyphens/>
              <w:spacing w:after="288" w:afterLines="120" w:line="276" w:lineRule="auto"/>
              <w:jc w:val="center"/>
              <w:rPr>
                <w:rFonts w:ascii="Cambria" w:hAnsi="Cambria"/>
              </w:rPr>
            </w:pPr>
            <w:r>
              <w:rPr>
                <w:rFonts w:ascii="Cambria" w:hAnsi="Cambria"/>
              </w:rPr>
              <w:t>80.000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3BE16DF">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R$ 1,25</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E80483F">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R$ 100.000,00</w:t>
            </w:r>
          </w:p>
        </w:tc>
      </w:tr>
      <w:tr w14:paraId="14A35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067CA14">
            <w:pPr>
              <w:widowControl w:val="0"/>
              <w:suppressAutoHyphens/>
              <w:spacing w:after="288" w:afterLines="120" w:line="276" w:lineRule="auto"/>
              <w:ind w:left="-108" w:right="-108"/>
              <w:jc w:val="center"/>
              <w:rPr>
                <w:rFonts w:ascii="Cambria" w:hAnsi="Cambria"/>
              </w:rPr>
            </w:pPr>
            <w:r>
              <w:rPr>
                <w:rFonts w:ascii="Cambria" w:hAnsi="Cambria"/>
              </w:rPr>
              <w:t>86</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8C05C9A">
            <w:pPr>
              <w:widowControl w:val="0"/>
              <w:suppressAutoHyphens/>
              <w:spacing w:after="288" w:afterLines="120" w:line="276" w:lineRule="auto"/>
              <w:jc w:val="both"/>
              <w:rPr>
                <w:rFonts w:ascii="Cambria" w:hAnsi="Cambria"/>
              </w:rPr>
            </w:pPr>
            <w:r>
              <w:rPr>
                <w:rFonts w:ascii="Cambria" w:hAnsi="Cambria"/>
              </w:rPr>
              <w:t>Cateter</w:t>
            </w:r>
            <w:r>
              <w:rPr>
                <w:rFonts w:ascii="Cambria" w:hAnsi="Cambria"/>
                <w:spacing w:val="-7"/>
              </w:rPr>
              <w:t xml:space="preserve"> </w:t>
            </w:r>
            <w:r>
              <w:rPr>
                <w:rFonts w:ascii="Cambria" w:hAnsi="Cambria"/>
              </w:rPr>
              <w:t>intravenoso</w:t>
            </w:r>
            <w:r>
              <w:rPr>
                <w:rFonts w:ascii="Cambria" w:hAnsi="Cambria"/>
                <w:spacing w:val="-7"/>
              </w:rPr>
              <w:t xml:space="preserve"> </w:t>
            </w:r>
            <w:r>
              <w:rPr>
                <w:rFonts w:ascii="Cambria" w:hAnsi="Cambria"/>
              </w:rPr>
              <w:t>periférico</w:t>
            </w:r>
            <w:r>
              <w:rPr>
                <w:rFonts w:ascii="Cambria" w:hAnsi="Cambria"/>
                <w:spacing w:val="-7"/>
              </w:rPr>
              <w:t xml:space="preserve"> </w:t>
            </w:r>
            <w:r>
              <w:rPr>
                <w:rFonts w:ascii="Cambria" w:hAnsi="Cambria"/>
              </w:rPr>
              <w:t>24g</w:t>
            </w:r>
            <w:r>
              <w:rPr>
                <w:rFonts w:ascii="Cambria" w:hAnsi="Cambria"/>
                <w:spacing w:val="-7"/>
              </w:rPr>
              <w:t xml:space="preserve"> </w:t>
            </w:r>
            <w:r>
              <w:rPr>
                <w:rFonts w:ascii="Cambria" w:hAnsi="Cambria"/>
              </w:rPr>
              <w:t>x</w:t>
            </w:r>
            <w:r>
              <w:rPr>
                <w:rFonts w:ascii="Cambria" w:hAnsi="Cambria"/>
                <w:spacing w:val="-7"/>
              </w:rPr>
              <w:t xml:space="preserve"> </w:t>
            </w:r>
            <w:r>
              <w:rPr>
                <w:rFonts w:ascii="Cambria" w:hAnsi="Cambria"/>
              </w:rPr>
              <w:t>50</w:t>
            </w:r>
            <w:r>
              <w:rPr>
                <w:rFonts w:ascii="Cambria" w:hAnsi="Cambria"/>
                <w:spacing w:val="-36"/>
              </w:rPr>
              <w:t xml:space="preserve"> </w:t>
            </w:r>
            <w:r>
              <w:rPr>
                <w:rFonts w:ascii="Cambria" w:hAnsi="Cambria"/>
              </w:rPr>
              <w:t>mm, com dispositivo de proteção,</w:t>
            </w:r>
            <w:r>
              <w:rPr>
                <w:rFonts w:ascii="Cambria" w:hAnsi="Cambria"/>
                <w:spacing w:val="1"/>
              </w:rPr>
              <w:t xml:space="preserve"> </w:t>
            </w:r>
            <w:r>
              <w:rPr>
                <w:rFonts w:ascii="Cambria" w:hAnsi="Cambria"/>
              </w:rPr>
              <w:t>composto de cânula em vialon -</w:t>
            </w:r>
            <w:r>
              <w:rPr>
                <w:rFonts w:ascii="Cambria" w:hAnsi="Cambria"/>
                <w:spacing w:val="1"/>
              </w:rPr>
              <w:t xml:space="preserve"> </w:t>
            </w:r>
            <w:r>
              <w:rPr>
                <w:rFonts w:ascii="Cambria" w:hAnsi="Cambria"/>
              </w:rPr>
              <w:t>radiopaco e transparente, agulha</w:t>
            </w:r>
            <w:r>
              <w:rPr>
                <w:rFonts w:ascii="Cambria" w:hAnsi="Cambria"/>
                <w:spacing w:val="1"/>
              </w:rPr>
              <w:t xml:space="preserve"> </w:t>
            </w:r>
            <w:r>
              <w:rPr>
                <w:rFonts w:ascii="Cambria" w:hAnsi="Cambria"/>
              </w:rPr>
              <w:t>eletripolida com ponta em "v" e bisel tri</w:t>
            </w:r>
            <w:r>
              <w:rPr>
                <w:rFonts w:ascii="Cambria" w:hAnsi="Cambria"/>
                <w:spacing w:val="-36"/>
              </w:rPr>
              <w:t xml:space="preserve"> </w:t>
            </w:r>
            <w:r>
              <w:rPr>
                <w:rFonts w:ascii="Cambria" w:hAnsi="Cambria"/>
              </w:rPr>
              <w:t>facetado, sistema de segurança</w:t>
            </w:r>
            <w:r>
              <w:rPr>
                <w:rFonts w:ascii="Cambria" w:hAnsi="Cambria"/>
                <w:spacing w:val="1"/>
              </w:rPr>
              <w:t xml:space="preserve"> </w:t>
            </w:r>
            <w:r>
              <w:rPr>
                <w:rFonts w:ascii="Cambria" w:hAnsi="Cambria"/>
              </w:rPr>
              <w:t>ergonômico, alerta indicadora da</w:t>
            </w:r>
            <w:r>
              <w:rPr>
                <w:rFonts w:ascii="Cambria" w:hAnsi="Cambria"/>
                <w:spacing w:val="1"/>
              </w:rPr>
              <w:t xml:space="preserve"> </w:t>
            </w:r>
            <w:r>
              <w:rPr>
                <w:rFonts w:ascii="Cambria" w:hAnsi="Cambria"/>
              </w:rPr>
              <w:t>posição do bisel e câmara de refluxo</w:t>
            </w:r>
            <w:r>
              <w:rPr>
                <w:rFonts w:ascii="Cambria" w:hAnsi="Cambria"/>
                <w:spacing w:val="1"/>
              </w:rPr>
              <w:t xml:space="preserve"> </w:t>
            </w:r>
            <w:r>
              <w:rPr>
                <w:rFonts w:ascii="Cambria" w:hAnsi="Cambria"/>
              </w:rPr>
              <w:t>transparente com filtro poroso. Caixa</w:t>
            </w:r>
            <w:r>
              <w:rPr>
                <w:rFonts w:ascii="Cambria" w:hAnsi="Cambria"/>
                <w:spacing w:val="-36"/>
              </w:rPr>
              <w:t xml:space="preserve"> </w:t>
            </w:r>
            <w:r>
              <w:rPr>
                <w:rFonts w:ascii="Cambria" w:hAnsi="Cambria"/>
              </w:rPr>
              <w:t>com 100 unidades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6AD32AC">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D7DC933">
            <w:pPr>
              <w:widowControl w:val="0"/>
              <w:suppressAutoHyphens/>
              <w:spacing w:after="288" w:afterLines="120" w:line="276" w:lineRule="auto"/>
              <w:jc w:val="center"/>
              <w:rPr>
                <w:rFonts w:ascii="Cambria" w:hAnsi="Cambria"/>
              </w:rPr>
            </w:pPr>
            <w:r>
              <w:rPr>
                <w:rFonts w:ascii="Cambria" w:hAnsi="Cambria"/>
              </w:rPr>
              <w:t>800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D9C85C3">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R$ 125,53</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8C47AAF">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R$ 100.424,00</w:t>
            </w:r>
          </w:p>
        </w:tc>
      </w:tr>
      <w:tr w14:paraId="47127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FB9DBD0">
            <w:pPr>
              <w:widowControl w:val="0"/>
              <w:suppressAutoHyphens/>
              <w:spacing w:after="288" w:afterLines="120" w:line="276" w:lineRule="auto"/>
              <w:ind w:left="-108" w:right="-108"/>
              <w:jc w:val="center"/>
              <w:rPr>
                <w:rFonts w:ascii="Cambria" w:hAnsi="Cambria"/>
              </w:rPr>
            </w:pPr>
            <w:r>
              <w:rPr>
                <w:rFonts w:ascii="Cambria" w:hAnsi="Cambria"/>
              </w:rPr>
              <w:t>87</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8328711">
            <w:pPr>
              <w:widowControl w:val="0"/>
              <w:suppressAutoHyphens/>
              <w:spacing w:after="288" w:afterLines="120" w:line="276" w:lineRule="auto"/>
              <w:jc w:val="both"/>
              <w:rPr>
                <w:rFonts w:ascii="Cambria" w:hAnsi="Cambria"/>
              </w:rPr>
            </w:pPr>
            <w:r>
              <w:rPr>
                <w:rFonts w:ascii="Cambria" w:hAnsi="Cambria"/>
              </w:rPr>
              <w:t>Abaixador de língua confeccionado em</w:t>
            </w:r>
            <w:r>
              <w:rPr>
                <w:rFonts w:ascii="Cambria" w:hAnsi="Cambria"/>
                <w:spacing w:val="1"/>
              </w:rPr>
              <w:t xml:space="preserve"> </w:t>
            </w:r>
            <w:r>
              <w:rPr>
                <w:rFonts w:ascii="Cambria" w:hAnsi="Cambria"/>
              </w:rPr>
              <w:t>madeira com embalagem individual de</w:t>
            </w:r>
            <w:r>
              <w:rPr>
                <w:rFonts w:ascii="Cambria" w:hAnsi="Cambria"/>
                <w:spacing w:val="1"/>
              </w:rPr>
              <w:t xml:space="preserve"> </w:t>
            </w:r>
            <w:r>
              <w:rPr>
                <w:rFonts w:ascii="Cambria" w:hAnsi="Cambria"/>
              </w:rPr>
              <w:t>papel.</w:t>
            </w:r>
            <w:r>
              <w:rPr>
                <w:rFonts w:ascii="Cambria" w:hAnsi="Cambria"/>
                <w:spacing w:val="-7"/>
              </w:rPr>
              <w:t xml:space="preserve"> </w:t>
            </w:r>
            <w:r>
              <w:rPr>
                <w:rFonts w:ascii="Cambria" w:hAnsi="Cambria"/>
              </w:rPr>
              <w:t>Pacote</w:t>
            </w:r>
            <w:r>
              <w:rPr>
                <w:rFonts w:ascii="Cambria" w:hAnsi="Cambria"/>
                <w:spacing w:val="-7"/>
              </w:rPr>
              <w:t xml:space="preserve"> </w:t>
            </w:r>
            <w:r>
              <w:rPr>
                <w:rFonts w:ascii="Cambria" w:hAnsi="Cambria"/>
              </w:rPr>
              <w:t>com</w:t>
            </w:r>
            <w:r>
              <w:rPr>
                <w:rFonts w:ascii="Cambria" w:hAnsi="Cambria"/>
                <w:spacing w:val="-7"/>
              </w:rPr>
              <w:t xml:space="preserve"> </w:t>
            </w:r>
            <w:r>
              <w:rPr>
                <w:rFonts w:ascii="Cambria" w:hAnsi="Cambria"/>
              </w:rPr>
              <w:t>100</w:t>
            </w:r>
            <w:r>
              <w:rPr>
                <w:rFonts w:ascii="Cambria" w:hAnsi="Cambria"/>
                <w:spacing w:val="-7"/>
              </w:rPr>
              <w:t xml:space="preserve"> </w:t>
            </w:r>
            <w:r>
              <w:rPr>
                <w:rFonts w:ascii="Cambria" w:hAnsi="Cambria"/>
              </w:rPr>
              <w:t>unidades,</w:t>
            </w:r>
            <w:r>
              <w:rPr>
                <w:rFonts w:ascii="Cambria" w:hAnsi="Cambria"/>
                <w:spacing w:val="-7"/>
              </w:rPr>
              <w:t xml:space="preserve"> </w:t>
            </w:r>
            <w:r>
              <w:rPr>
                <w:rFonts w:ascii="Cambria" w:hAnsi="Cambria"/>
              </w:rPr>
              <w:t>indicado</w:t>
            </w:r>
            <w:r>
              <w:rPr>
                <w:rFonts w:ascii="Cambria" w:hAnsi="Cambria"/>
                <w:spacing w:val="-36"/>
              </w:rPr>
              <w:t xml:space="preserve"> </w:t>
            </w:r>
            <w:r>
              <w:rPr>
                <w:rFonts w:ascii="Cambria" w:hAnsi="Cambria"/>
              </w:rPr>
              <w:t>para exames clínicos relacionados à</w:t>
            </w:r>
            <w:r>
              <w:rPr>
                <w:rFonts w:ascii="Cambria" w:hAnsi="Cambria"/>
                <w:spacing w:val="1"/>
              </w:rPr>
              <w:t xml:space="preserve"> </w:t>
            </w:r>
            <w:r>
              <w:rPr>
                <w:rFonts w:ascii="Cambria" w:hAnsi="Cambria"/>
                <w:spacing w:val="-1"/>
              </w:rPr>
              <w:t xml:space="preserve">garganta. Sua apresentação </w:t>
            </w:r>
            <w:r>
              <w:rPr>
                <w:rFonts w:ascii="Cambria" w:hAnsi="Cambria"/>
              </w:rPr>
              <w:t>garante</w:t>
            </w:r>
            <w:r>
              <w:rPr>
                <w:rFonts w:ascii="Cambria" w:hAnsi="Cambria"/>
                <w:spacing w:val="1"/>
              </w:rPr>
              <w:t xml:space="preserve"> </w:t>
            </w:r>
            <w:r>
              <w:rPr>
                <w:rFonts w:ascii="Cambria" w:hAnsi="Cambria"/>
              </w:rPr>
              <w:t>maior segurança</w:t>
            </w:r>
            <w:r>
              <w:rPr>
                <w:rFonts w:ascii="Cambria" w:hAnsi="Cambria"/>
                <w:spacing w:val="-16"/>
              </w:rPr>
              <w:t xml:space="preserve"> </w:t>
            </w:r>
            <w:r>
              <w:rPr>
                <w:rFonts w:ascii="Cambria" w:hAnsi="Cambria"/>
              </w:rPr>
              <w:t>ao usuário.</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5745C1D">
            <w:pPr>
              <w:widowControl w:val="0"/>
              <w:suppressAutoHyphens/>
              <w:spacing w:after="288" w:afterLines="120" w:line="276" w:lineRule="auto"/>
              <w:ind w:left="-108" w:right="-108"/>
              <w:jc w:val="center"/>
              <w:rPr>
                <w:rFonts w:ascii="Cambria" w:hAnsi="Cambria"/>
              </w:rPr>
            </w:pPr>
            <w:r>
              <w:rPr>
                <w:rFonts w:ascii="Cambria" w:hAnsi="Cambria"/>
              </w:rPr>
              <w:t>Pct</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BFE7C35">
            <w:pPr>
              <w:widowControl w:val="0"/>
              <w:suppressAutoHyphens/>
              <w:spacing w:after="288" w:afterLines="120" w:line="276" w:lineRule="auto"/>
              <w:jc w:val="center"/>
              <w:rPr>
                <w:rFonts w:ascii="Cambria" w:hAnsi="Cambria"/>
              </w:rPr>
            </w:pPr>
            <w:r>
              <w:rPr>
                <w:rFonts w:ascii="Cambria" w:hAnsi="Cambria"/>
              </w:rPr>
              <w:t>300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CEFD585">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R$ 9,15</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7DF281A">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R$ 2.745,00</w:t>
            </w:r>
          </w:p>
        </w:tc>
      </w:tr>
      <w:tr w14:paraId="54760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4342C20">
            <w:pPr>
              <w:widowControl w:val="0"/>
              <w:suppressAutoHyphens/>
              <w:spacing w:after="288" w:afterLines="120" w:line="276" w:lineRule="auto"/>
              <w:ind w:left="-108" w:right="-108"/>
              <w:jc w:val="center"/>
              <w:rPr>
                <w:rFonts w:ascii="Cambria" w:hAnsi="Cambria"/>
              </w:rPr>
            </w:pPr>
            <w:r>
              <w:rPr>
                <w:rFonts w:ascii="Cambria" w:hAnsi="Cambria"/>
              </w:rPr>
              <w:t>88</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08DB983">
            <w:pPr>
              <w:widowControl w:val="0"/>
              <w:suppressAutoHyphens/>
              <w:spacing w:after="288" w:afterLines="120" w:line="276" w:lineRule="auto"/>
              <w:jc w:val="both"/>
              <w:rPr>
                <w:rFonts w:ascii="Cambria" w:hAnsi="Cambria"/>
              </w:rPr>
            </w:pPr>
            <w:r>
              <w:rPr>
                <w:rFonts w:ascii="Cambria" w:hAnsi="Cambria"/>
              </w:rPr>
              <w:t>Papel</w:t>
            </w:r>
            <w:r>
              <w:rPr>
                <w:rFonts w:ascii="Cambria" w:hAnsi="Cambria"/>
                <w:spacing w:val="-8"/>
              </w:rPr>
              <w:t xml:space="preserve"> </w:t>
            </w:r>
            <w:r>
              <w:rPr>
                <w:rFonts w:ascii="Cambria" w:hAnsi="Cambria"/>
              </w:rPr>
              <w:t>grau</w:t>
            </w:r>
            <w:r>
              <w:rPr>
                <w:rFonts w:ascii="Cambria" w:hAnsi="Cambria"/>
                <w:spacing w:val="-1"/>
              </w:rPr>
              <w:t xml:space="preserve"> </w:t>
            </w:r>
            <w:r>
              <w:rPr>
                <w:rFonts w:ascii="Cambria" w:hAnsi="Cambria"/>
              </w:rPr>
              <w:t>cirúrgico</w:t>
            </w:r>
            <w:r>
              <w:rPr>
                <w:rFonts w:ascii="Cambria" w:hAnsi="Cambria"/>
                <w:spacing w:val="-2"/>
              </w:rPr>
              <w:t xml:space="preserve"> </w:t>
            </w:r>
            <w:r>
              <w:rPr>
                <w:rFonts w:ascii="Cambria" w:hAnsi="Cambria"/>
              </w:rPr>
              <w:t>15</w:t>
            </w:r>
            <w:r>
              <w:rPr>
                <w:rFonts w:ascii="Cambria" w:hAnsi="Cambria"/>
                <w:spacing w:val="-2"/>
              </w:rPr>
              <w:t xml:space="preserve"> </w:t>
            </w:r>
            <w:r>
              <w:rPr>
                <w:rFonts w:ascii="Cambria" w:hAnsi="Cambria"/>
              </w:rPr>
              <w:t>cm</w:t>
            </w:r>
            <w:r>
              <w:rPr>
                <w:rFonts w:ascii="Cambria" w:hAnsi="Cambria"/>
                <w:spacing w:val="-4"/>
              </w:rPr>
              <w:t xml:space="preserve"> </w:t>
            </w:r>
            <w:r>
              <w:rPr>
                <w:rFonts w:ascii="Cambria" w:hAnsi="Cambria"/>
              </w:rPr>
              <w:t>tipo</w:t>
            </w:r>
            <w:r>
              <w:rPr>
                <w:rFonts w:ascii="Cambria" w:hAnsi="Cambria"/>
                <w:spacing w:val="-2"/>
              </w:rPr>
              <w:t xml:space="preserve"> </w:t>
            </w:r>
            <w:r>
              <w:rPr>
                <w:rFonts w:ascii="Cambria" w:hAnsi="Cambria"/>
              </w:rPr>
              <w:t>envelope</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812DA64">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650F549">
            <w:pPr>
              <w:widowControl w:val="0"/>
              <w:suppressAutoHyphens/>
              <w:spacing w:after="288" w:afterLines="120" w:line="276" w:lineRule="auto"/>
              <w:jc w:val="center"/>
              <w:rPr>
                <w:rFonts w:ascii="Cambria" w:hAnsi="Cambria"/>
              </w:rPr>
            </w:pPr>
            <w:r>
              <w:rPr>
                <w:rFonts w:ascii="Cambria" w:hAnsi="Cambria"/>
              </w:rPr>
              <w:t>50,0000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ADECBE1">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R$ 0,87</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0407930">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R$ 43,50</w:t>
            </w:r>
          </w:p>
        </w:tc>
      </w:tr>
      <w:tr w14:paraId="50662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A2836F8">
            <w:pPr>
              <w:widowControl w:val="0"/>
              <w:suppressAutoHyphens/>
              <w:spacing w:after="288" w:afterLines="120" w:line="276" w:lineRule="auto"/>
              <w:ind w:left="-108" w:right="-108"/>
              <w:jc w:val="center"/>
              <w:rPr>
                <w:rFonts w:ascii="Cambria" w:hAnsi="Cambria"/>
              </w:rPr>
            </w:pPr>
            <w:r>
              <w:rPr>
                <w:rFonts w:ascii="Cambria" w:hAnsi="Cambria"/>
              </w:rPr>
              <w:t>89</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3D1A1DD">
            <w:pPr>
              <w:widowControl w:val="0"/>
              <w:suppressAutoHyphens/>
              <w:spacing w:after="288" w:afterLines="120" w:line="276" w:lineRule="auto"/>
              <w:jc w:val="both"/>
              <w:rPr>
                <w:rFonts w:ascii="Cambria" w:hAnsi="Cambria"/>
              </w:rPr>
            </w:pPr>
            <w:r>
              <w:rPr>
                <w:rFonts w:ascii="Cambria" w:hAnsi="Cambria"/>
              </w:rPr>
              <w:t>Seringa 3ml com agulha 25x7 (corpo</w:t>
            </w:r>
            <w:r>
              <w:rPr>
                <w:rFonts w:ascii="Cambria" w:hAnsi="Cambria"/>
                <w:spacing w:val="1"/>
              </w:rPr>
              <w:t xml:space="preserve"> </w:t>
            </w:r>
            <w:r>
              <w:rPr>
                <w:rFonts w:ascii="Cambria" w:hAnsi="Cambria"/>
              </w:rPr>
              <w:t>transparente, cilindro com anel de</w:t>
            </w:r>
            <w:r>
              <w:rPr>
                <w:rFonts w:ascii="Cambria" w:hAnsi="Cambria"/>
                <w:spacing w:val="1"/>
              </w:rPr>
              <w:t xml:space="preserve"> </w:t>
            </w:r>
            <w:r>
              <w:rPr>
                <w:rFonts w:ascii="Cambria" w:hAnsi="Cambria"/>
              </w:rPr>
              <w:t>retenção. Siliconada, embaladas</w:t>
            </w:r>
            <w:r>
              <w:rPr>
                <w:rFonts w:ascii="Cambria" w:hAnsi="Cambria"/>
                <w:spacing w:val="1"/>
              </w:rPr>
              <w:t xml:space="preserve"> </w:t>
            </w:r>
            <w:r>
              <w:rPr>
                <w:rFonts w:ascii="Cambria" w:hAnsi="Cambria"/>
              </w:rPr>
              <w:t>individualmente em blister de filme</w:t>
            </w:r>
            <w:r>
              <w:rPr>
                <w:rFonts w:ascii="Cambria" w:hAnsi="Cambria"/>
                <w:spacing w:val="1"/>
              </w:rPr>
              <w:t xml:space="preserve"> </w:t>
            </w:r>
            <w:r>
              <w:rPr>
                <w:rFonts w:ascii="Cambria" w:hAnsi="Cambria"/>
              </w:rPr>
              <w:t>termoplástico + papel grau cirúrgico,</w:t>
            </w:r>
            <w:r>
              <w:rPr>
                <w:rFonts w:ascii="Cambria" w:hAnsi="Cambria"/>
                <w:spacing w:val="1"/>
              </w:rPr>
              <w:t xml:space="preserve"> </w:t>
            </w:r>
            <w:r>
              <w:rPr>
                <w:rFonts w:ascii="Cambria" w:hAnsi="Cambria"/>
              </w:rPr>
              <w:t>seladas</w:t>
            </w:r>
            <w:r>
              <w:rPr>
                <w:rFonts w:ascii="Cambria" w:hAnsi="Cambria"/>
                <w:spacing w:val="-8"/>
              </w:rPr>
              <w:t xml:space="preserve"> </w:t>
            </w:r>
            <w:r>
              <w:rPr>
                <w:rFonts w:ascii="Cambria" w:hAnsi="Cambria"/>
              </w:rPr>
              <w:t>termicamente.).</w:t>
            </w:r>
            <w:r>
              <w:rPr>
                <w:rFonts w:ascii="Cambria" w:hAnsi="Cambria"/>
                <w:spacing w:val="-5"/>
              </w:rPr>
              <w:t xml:space="preserve"> </w:t>
            </w:r>
            <w:r>
              <w:rPr>
                <w:rFonts w:ascii="Cambria" w:hAnsi="Cambria"/>
              </w:rPr>
              <w:t>Com</w:t>
            </w:r>
            <w:r>
              <w:rPr>
                <w:rFonts w:ascii="Cambria" w:hAnsi="Cambria"/>
                <w:spacing w:val="-5"/>
              </w:rPr>
              <w:t xml:space="preserve"> </w:t>
            </w:r>
            <w:r>
              <w:rPr>
                <w:rFonts w:ascii="Cambria" w:hAnsi="Cambria"/>
              </w:rPr>
              <w:t>dispositivo</w:t>
            </w:r>
            <w:r>
              <w:rPr>
                <w:rFonts w:ascii="Cambria" w:hAnsi="Cambria"/>
                <w:spacing w:val="-36"/>
              </w:rPr>
              <w:t xml:space="preserve"> </w:t>
            </w:r>
            <w:r>
              <w:rPr>
                <w:rFonts w:ascii="Cambria" w:hAnsi="Cambria"/>
              </w:rPr>
              <w:t>de</w:t>
            </w:r>
            <w:r>
              <w:rPr>
                <w:rFonts w:ascii="Cambria" w:hAnsi="Cambria"/>
                <w:spacing w:val="-2"/>
              </w:rPr>
              <w:t xml:space="preserve"> </w:t>
            </w:r>
            <w:r>
              <w:rPr>
                <w:rFonts w:ascii="Cambria" w:hAnsi="Cambria"/>
              </w:rPr>
              <w:t>segurança</w:t>
            </w:r>
            <w:r>
              <w:rPr>
                <w:rFonts w:ascii="Cambria" w:hAnsi="Cambria"/>
                <w:spacing w:val="-9"/>
              </w:rPr>
              <w:t xml:space="preserve"> </w:t>
            </w:r>
            <w:r>
              <w:rPr>
                <w:rFonts w:ascii="Cambria" w:hAnsi="Cambria"/>
              </w:rPr>
              <w:t>em</w:t>
            </w:r>
            <w:r>
              <w:rPr>
                <w:rFonts w:ascii="Cambria" w:hAnsi="Cambria"/>
                <w:spacing w:val="-9"/>
              </w:rPr>
              <w:t xml:space="preserve"> </w:t>
            </w:r>
            <w:r>
              <w:rPr>
                <w:rFonts w:ascii="Cambria" w:hAnsi="Cambria"/>
              </w:rPr>
              <w:t>atendimento</w:t>
            </w:r>
            <w:r>
              <w:rPr>
                <w:rFonts w:ascii="Cambria" w:hAnsi="Cambria"/>
                <w:spacing w:val="-1"/>
              </w:rPr>
              <w:t xml:space="preserve"> </w:t>
            </w:r>
            <w:r>
              <w:rPr>
                <w:rFonts w:ascii="Cambria" w:hAnsi="Cambria"/>
              </w:rPr>
              <w:t>à</w:t>
            </w:r>
            <w:r>
              <w:rPr>
                <w:rFonts w:ascii="Cambria" w:hAnsi="Cambria"/>
                <w:spacing w:val="-1"/>
              </w:rPr>
              <w:t xml:space="preserve"> </w:t>
            </w:r>
            <w:r>
              <w:rPr>
                <w:rFonts w:ascii="Cambria" w:hAnsi="Cambria"/>
              </w:rPr>
              <w:t>nr32.</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C3B3FA1">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804BAA3">
            <w:pPr>
              <w:widowControl w:val="0"/>
              <w:suppressAutoHyphens/>
              <w:spacing w:after="288" w:afterLines="120" w:line="276" w:lineRule="auto"/>
              <w:jc w:val="center"/>
              <w:rPr>
                <w:rFonts w:ascii="Cambria" w:hAnsi="Cambria"/>
              </w:rPr>
            </w:pPr>
            <w:r>
              <w:rPr>
                <w:rFonts w:ascii="Cambria" w:hAnsi="Cambria"/>
              </w:rPr>
              <w:t>60.000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878CD10">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R$ 0,39</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D5FD474">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R$ 23.400,00</w:t>
            </w:r>
          </w:p>
        </w:tc>
      </w:tr>
      <w:tr w14:paraId="087FC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CC8C582">
            <w:pPr>
              <w:widowControl w:val="0"/>
              <w:suppressAutoHyphens/>
              <w:spacing w:after="288" w:afterLines="120" w:line="276" w:lineRule="auto"/>
              <w:ind w:left="-108" w:right="-108"/>
              <w:jc w:val="center"/>
              <w:rPr>
                <w:rFonts w:ascii="Cambria" w:hAnsi="Cambria"/>
              </w:rPr>
            </w:pPr>
            <w:r>
              <w:rPr>
                <w:rFonts w:ascii="Cambria" w:hAnsi="Cambria"/>
              </w:rPr>
              <w:t>90</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D4DD667">
            <w:pPr>
              <w:widowControl w:val="0"/>
              <w:suppressAutoHyphens/>
              <w:spacing w:after="288" w:afterLines="120" w:line="276" w:lineRule="auto"/>
              <w:jc w:val="both"/>
              <w:rPr>
                <w:rFonts w:ascii="Cambria" w:hAnsi="Cambria"/>
              </w:rPr>
            </w:pPr>
            <w:r>
              <w:rPr>
                <w:rFonts w:ascii="Cambria" w:hAnsi="Cambria"/>
              </w:rPr>
              <w:t>Escova plástica com dupla face, sendo</w:t>
            </w:r>
            <w:r>
              <w:rPr>
                <w:rFonts w:ascii="Cambria" w:hAnsi="Cambria"/>
                <w:spacing w:val="1"/>
              </w:rPr>
              <w:t xml:space="preserve"> </w:t>
            </w:r>
            <w:r>
              <w:rPr>
                <w:rFonts w:ascii="Cambria" w:hAnsi="Cambria"/>
                <w:spacing w:val="-1"/>
              </w:rPr>
              <w:t>constituída</w:t>
            </w:r>
            <w:r>
              <w:rPr>
                <w:rFonts w:ascii="Cambria" w:hAnsi="Cambria"/>
                <w:spacing w:val="-9"/>
              </w:rPr>
              <w:t xml:space="preserve"> </w:t>
            </w:r>
            <w:r>
              <w:rPr>
                <w:rFonts w:ascii="Cambria" w:hAnsi="Cambria"/>
                <w:spacing w:val="-1"/>
              </w:rPr>
              <w:t>de uma</w:t>
            </w:r>
            <w:r>
              <w:rPr>
                <w:rFonts w:ascii="Cambria" w:hAnsi="Cambria"/>
                <w:spacing w:val="-8"/>
              </w:rPr>
              <w:t xml:space="preserve"> </w:t>
            </w:r>
            <w:r>
              <w:rPr>
                <w:rFonts w:ascii="Cambria" w:hAnsi="Cambria"/>
                <w:spacing w:val="-1"/>
              </w:rPr>
              <w:t>escova</w:t>
            </w:r>
            <w:r>
              <w:rPr>
                <w:rFonts w:ascii="Cambria" w:hAnsi="Cambria"/>
                <w:spacing w:val="-9"/>
              </w:rPr>
              <w:t xml:space="preserve"> </w:t>
            </w:r>
            <w:r>
              <w:rPr>
                <w:rFonts w:ascii="Cambria" w:hAnsi="Cambria"/>
                <w:spacing w:val="-1"/>
              </w:rPr>
              <w:t>de</w:t>
            </w:r>
            <w:r>
              <w:rPr>
                <w:rFonts w:ascii="Cambria" w:hAnsi="Cambria"/>
              </w:rPr>
              <w:t xml:space="preserve"> polietileno</w:t>
            </w:r>
            <w:r>
              <w:rPr>
                <w:rFonts w:ascii="Cambria" w:hAnsi="Cambria"/>
                <w:spacing w:val="-36"/>
              </w:rPr>
              <w:t xml:space="preserve"> </w:t>
            </w:r>
            <w:r>
              <w:rPr>
                <w:rFonts w:ascii="Cambria" w:hAnsi="Cambria"/>
                <w:spacing w:val="-1"/>
              </w:rPr>
              <w:t xml:space="preserve">acoplada a uma </w:t>
            </w:r>
            <w:r>
              <w:rPr>
                <w:rFonts w:ascii="Cambria" w:hAnsi="Cambria"/>
              </w:rPr>
              <w:t>esponja de poliuretano</w:t>
            </w:r>
            <w:r>
              <w:rPr>
                <w:rFonts w:ascii="Cambria" w:hAnsi="Cambria"/>
                <w:spacing w:val="1"/>
              </w:rPr>
              <w:t xml:space="preserve"> </w:t>
            </w:r>
            <w:r>
              <w:rPr>
                <w:rFonts w:ascii="Cambria" w:hAnsi="Cambria"/>
              </w:rPr>
              <w:t>contendo clorexidina degermante para</w:t>
            </w:r>
            <w:r>
              <w:rPr>
                <w:rFonts w:ascii="Cambria" w:hAnsi="Cambria"/>
                <w:spacing w:val="1"/>
              </w:rPr>
              <w:t xml:space="preserve"> </w:t>
            </w:r>
            <w:r>
              <w:rPr>
                <w:rFonts w:ascii="Cambria" w:hAnsi="Cambria"/>
              </w:rPr>
              <w:t>degermação pré-operatória. Embalagem</w:t>
            </w:r>
            <w:r>
              <w:rPr>
                <w:rFonts w:ascii="Cambria" w:hAnsi="Cambria"/>
                <w:spacing w:val="1"/>
              </w:rPr>
              <w:t xml:space="preserve"> </w:t>
            </w:r>
            <w:r>
              <w:rPr>
                <w:rFonts w:ascii="Cambria" w:hAnsi="Cambria"/>
              </w:rPr>
              <w:t>individual trazendo externamente os</w:t>
            </w:r>
            <w:r>
              <w:rPr>
                <w:rFonts w:ascii="Cambria" w:hAnsi="Cambria"/>
                <w:spacing w:val="1"/>
              </w:rPr>
              <w:t xml:space="preserve"> </w:t>
            </w:r>
            <w:r>
              <w:rPr>
                <w:rFonts w:ascii="Cambria" w:hAnsi="Cambria"/>
              </w:rPr>
              <w:t>dados de identificação, procedência,</w:t>
            </w:r>
            <w:r>
              <w:rPr>
                <w:rFonts w:ascii="Cambria" w:hAnsi="Cambria"/>
                <w:spacing w:val="1"/>
              </w:rPr>
              <w:t xml:space="preserve"> </w:t>
            </w:r>
            <w:r>
              <w:rPr>
                <w:rFonts w:ascii="Cambria" w:hAnsi="Cambria"/>
                <w:spacing w:val="-1"/>
              </w:rPr>
              <w:t>número</w:t>
            </w:r>
            <w:r>
              <w:rPr>
                <w:rFonts w:ascii="Cambria" w:hAnsi="Cambria"/>
                <w:spacing w:val="-3"/>
              </w:rPr>
              <w:t xml:space="preserve"> </w:t>
            </w:r>
            <w:r>
              <w:rPr>
                <w:rFonts w:ascii="Cambria" w:hAnsi="Cambria"/>
                <w:spacing w:val="-1"/>
              </w:rPr>
              <w:t>de</w:t>
            </w:r>
            <w:r>
              <w:rPr>
                <w:rFonts w:ascii="Cambria" w:hAnsi="Cambria"/>
                <w:spacing w:val="-2"/>
              </w:rPr>
              <w:t xml:space="preserve"> </w:t>
            </w:r>
            <w:r>
              <w:rPr>
                <w:rFonts w:ascii="Cambria" w:hAnsi="Cambria"/>
                <w:spacing w:val="-1"/>
              </w:rPr>
              <w:t>lote,</w:t>
            </w:r>
            <w:r>
              <w:rPr>
                <w:rFonts w:ascii="Cambria" w:hAnsi="Cambria"/>
                <w:spacing w:val="-2"/>
              </w:rPr>
              <w:t xml:space="preserve"> </w:t>
            </w:r>
            <w:r>
              <w:rPr>
                <w:rFonts w:ascii="Cambria" w:hAnsi="Cambria"/>
              </w:rPr>
              <w:t>data</w:t>
            </w:r>
            <w:r>
              <w:rPr>
                <w:rFonts w:ascii="Cambria" w:hAnsi="Cambria"/>
                <w:spacing w:val="-9"/>
              </w:rPr>
              <w:t xml:space="preserve"> </w:t>
            </w:r>
            <w:r>
              <w:rPr>
                <w:rFonts w:ascii="Cambria" w:hAnsi="Cambria"/>
              </w:rPr>
              <w:t>de</w:t>
            </w:r>
            <w:r>
              <w:rPr>
                <w:rFonts w:ascii="Cambria" w:hAnsi="Cambria"/>
                <w:spacing w:val="-2"/>
              </w:rPr>
              <w:t xml:space="preserve"> </w:t>
            </w:r>
            <w:r>
              <w:rPr>
                <w:rFonts w:ascii="Cambria" w:hAnsi="Cambria"/>
              </w:rPr>
              <w:t>fabricação,</w:t>
            </w:r>
            <w:r>
              <w:rPr>
                <w:rFonts w:ascii="Cambria" w:hAnsi="Cambria"/>
                <w:spacing w:val="-3"/>
              </w:rPr>
              <w:t xml:space="preserve"> </w:t>
            </w:r>
            <w:r>
              <w:rPr>
                <w:rFonts w:ascii="Cambria" w:hAnsi="Cambria"/>
              </w:rPr>
              <w:t>pra</w:t>
            </w:r>
            <w:r>
              <w:rPr>
                <w:rFonts w:ascii="Cambria" w:hAnsi="Cambria"/>
                <w:spacing w:val="-1"/>
              </w:rPr>
              <w:t xml:space="preserve">zo de validade. Caixa contendo </w:t>
            </w:r>
            <w:r>
              <w:rPr>
                <w:rFonts w:ascii="Cambria" w:hAnsi="Cambria"/>
              </w:rPr>
              <w:t>80</w:t>
            </w:r>
            <w:r>
              <w:rPr>
                <w:rFonts w:ascii="Cambria" w:hAnsi="Cambria"/>
                <w:spacing w:val="-36"/>
              </w:rPr>
              <w:t xml:space="preserve"> </w:t>
            </w:r>
            <w:r>
              <w:rPr>
                <w:rFonts w:ascii="Cambria" w:hAnsi="Cambria"/>
              </w:rPr>
              <w:t>unidades.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E2726E1">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F0B4A14">
            <w:pPr>
              <w:widowControl w:val="0"/>
              <w:suppressAutoHyphens/>
              <w:spacing w:after="288" w:afterLines="120" w:line="276" w:lineRule="auto"/>
              <w:jc w:val="center"/>
              <w:rPr>
                <w:rFonts w:ascii="Cambria" w:hAnsi="Cambria"/>
              </w:rPr>
            </w:pPr>
            <w:r>
              <w:rPr>
                <w:rFonts w:ascii="Cambria" w:hAnsi="Cambria"/>
              </w:rPr>
              <w:t>100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F25878E">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R$ 6,32</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DCE2576">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R$ 632,00</w:t>
            </w:r>
          </w:p>
        </w:tc>
      </w:tr>
      <w:tr w14:paraId="71323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6A99E82">
            <w:pPr>
              <w:widowControl w:val="0"/>
              <w:suppressAutoHyphens/>
              <w:spacing w:after="288" w:afterLines="120" w:line="276" w:lineRule="auto"/>
              <w:ind w:left="-108" w:right="-108"/>
              <w:jc w:val="center"/>
              <w:rPr>
                <w:rFonts w:ascii="Cambria" w:hAnsi="Cambria"/>
              </w:rPr>
            </w:pPr>
            <w:r>
              <w:rPr>
                <w:rFonts w:ascii="Cambria" w:hAnsi="Cambria"/>
              </w:rPr>
              <w:t>91</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432A7BC">
            <w:pPr>
              <w:widowControl w:val="0"/>
              <w:suppressAutoHyphens/>
              <w:spacing w:after="288" w:afterLines="120" w:line="276" w:lineRule="auto"/>
              <w:jc w:val="both"/>
              <w:rPr>
                <w:rFonts w:ascii="Cambria" w:hAnsi="Cambria"/>
              </w:rPr>
            </w:pPr>
            <w:r>
              <w:rPr>
                <w:rFonts w:ascii="Cambria" w:hAnsi="Cambria"/>
                <w:spacing w:val="-1"/>
              </w:rPr>
              <w:t>Sonda</w:t>
            </w:r>
            <w:r>
              <w:rPr>
                <w:rFonts w:ascii="Cambria" w:hAnsi="Cambria"/>
                <w:spacing w:val="-9"/>
              </w:rPr>
              <w:t xml:space="preserve"> </w:t>
            </w:r>
            <w:r>
              <w:rPr>
                <w:rFonts w:ascii="Cambria" w:hAnsi="Cambria"/>
                <w:spacing w:val="-1"/>
              </w:rPr>
              <w:t>nasogástrica</w:t>
            </w:r>
            <w:r>
              <w:rPr>
                <w:rFonts w:ascii="Cambria" w:hAnsi="Cambria"/>
                <w:spacing w:val="-8"/>
              </w:rPr>
              <w:t xml:space="preserve"> </w:t>
            </w:r>
            <w:r>
              <w:rPr>
                <w:rFonts w:ascii="Cambria" w:hAnsi="Cambria"/>
                <w:spacing w:val="-1"/>
              </w:rPr>
              <w:t>curta</w:t>
            </w:r>
            <w:r>
              <w:rPr>
                <w:rFonts w:ascii="Cambria" w:hAnsi="Cambria"/>
                <w:spacing w:val="-9"/>
              </w:rPr>
              <w:t xml:space="preserve"> </w:t>
            </w:r>
            <w:r>
              <w:rPr>
                <w:rFonts w:ascii="Cambria" w:hAnsi="Cambria"/>
                <w:spacing w:val="-1"/>
              </w:rPr>
              <w:t>n°</w:t>
            </w:r>
            <w:r>
              <w:rPr>
                <w:rFonts w:ascii="Cambria" w:hAnsi="Cambria"/>
              </w:rPr>
              <w:t xml:space="preserve"> </w:t>
            </w:r>
            <w:r>
              <w:rPr>
                <w:rFonts w:ascii="Cambria" w:hAnsi="Cambria"/>
                <w:spacing w:val="-1"/>
              </w:rPr>
              <w:t xml:space="preserve">10 </w:t>
            </w:r>
            <w:r>
              <w:rPr>
                <w:rFonts w:ascii="Cambria" w:hAnsi="Cambria"/>
              </w:rPr>
              <w:t>-</w:t>
            </w:r>
            <w:r>
              <w:rPr>
                <w:rFonts w:ascii="Cambria" w:hAnsi="Cambria"/>
                <w:spacing w:val="-1"/>
              </w:rPr>
              <w:t xml:space="preserve"> </w:t>
            </w:r>
            <w:r>
              <w:rPr>
                <w:rFonts w:ascii="Cambria" w:hAnsi="Cambria"/>
              </w:rPr>
              <w:t>caixa</w:t>
            </w:r>
            <w:r>
              <w:rPr>
                <w:rFonts w:ascii="Cambria" w:hAnsi="Cambria"/>
                <w:spacing w:val="-35"/>
              </w:rPr>
              <w:t xml:space="preserve"> </w:t>
            </w:r>
            <w:r>
              <w:rPr>
                <w:rFonts w:ascii="Cambria" w:hAnsi="Cambria"/>
              </w:rPr>
              <w:t>com 10 unidades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659AE37">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97D426F">
            <w:pPr>
              <w:widowControl w:val="0"/>
              <w:suppressAutoHyphens/>
              <w:spacing w:after="288" w:afterLines="120" w:line="276" w:lineRule="auto"/>
              <w:jc w:val="center"/>
              <w:rPr>
                <w:rFonts w:ascii="Cambria" w:hAnsi="Cambria"/>
              </w:rPr>
            </w:pPr>
            <w:r>
              <w:rPr>
                <w:rFonts w:ascii="Cambria" w:hAnsi="Cambria"/>
              </w:rPr>
              <w:t>200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56A569F">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R$ 9,31</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B89D15F">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R$ 1.862,00</w:t>
            </w:r>
          </w:p>
        </w:tc>
      </w:tr>
      <w:tr w14:paraId="24B65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7D6194C">
            <w:pPr>
              <w:widowControl w:val="0"/>
              <w:suppressAutoHyphens/>
              <w:spacing w:after="288" w:afterLines="120" w:line="276" w:lineRule="auto"/>
              <w:ind w:left="-108" w:right="-108"/>
              <w:jc w:val="center"/>
              <w:rPr>
                <w:rFonts w:ascii="Cambria" w:hAnsi="Cambria"/>
              </w:rPr>
            </w:pPr>
            <w:r>
              <w:rPr>
                <w:rFonts w:ascii="Cambria" w:hAnsi="Cambria"/>
              </w:rPr>
              <w:t>92</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B951B01">
            <w:pPr>
              <w:widowControl w:val="0"/>
              <w:suppressAutoHyphens/>
              <w:spacing w:after="288" w:afterLines="120" w:line="276" w:lineRule="auto"/>
              <w:jc w:val="both"/>
              <w:rPr>
                <w:rFonts w:ascii="Cambria" w:hAnsi="Cambria"/>
                <w:spacing w:val="-1"/>
              </w:rPr>
            </w:pPr>
            <w:r>
              <w:rPr>
                <w:rFonts w:ascii="Cambria" w:hAnsi="Cambria"/>
                <w:spacing w:val="-1"/>
              </w:rPr>
              <w:t>Sonda</w:t>
            </w:r>
            <w:r>
              <w:rPr>
                <w:rFonts w:ascii="Cambria" w:hAnsi="Cambria"/>
                <w:spacing w:val="-9"/>
              </w:rPr>
              <w:t xml:space="preserve"> </w:t>
            </w:r>
            <w:r>
              <w:rPr>
                <w:rFonts w:ascii="Cambria" w:hAnsi="Cambria"/>
                <w:spacing w:val="-1"/>
              </w:rPr>
              <w:t>nasogástrica</w:t>
            </w:r>
            <w:r>
              <w:rPr>
                <w:rFonts w:ascii="Cambria" w:hAnsi="Cambria"/>
                <w:spacing w:val="-8"/>
              </w:rPr>
              <w:t xml:space="preserve"> </w:t>
            </w:r>
            <w:r>
              <w:rPr>
                <w:rFonts w:ascii="Cambria" w:hAnsi="Cambria"/>
                <w:spacing w:val="-1"/>
              </w:rPr>
              <w:t>curta</w:t>
            </w:r>
            <w:r>
              <w:rPr>
                <w:rFonts w:ascii="Cambria" w:hAnsi="Cambria"/>
                <w:spacing w:val="-9"/>
              </w:rPr>
              <w:t xml:space="preserve"> </w:t>
            </w:r>
            <w:r>
              <w:rPr>
                <w:rFonts w:ascii="Cambria" w:hAnsi="Cambria"/>
                <w:spacing w:val="-1"/>
              </w:rPr>
              <w:t>n°</w:t>
            </w:r>
            <w:r>
              <w:rPr>
                <w:rFonts w:ascii="Cambria" w:hAnsi="Cambria"/>
              </w:rPr>
              <w:t xml:space="preserve"> </w:t>
            </w:r>
            <w:r>
              <w:rPr>
                <w:rFonts w:ascii="Cambria" w:hAnsi="Cambria"/>
                <w:spacing w:val="-1"/>
              </w:rPr>
              <w:t xml:space="preserve">12 </w:t>
            </w:r>
            <w:r>
              <w:rPr>
                <w:rFonts w:ascii="Cambria" w:hAnsi="Cambria"/>
              </w:rPr>
              <w:t>-</w:t>
            </w:r>
            <w:r>
              <w:rPr>
                <w:rFonts w:ascii="Cambria" w:hAnsi="Cambria"/>
                <w:spacing w:val="-1"/>
              </w:rPr>
              <w:t xml:space="preserve"> </w:t>
            </w:r>
            <w:r>
              <w:rPr>
                <w:rFonts w:ascii="Cambria" w:hAnsi="Cambria"/>
              </w:rPr>
              <w:t>caixa</w:t>
            </w:r>
            <w:r>
              <w:rPr>
                <w:rFonts w:ascii="Cambria" w:hAnsi="Cambria"/>
                <w:spacing w:val="-35"/>
              </w:rPr>
              <w:t xml:space="preserve"> </w:t>
            </w:r>
            <w:r>
              <w:rPr>
                <w:rFonts w:ascii="Cambria" w:hAnsi="Cambria"/>
              </w:rPr>
              <w:t>com 10 unidades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239B726">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B341913">
            <w:pPr>
              <w:widowControl w:val="0"/>
              <w:suppressAutoHyphens/>
              <w:spacing w:after="288" w:afterLines="120" w:line="276" w:lineRule="auto"/>
              <w:jc w:val="center"/>
              <w:rPr>
                <w:rFonts w:ascii="Cambria" w:hAnsi="Cambria"/>
              </w:rPr>
            </w:pPr>
            <w:r>
              <w:rPr>
                <w:rFonts w:ascii="Cambria" w:hAnsi="Cambria"/>
              </w:rPr>
              <w:t>200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8B2D9CC">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R$ 9,10</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05A5688">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R$ 1.820,00</w:t>
            </w:r>
          </w:p>
        </w:tc>
      </w:tr>
      <w:tr w14:paraId="78D02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C36FD45">
            <w:pPr>
              <w:widowControl w:val="0"/>
              <w:suppressAutoHyphens/>
              <w:spacing w:after="288" w:afterLines="120" w:line="276" w:lineRule="auto"/>
              <w:ind w:left="-108" w:right="-108"/>
              <w:jc w:val="center"/>
              <w:rPr>
                <w:rFonts w:ascii="Cambria" w:hAnsi="Cambria"/>
              </w:rPr>
            </w:pPr>
            <w:r>
              <w:rPr>
                <w:rFonts w:ascii="Cambria" w:hAnsi="Cambria"/>
              </w:rPr>
              <w:t>93</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49F0322">
            <w:pPr>
              <w:widowControl w:val="0"/>
              <w:suppressAutoHyphens/>
              <w:spacing w:after="288" w:afterLines="120" w:line="276" w:lineRule="auto"/>
              <w:jc w:val="both"/>
              <w:rPr>
                <w:rFonts w:ascii="Cambria" w:hAnsi="Cambria"/>
                <w:spacing w:val="-1"/>
              </w:rPr>
            </w:pPr>
            <w:r>
              <w:rPr>
                <w:rFonts w:ascii="Cambria" w:hAnsi="Cambria"/>
                <w:spacing w:val="-1"/>
              </w:rPr>
              <w:t>Sonda</w:t>
            </w:r>
            <w:r>
              <w:rPr>
                <w:rFonts w:ascii="Cambria" w:hAnsi="Cambria"/>
                <w:spacing w:val="-9"/>
              </w:rPr>
              <w:t xml:space="preserve"> </w:t>
            </w:r>
            <w:r>
              <w:rPr>
                <w:rFonts w:ascii="Cambria" w:hAnsi="Cambria"/>
                <w:spacing w:val="-1"/>
              </w:rPr>
              <w:t>nasogástrica</w:t>
            </w:r>
            <w:r>
              <w:rPr>
                <w:rFonts w:ascii="Cambria" w:hAnsi="Cambria"/>
                <w:spacing w:val="-8"/>
              </w:rPr>
              <w:t xml:space="preserve"> </w:t>
            </w:r>
            <w:r>
              <w:rPr>
                <w:rFonts w:ascii="Cambria" w:hAnsi="Cambria"/>
                <w:spacing w:val="-1"/>
              </w:rPr>
              <w:t>curta</w:t>
            </w:r>
            <w:r>
              <w:rPr>
                <w:rFonts w:ascii="Cambria" w:hAnsi="Cambria"/>
                <w:spacing w:val="-9"/>
              </w:rPr>
              <w:t xml:space="preserve"> </w:t>
            </w:r>
            <w:r>
              <w:rPr>
                <w:rFonts w:ascii="Cambria" w:hAnsi="Cambria"/>
                <w:spacing w:val="-1"/>
              </w:rPr>
              <w:t>n°</w:t>
            </w:r>
            <w:r>
              <w:rPr>
                <w:rFonts w:ascii="Cambria" w:hAnsi="Cambria"/>
              </w:rPr>
              <w:t xml:space="preserve"> </w:t>
            </w:r>
            <w:r>
              <w:rPr>
                <w:rFonts w:ascii="Cambria" w:hAnsi="Cambria"/>
                <w:spacing w:val="-1"/>
              </w:rPr>
              <w:t xml:space="preserve">16 </w:t>
            </w:r>
            <w:r>
              <w:rPr>
                <w:rFonts w:ascii="Cambria" w:hAnsi="Cambria"/>
              </w:rPr>
              <w:t>-</w:t>
            </w:r>
            <w:r>
              <w:rPr>
                <w:rFonts w:ascii="Cambria" w:hAnsi="Cambria"/>
                <w:spacing w:val="-1"/>
              </w:rPr>
              <w:t xml:space="preserve"> </w:t>
            </w:r>
            <w:r>
              <w:rPr>
                <w:rFonts w:ascii="Cambria" w:hAnsi="Cambria"/>
              </w:rPr>
              <w:t>caixa</w:t>
            </w:r>
            <w:r>
              <w:rPr>
                <w:rFonts w:ascii="Cambria" w:hAnsi="Cambria"/>
                <w:spacing w:val="-35"/>
              </w:rPr>
              <w:t xml:space="preserve"> </w:t>
            </w:r>
            <w:r>
              <w:rPr>
                <w:rFonts w:ascii="Cambria" w:hAnsi="Cambria"/>
              </w:rPr>
              <w:t>com 10 unidades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347E945">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8CCE590">
            <w:pPr>
              <w:widowControl w:val="0"/>
              <w:suppressAutoHyphens/>
              <w:spacing w:after="288" w:afterLines="120" w:line="276" w:lineRule="auto"/>
              <w:jc w:val="center"/>
              <w:rPr>
                <w:rFonts w:ascii="Cambria" w:hAnsi="Cambria"/>
              </w:rPr>
            </w:pPr>
            <w:r>
              <w:rPr>
                <w:rFonts w:ascii="Cambria" w:hAnsi="Cambria"/>
              </w:rPr>
              <w:t>300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78FBBED">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R$ 10,62</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0293B2D">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R$ 3.186,00</w:t>
            </w:r>
          </w:p>
        </w:tc>
      </w:tr>
      <w:tr w14:paraId="2770D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6EF896A">
            <w:pPr>
              <w:widowControl w:val="0"/>
              <w:suppressAutoHyphens/>
              <w:spacing w:after="288" w:afterLines="120" w:line="276" w:lineRule="auto"/>
              <w:ind w:left="-108" w:right="-108"/>
              <w:jc w:val="center"/>
              <w:rPr>
                <w:rFonts w:ascii="Cambria" w:hAnsi="Cambria"/>
              </w:rPr>
            </w:pPr>
            <w:r>
              <w:rPr>
                <w:rFonts w:ascii="Cambria" w:hAnsi="Cambria"/>
              </w:rPr>
              <w:t>94</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E776AA5">
            <w:pPr>
              <w:widowControl w:val="0"/>
              <w:suppressAutoHyphens/>
              <w:spacing w:after="288" w:afterLines="120" w:line="276" w:lineRule="auto"/>
              <w:jc w:val="both"/>
              <w:rPr>
                <w:rFonts w:ascii="Cambria" w:hAnsi="Cambria"/>
                <w:spacing w:val="-1"/>
              </w:rPr>
            </w:pPr>
            <w:r>
              <w:rPr>
                <w:rFonts w:ascii="Cambria" w:hAnsi="Cambria"/>
                <w:spacing w:val="-1"/>
              </w:rPr>
              <w:t>Sonda</w:t>
            </w:r>
            <w:r>
              <w:rPr>
                <w:rFonts w:ascii="Cambria" w:hAnsi="Cambria"/>
                <w:spacing w:val="-9"/>
              </w:rPr>
              <w:t xml:space="preserve"> </w:t>
            </w:r>
            <w:r>
              <w:rPr>
                <w:rFonts w:ascii="Cambria" w:hAnsi="Cambria"/>
                <w:spacing w:val="-1"/>
              </w:rPr>
              <w:t>nasogástrica</w:t>
            </w:r>
            <w:r>
              <w:rPr>
                <w:rFonts w:ascii="Cambria" w:hAnsi="Cambria"/>
                <w:spacing w:val="-8"/>
              </w:rPr>
              <w:t xml:space="preserve"> </w:t>
            </w:r>
            <w:r>
              <w:rPr>
                <w:rFonts w:ascii="Cambria" w:hAnsi="Cambria"/>
                <w:spacing w:val="-1"/>
              </w:rPr>
              <w:t>curta</w:t>
            </w:r>
            <w:r>
              <w:rPr>
                <w:rFonts w:ascii="Cambria" w:hAnsi="Cambria"/>
                <w:spacing w:val="-9"/>
              </w:rPr>
              <w:t xml:space="preserve"> </w:t>
            </w:r>
            <w:r>
              <w:rPr>
                <w:rFonts w:ascii="Cambria" w:hAnsi="Cambria"/>
                <w:spacing w:val="-1"/>
              </w:rPr>
              <w:t>n°</w:t>
            </w:r>
            <w:r>
              <w:rPr>
                <w:rFonts w:ascii="Cambria" w:hAnsi="Cambria"/>
              </w:rPr>
              <w:t xml:space="preserve"> </w:t>
            </w:r>
            <w:r>
              <w:rPr>
                <w:rFonts w:ascii="Cambria" w:hAnsi="Cambria"/>
                <w:spacing w:val="-1"/>
              </w:rPr>
              <w:t xml:space="preserve">18 </w:t>
            </w:r>
            <w:r>
              <w:rPr>
                <w:rFonts w:ascii="Cambria" w:hAnsi="Cambria"/>
              </w:rPr>
              <w:t>-</w:t>
            </w:r>
            <w:r>
              <w:rPr>
                <w:rFonts w:ascii="Cambria" w:hAnsi="Cambria"/>
                <w:spacing w:val="-1"/>
              </w:rPr>
              <w:t xml:space="preserve"> </w:t>
            </w:r>
            <w:r>
              <w:rPr>
                <w:rFonts w:ascii="Cambria" w:hAnsi="Cambria"/>
              </w:rPr>
              <w:t>caixa</w:t>
            </w:r>
            <w:r>
              <w:rPr>
                <w:rFonts w:ascii="Cambria" w:hAnsi="Cambria"/>
                <w:spacing w:val="-35"/>
              </w:rPr>
              <w:t xml:space="preserve"> </w:t>
            </w:r>
            <w:r>
              <w:rPr>
                <w:rFonts w:ascii="Cambria" w:hAnsi="Cambria"/>
              </w:rPr>
              <w:t>com 10 unidades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6430C30">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5377BE2">
            <w:pPr>
              <w:widowControl w:val="0"/>
              <w:suppressAutoHyphens/>
              <w:spacing w:after="288" w:afterLines="120" w:line="276" w:lineRule="auto"/>
              <w:jc w:val="center"/>
              <w:rPr>
                <w:rFonts w:ascii="Cambria" w:hAnsi="Cambria"/>
              </w:rPr>
            </w:pPr>
            <w:r>
              <w:rPr>
                <w:rFonts w:ascii="Cambria" w:hAnsi="Cambria"/>
              </w:rPr>
              <w:t>400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C985CE7">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R$ 11,87</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C30CE8D">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R$ 4.748,00</w:t>
            </w:r>
          </w:p>
        </w:tc>
      </w:tr>
      <w:tr w14:paraId="6ED86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9F4C57A">
            <w:pPr>
              <w:widowControl w:val="0"/>
              <w:suppressAutoHyphens/>
              <w:spacing w:after="288" w:afterLines="120" w:line="276" w:lineRule="auto"/>
              <w:ind w:left="-108" w:right="-108"/>
              <w:jc w:val="center"/>
              <w:rPr>
                <w:rFonts w:ascii="Cambria" w:hAnsi="Cambria"/>
              </w:rPr>
            </w:pPr>
            <w:r>
              <w:rPr>
                <w:rFonts w:ascii="Cambria" w:hAnsi="Cambria"/>
              </w:rPr>
              <w:t>95</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E489F3B">
            <w:pPr>
              <w:widowControl w:val="0"/>
              <w:suppressAutoHyphens/>
              <w:spacing w:after="288" w:afterLines="120" w:line="276" w:lineRule="auto"/>
              <w:jc w:val="both"/>
              <w:rPr>
                <w:rFonts w:ascii="Cambria" w:hAnsi="Cambria"/>
                <w:spacing w:val="-1"/>
              </w:rPr>
            </w:pPr>
            <w:r>
              <w:rPr>
                <w:rFonts w:ascii="Cambria" w:hAnsi="Cambria"/>
                <w:spacing w:val="-1"/>
              </w:rPr>
              <w:t>Sonda</w:t>
            </w:r>
            <w:r>
              <w:rPr>
                <w:rFonts w:ascii="Cambria" w:hAnsi="Cambria"/>
                <w:spacing w:val="-9"/>
              </w:rPr>
              <w:t xml:space="preserve"> </w:t>
            </w:r>
            <w:r>
              <w:rPr>
                <w:rFonts w:ascii="Cambria" w:hAnsi="Cambria"/>
                <w:spacing w:val="-1"/>
              </w:rPr>
              <w:t>nasogástrica</w:t>
            </w:r>
            <w:r>
              <w:rPr>
                <w:rFonts w:ascii="Cambria" w:hAnsi="Cambria"/>
                <w:spacing w:val="-8"/>
              </w:rPr>
              <w:t xml:space="preserve"> </w:t>
            </w:r>
            <w:r>
              <w:rPr>
                <w:rFonts w:ascii="Cambria" w:hAnsi="Cambria"/>
                <w:spacing w:val="-1"/>
              </w:rPr>
              <w:t>curta</w:t>
            </w:r>
            <w:r>
              <w:rPr>
                <w:rFonts w:ascii="Cambria" w:hAnsi="Cambria"/>
                <w:spacing w:val="-9"/>
              </w:rPr>
              <w:t xml:space="preserve"> </w:t>
            </w:r>
            <w:r>
              <w:rPr>
                <w:rFonts w:ascii="Cambria" w:hAnsi="Cambria"/>
                <w:spacing w:val="-1"/>
              </w:rPr>
              <w:t>nº 14</w:t>
            </w:r>
            <w:r>
              <w:rPr>
                <w:rFonts w:ascii="Cambria" w:hAnsi="Cambria"/>
              </w:rPr>
              <w:t xml:space="preserve"> -</w:t>
            </w:r>
            <w:r>
              <w:rPr>
                <w:rFonts w:ascii="Cambria" w:hAnsi="Cambria"/>
                <w:spacing w:val="-1"/>
              </w:rPr>
              <w:t xml:space="preserve"> </w:t>
            </w:r>
            <w:r>
              <w:rPr>
                <w:rFonts w:ascii="Cambria" w:hAnsi="Cambria"/>
              </w:rPr>
              <w:t>caixa</w:t>
            </w:r>
            <w:r>
              <w:rPr>
                <w:rFonts w:ascii="Cambria" w:hAnsi="Cambria"/>
                <w:spacing w:val="-36"/>
              </w:rPr>
              <w:t xml:space="preserve"> </w:t>
            </w:r>
            <w:r>
              <w:rPr>
                <w:rFonts w:ascii="Cambria" w:hAnsi="Cambria"/>
              </w:rPr>
              <w:t>com 10 unidades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3115FF8">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C9B7627">
            <w:pPr>
              <w:widowControl w:val="0"/>
              <w:suppressAutoHyphens/>
              <w:spacing w:after="288" w:afterLines="120" w:line="276" w:lineRule="auto"/>
              <w:jc w:val="center"/>
              <w:rPr>
                <w:rFonts w:ascii="Cambria" w:hAnsi="Cambria"/>
              </w:rPr>
            </w:pPr>
            <w:r>
              <w:rPr>
                <w:rFonts w:ascii="Cambria" w:hAnsi="Cambria"/>
              </w:rPr>
              <w:t>500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3106D78">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R$ 12,83</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8444A04">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R$ 6.415,00</w:t>
            </w:r>
          </w:p>
        </w:tc>
      </w:tr>
      <w:tr w14:paraId="4BB98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B70E8AE">
            <w:pPr>
              <w:widowControl w:val="0"/>
              <w:suppressAutoHyphens/>
              <w:spacing w:after="288" w:afterLines="120" w:line="276" w:lineRule="auto"/>
              <w:ind w:left="-108" w:right="-108"/>
              <w:jc w:val="center"/>
              <w:rPr>
                <w:rFonts w:ascii="Cambria" w:hAnsi="Cambria"/>
              </w:rPr>
            </w:pPr>
            <w:r>
              <w:rPr>
                <w:rFonts w:ascii="Cambria" w:hAnsi="Cambria"/>
              </w:rPr>
              <w:t>96</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59B3738">
            <w:pPr>
              <w:widowControl w:val="0"/>
              <w:suppressAutoHyphens/>
              <w:spacing w:after="288" w:afterLines="120" w:line="276" w:lineRule="auto"/>
              <w:jc w:val="both"/>
              <w:rPr>
                <w:rFonts w:ascii="Cambria" w:hAnsi="Cambria"/>
                <w:spacing w:val="-1"/>
              </w:rPr>
            </w:pPr>
            <w:r>
              <w:rPr>
                <w:rFonts w:ascii="Cambria" w:hAnsi="Cambria"/>
                <w:spacing w:val="-1"/>
              </w:rPr>
              <w:t>Sonda</w:t>
            </w:r>
            <w:r>
              <w:rPr>
                <w:rFonts w:ascii="Cambria" w:hAnsi="Cambria"/>
                <w:spacing w:val="-8"/>
              </w:rPr>
              <w:t xml:space="preserve"> </w:t>
            </w:r>
            <w:r>
              <w:rPr>
                <w:rFonts w:ascii="Cambria" w:hAnsi="Cambria"/>
                <w:spacing w:val="-1"/>
              </w:rPr>
              <w:t>nasogástrica</w:t>
            </w:r>
            <w:r>
              <w:rPr>
                <w:rFonts w:ascii="Cambria" w:hAnsi="Cambria"/>
                <w:spacing w:val="-8"/>
              </w:rPr>
              <w:t xml:space="preserve"> </w:t>
            </w:r>
            <w:r>
              <w:rPr>
                <w:rFonts w:ascii="Cambria" w:hAnsi="Cambria"/>
              </w:rPr>
              <w:t>longa</w:t>
            </w:r>
            <w:r>
              <w:rPr>
                <w:rFonts w:ascii="Cambria" w:hAnsi="Cambria"/>
                <w:spacing w:val="-8"/>
              </w:rPr>
              <w:t xml:space="preserve"> </w:t>
            </w:r>
            <w:r>
              <w:rPr>
                <w:rFonts w:ascii="Cambria" w:hAnsi="Cambria"/>
              </w:rPr>
              <w:t>n° 12 - caixa</w:t>
            </w:r>
            <w:r>
              <w:rPr>
                <w:rFonts w:ascii="Cambria" w:hAnsi="Cambria"/>
                <w:spacing w:val="-36"/>
              </w:rPr>
              <w:t xml:space="preserve"> </w:t>
            </w:r>
            <w:r>
              <w:rPr>
                <w:rFonts w:ascii="Cambria" w:hAnsi="Cambria"/>
              </w:rPr>
              <w:t>com 10 unidades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EA261A4">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688CBFD">
            <w:pPr>
              <w:widowControl w:val="0"/>
              <w:suppressAutoHyphens/>
              <w:spacing w:after="288" w:afterLines="120" w:line="276" w:lineRule="auto"/>
              <w:jc w:val="center"/>
              <w:rPr>
                <w:rFonts w:ascii="Cambria" w:hAnsi="Cambria"/>
              </w:rPr>
            </w:pPr>
            <w:r>
              <w:rPr>
                <w:rFonts w:ascii="Cambria" w:hAnsi="Cambria"/>
              </w:rPr>
              <w:t>300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906629C">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R$ 12,84</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501A8E8">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R$ 3.852,00</w:t>
            </w:r>
          </w:p>
        </w:tc>
      </w:tr>
      <w:tr w14:paraId="59E54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E08CCCA">
            <w:pPr>
              <w:widowControl w:val="0"/>
              <w:suppressAutoHyphens/>
              <w:spacing w:after="288" w:afterLines="120" w:line="276" w:lineRule="auto"/>
              <w:ind w:left="-108" w:right="-108"/>
              <w:jc w:val="center"/>
              <w:rPr>
                <w:rFonts w:ascii="Cambria" w:hAnsi="Cambria"/>
              </w:rPr>
            </w:pPr>
            <w:r>
              <w:rPr>
                <w:rFonts w:ascii="Cambria" w:hAnsi="Cambria"/>
              </w:rPr>
              <w:t>97</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2A5444A">
            <w:pPr>
              <w:widowControl w:val="0"/>
              <w:suppressAutoHyphens/>
              <w:spacing w:after="288" w:afterLines="120" w:line="276" w:lineRule="auto"/>
              <w:jc w:val="both"/>
              <w:rPr>
                <w:rFonts w:ascii="Cambria" w:hAnsi="Cambria"/>
                <w:spacing w:val="-1"/>
              </w:rPr>
            </w:pPr>
            <w:r>
              <w:rPr>
                <w:rFonts w:ascii="Cambria" w:hAnsi="Cambria"/>
                <w:spacing w:val="-1"/>
              </w:rPr>
              <w:t>Sonda</w:t>
            </w:r>
            <w:r>
              <w:rPr>
                <w:rFonts w:ascii="Cambria" w:hAnsi="Cambria"/>
                <w:spacing w:val="-8"/>
              </w:rPr>
              <w:t xml:space="preserve"> </w:t>
            </w:r>
            <w:r>
              <w:rPr>
                <w:rFonts w:ascii="Cambria" w:hAnsi="Cambria"/>
                <w:spacing w:val="-1"/>
              </w:rPr>
              <w:t>nasogástrica</w:t>
            </w:r>
            <w:r>
              <w:rPr>
                <w:rFonts w:ascii="Cambria" w:hAnsi="Cambria"/>
                <w:spacing w:val="-8"/>
              </w:rPr>
              <w:t xml:space="preserve"> </w:t>
            </w:r>
            <w:r>
              <w:rPr>
                <w:rFonts w:ascii="Cambria" w:hAnsi="Cambria"/>
              </w:rPr>
              <w:t>longa</w:t>
            </w:r>
            <w:r>
              <w:rPr>
                <w:rFonts w:ascii="Cambria" w:hAnsi="Cambria"/>
                <w:spacing w:val="-8"/>
              </w:rPr>
              <w:t xml:space="preserve"> </w:t>
            </w:r>
            <w:r>
              <w:rPr>
                <w:rFonts w:ascii="Cambria" w:hAnsi="Cambria"/>
              </w:rPr>
              <w:t>n° 14 - caixa</w:t>
            </w:r>
            <w:r>
              <w:rPr>
                <w:rFonts w:ascii="Cambria" w:hAnsi="Cambria"/>
                <w:spacing w:val="-36"/>
              </w:rPr>
              <w:t xml:space="preserve"> </w:t>
            </w:r>
            <w:r>
              <w:rPr>
                <w:rFonts w:ascii="Cambria" w:hAnsi="Cambria"/>
              </w:rPr>
              <w:t>com 10 unidades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9399BBB">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2182E67">
            <w:pPr>
              <w:widowControl w:val="0"/>
              <w:suppressAutoHyphens/>
              <w:spacing w:after="288" w:afterLines="120" w:line="276" w:lineRule="auto"/>
              <w:jc w:val="center"/>
              <w:rPr>
                <w:rFonts w:ascii="Cambria" w:hAnsi="Cambria"/>
              </w:rPr>
            </w:pPr>
            <w:r>
              <w:rPr>
                <w:rFonts w:ascii="Cambria" w:hAnsi="Cambria"/>
              </w:rPr>
              <w:t>350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4B8D440">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R$ 14,13</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1B362E3">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R$ 4.945,50</w:t>
            </w:r>
          </w:p>
        </w:tc>
      </w:tr>
      <w:tr w14:paraId="5ECDF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857AEDD">
            <w:pPr>
              <w:widowControl w:val="0"/>
              <w:suppressAutoHyphens/>
              <w:spacing w:after="288" w:afterLines="120" w:line="276" w:lineRule="auto"/>
              <w:ind w:left="-108" w:right="-108"/>
              <w:jc w:val="center"/>
              <w:rPr>
                <w:rFonts w:ascii="Cambria" w:hAnsi="Cambria"/>
              </w:rPr>
            </w:pPr>
            <w:r>
              <w:rPr>
                <w:rFonts w:ascii="Cambria" w:hAnsi="Cambria"/>
              </w:rPr>
              <w:t>98</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6DC3060">
            <w:pPr>
              <w:widowControl w:val="0"/>
              <w:suppressAutoHyphens/>
              <w:spacing w:after="288" w:afterLines="120" w:line="276" w:lineRule="auto"/>
              <w:jc w:val="both"/>
              <w:rPr>
                <w:rFonts w:ascii="Cambria" w:hAnsi="Cambria"/>
                <w:spacing w:val="-1"/>
              </w:rPr>
            </w:pPr>
            <w:r>
              <w:rPr>
                <w:rFonts w:ascii="Cambria" w:hAnsi="Cambria"/>
                <w:spacing w:val="-1"/>
              </w:rPr>
              <w:t>Sonda</w:t>
            </w:r>
            <w:r>
              <w:rPr>
                <w:rFonts w:ascii="Cambria" w:hAnsi="Cambria"/>
                <w:spacing w:val="-8"/>
              </w:rPr>
              <w:t xml:space="preserve"> </w:t>
            </w:r>
            <w:r>
              <w:rPr>
                <w:rFonts w:ascii="Cambria" w:hAnsi="Cambria"/>
                <w:spacing w:val="-1"/>
              </w:rPr>
              <w:t>nasogástrica</w:t>
            </w:r>
            <w:r>
              <w:rPr>
                <w:rFonts w:ascii="Cambria" w:hAnsi="Cambria"/>
                <w:spacing w:val="-8"/>
              </w:rPr>
              <w:t xml:space="preserve"> </w:t>
            </w:r>
            <w:r>
              <w:rPr>
                <w:rFonts w:ascii="Cambria" w:hAnsi="Cambria"/>
              </w:rPr>
              <w:t>longa</w:t>
            </w:r>
            <w:r>
              <w:rPr>
                <w:rFonts w:ascii="Cambria" w:hAnsi="Cambria"/>
                <w:spacing w:val="-8"/>
              </w:rPr>
              <w:t xml:space="preserve"> </w:t>
            </w:r>
            <w:r>
              <w:rPr>
                <w:rFonts w:ascii="Cambria" w:hAnsi="Cambria"/>
              </w:rPr>
              <w:t>n° 16 - caixa</w:t>
            </w:r>
            <w:r>
              <w:rPr>
                <w:rFonts w:ascii="Cambria" w:hAnsi="Cambria"/>
                <w:spacing w:val="-36"/>
              </w:rPr>
              <w:t xml:space="preserve"> </w:t>
            </w:r>
            <w:r>
              <w:rPr>
                <w:rFonts w:ascii="Cambria" w:hAnsi="Cambria"/>
              </w:rPr>
              <w:t>com 10 unidades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8388F6B">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CE2CCB8">
            <w:pPr>
              <w:widowControl w:val="0"/>
              <w:suppressAutoHyphens/>
              <w:spacing w:after="288" w:afterLines="120" w:line="276" w:lineRule="auto"/>
              <w:jc w:val="center"/>
              <w:rPr>
                <w:rFonts w:ascii="Cambria" w:hAnsi="Cambria"/>
              </w:rPr>
            </w:pPr>
            <w:r>
              <w:rPr>
                <w:rFonts w:ascii="Cambria" w:hAnsi="Cambria"/>
              </w:rPr>
              <w:t>500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3D4884E">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R$ 18,14</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B7E13E4">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R$ 9.070,00</w:t>
            </w:r>
          </w:p>
        </w:tc>
      </w:tr>
      <w:tr w14:paraId="2FAFE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53052C8">
            <w:pPr>
              <w:widowControl w:val="0"/>
              <w:suppressAutoHyphens/>
              <w:spacing w:after="288" w:afterLines="120" w:line="276" w:lineRule="auto"/>
              <w:ind w:left="-108" w:right="-108"/>
              <w:jc w:val="center"/>
              <w:rPr>
                <w:rFonts w:ascii="Cambria" w:hAnsi="Cambria"/>
              </w:rPr>
            </w:pPr>
            <w:r>
              <w:rPr>
                <w:rFonts w:ascii="Cambria" w:hAnsi="Cambria"/>
              </w:rPr>
              <w:t>99</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9E47BC0">
            <w:pPr>
              <w:widowControl w:val="0"/>
              <w:suppressAutoHyphens/>
              <w:spacing w:after="288" w:afterLines="120" w:line="276" w:lineRule="auto"/>
              <w:jc w:val="both"/>
              <w:rPr>
                <w:rFonts w:ascii="Cambria" w:hAnsi="Cambria"/>
                <w:spacing w:val="-1"/>
              </w:rPr>
            </w:pPr>
            <w:r>
              <w:rPr>
                <w:rFonts w:ascii="Cambria" w:hAnsi="Cambria"/>
                <w:spacing w:val="-1"/>
              </w:rPr>
              <w:t>Sonda</w:t>
            </w:r>
            <w:r>
              <w:rPr>
                <w:rFonts w:ascii="Cambria" w:hAnsi="Cambria"/>
                <w:spacing w:val="-8"/>
              </w:rPr>
              <w:t xml:space="preserve"> </w:t>
            </w:r>
            <w:r>
              <w:rPr>
                <w:rFonts w:ascii="Cambria" w:hAnsi="Cambria"/>
                <w:spacing w:val="-1"/>
              </w:rPr>
              <w:t>nasogástrica</w:t>
            </w:r>
            <w:r>
              <w:rPr>
                <w:rFonts w:ascii="Cambria" w:hAnsi="Cambria"/>
                <w:spacing w:val="-8"/>
              </w:rPr>
              <w:t xml:space="preserve"> </w:t>
            </w:r>
            <w:r>
              <w:rPr>
                <w:rFonts w:ascii="Cambria" w:hAnsi="Cambria"/>
              </w:rPr>
              <w:t>longa</w:t>
            </w:r>
            <w:r>
              <w:rPr>
                <w:rFonts w:ascii="Cambria" w:hAnsi="Cambria"/>
                <w:spacing w:val="-8"/>
              </w:rPr>
              <w:t xml:space="preserve"> </w:t>
            </w:r>
            <w:r>
              <w:rPr>
                <w:rFonts w:ascii="Cambria" w:hAnsi="Cambria"/>
              </w:rPr>
              <w:t>n° 18 - caixa</w:t>
            </w:r>
            <w:r>
              <w:rPr>
                <w:rFonts w:ascii="Cambria" w:hAnsi="Cambria"/>
                <w:spacing w:val="-36"/>
              </w:rPr>
              <w:t xml:space="preserve"> </w:t>
            </w:r>
            <w:r>
              <w:rPr>
                <w:rFonts w:ascii="Cambria" w:hAnsi="Cambria"/>
              </w:rPr>
              <w:t>com 10 unidades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D6C5E53">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16B6D5F">
            <w:pPr>
              <w:widowControl w:val="0"/>
              <w:suppressAutoHyphens/>
              <w:spacing w:after="288" w:afterLines="120" w:line="276" w:lineRule="auto"/>
              <w:jc w:val="center"/>
              <w:rPr>
                <w:rFonts w:ascii="Cambria" w:hAnsi="Cambria"/>
              </w:rPr>
            </w:pPr>
            <w:r>
              <w:rPr>
                <w:rFonts w:ascii="Cambria" w:hAnsi="Cambria"/>
              </w:rPr>
              <w:t>500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14F9979">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R$ 16,10</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5BF8721">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R$ 8.050,00</w:t>
            </w:r>
          </w:p>
        </w:tc>
      </w:tr>
      <w:tr w14:paraId="1C915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EC1E528">
            <w:pPr>
              <w:widowControl w:val="0"/>
              <w:suppressAutoHyphens/>
              <w:spacing w:after="288" w:afterLines="120" w:line="276" w:lineRule="auto"/>
              <w:ind w:left="-108" w:right="-108"/>
              <w:jc w:val="center"/>
              <w:rPr>
                <w:rFonts w:ascii="Cambria" w:hAnsi="Cambria"/>
              </w:rPr>
            </w:pPr>
            <w:r>
              <w:rPr>
                <w:rFonts w:ascii="Cambria" w:hAnsi="Cambria"/>
              </w:rPr>
              <w:t>100</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F8117AF">
            <w:pPr>
              <w:widowControl w:val="0"/>
              <w:suppressAutoHyphens/>
              <w:spacing w:after="288" w:afterLines="120" w:line="276" w:lineRule="auto"/>
              <w:jc w:val="both"/>
              <w:rPr>
                <w:rFonts w:ascii="Cambria" w:hAnsi="Cambria"/>
                <w:spacing w:val="-1"/>
              </w:rPr>
            </w:pPr>
            <w:r>
              <w:rPr>
                <w:rFonts w:ascii="Cambria" w:hAnsi="Cambria"/>
                <w:spacing w:val="-1"/>
              </w:rPr>
              <w:t>Sonda</w:t>
            </w:r>
            <w:r>
              <w:rPr>
                <w:rFonts w:ascii="Cambria" w:hAnsi="Cambria"/>
                <w:spacing w:val="-8"/>
              </w:rPr>
              <w:t xml:space="preserve"> </w:t>
            </w:r>
            <w:r>
              <w:rPr>
                <w:rFonts w:ascii="Cambria" w:hAnsi="Cambria"/>
                <w:spacing w:val="-1"/>
              </w:rPr>
              <w:t>nasogástrica</w:t>
            </w:r>
            <w:r>
              <w:rPr>
                <w:rFonts w:ascii="Cambria" w:hAnsi="Cambria"/>
                <w:spacing w:val="-8"/>
              </w:rPr>
              <w:t xml:space="preserve"> </w:t>
            </w:r>
            <w:r>
              <w:rPr>
                <w:rFonts w:ascii="Cambria" w:hAnsi="Cambria"/>
              </w:rPr>
              <w:t>longa</w:t>
            </w:r>
            <w:r>
              <w:rPr>
                <w:rFonts w:ascii="Cambria" w:hAnsi="Cambria"/>
                <w:spacing w:val="-8"/>
              </w:rPr>
              <w:t xml:space="preserve"> </w:t>
            </w:r>
            <w:r>
              <w:rPr>
                <w:rFonts w:ascii="Cambria" w:hAnsi="Cambria"/>
              </w:rPr>
              <w:t>nº 06 - caixa</w:t>
            </w:r>
            <w:r>
              <w:rPr>
                <w:rFonts w:ascii="Cambria" w:hAnsi="Cambria"/>
                <w:spacing w:val="-36"/>
              </w:rPr>
              <w:t xml:space="preserve"> </w:t>
            </w:r>
            <w:r>
              <w:rPr>
                <w:rFonts w:ascii="Cambria" w:hAnsi="Cambria"/>
              </w:rPr>
              <w:t>com 10 unidades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6765A7C">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57A0C96">
            <w:pPr>
              <w:widowControl w:val="0"/>
              <w:suppressAutoHyphens/>
              <w:spacing w:after="288" w:afterLines="120" w:line="276" w:lineRule="auto"/>
              <w:jc w:val="center"/>
              <w:rPr>
                <w:rFonts w:ascii="Cambria" w:hAnsi="Cambria"/>
              </w:rPr>
            </w:pPr>
            <w:r>
              <w:rPr>
                <w:rFonts w:ascii="Cambria" w:hAnsi="Cambria"/>
              </w:rPr>
              <w:t>100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641792F">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R$ 11,56</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8D2DDBD">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R$ 1.156,00</w:t>
            </w:r>
          </w:p>
        </w:tc>
      </w:tr>
      <w:tr w14:paraId="68086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28E7FC0">
            <w:pPr>
              <w:widowControl w:val="0"/>
              <w:suppressAutoHyphens/>
              <w:spacing w:after="288" w:afterLines="120" w:line="276" w:lineRule="auto"/>
              <w:ind w:left="-108" w:right="-108"/>
              <w:jc w:val="center"/>
              <w:rPr>
                <w:rFonts w:ascii="Cambria" w:hAnsi="Cambria"/>
              </w:rPr>
            </w:pPr>
            <w:r>
              <w:rPr>
                <w:rFonts w:ascii="Cambria" w:hAnsi="Cambria"/>
              </w:rPr>
              <w:t>101</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FC7CC54">
            <w:pPr>
              <w:widowControl w:val="0"/>
              <w:suppressAutoHyphens/>
              <w:spacing w:after="288" w:afterLines="120" w:line="276" w:lineRule="auto"/>
              <w:jc w:val="both"/>
              <w:rPr>
                <w:rFonts w:ascii="Cambria" w:hAnsi="Cambria"/>
                <w:spacing w:val="-1"/>
              </w:rPr>
            </w:pPr>
            <w:r>
              <w:rPr>
                <w:rFonts w:ascii="Cambria" w:hAnsi="Cambria"/>
                <w:spacing w:val="-1"/>
              </w:rPr>
              <w:t>Sonda</w:t>
            </w:r>
            <w:r>
              <w:rPr>
                <w:rFonts w:ascii="Cambria" w:hAnsi="Cambria"/>
                <w:spacing w:val="-8"/>
              </w:rPr>
              <w:t xml:space="preserve"> </w:t>
            </w:r>
            <w:r>
              <w:rPr>
                <w:rFonts w:ascii="Cambria" w:hAnsi="Cambria"/>
                <w:spacing w:val="-1"/>
              </w:rPr>
              <w:t>nasogástrica</w:t>
            </w:r>
            <w:r>
              <w:rPr>
                <w:rFonts w:ascii="Cambria" w:hAnsi="Cambria"/>
                <w:spacing w:val="-8"/>
              </w:rPr>
              <w:t xml:space="preserve"> </w:t>
            </w:r>
            <w:r>
              <w:rPr>
                <w:rFonts w:ascii="Cambria" w:hAnsi="Cambria"/>
              </w:rPr>
              <w:t>longa</w:t>
            </w:r>
            <w:r>
              <w:rPr>
                <w:rFonts w:ascii="Cambria" w:hAnsi="Cambria"/>
                <w:spacing w:val="-8"/>
              </w:rPr>
              <w:t xml:space="preserve"> </w:t>
            </w:r>
            <w:r>
              <w:rPr>
                <w:rFonts w:ascii="Cambria" w:hAnsi="Cambria"/>
              </w:rPr>
              <w:t>nº 10 - caixa</w:t>
            </w:r>
            <w:r>
              <w:rPr>
                <w:rFonts w:ascii="Cambria" w:hAnsi="Cambria"/>
                <w:spacing w:val="-36"/>
              </w:rPr>
              <w:t xml:space="preserve"> </w:t>
            </w:r>
            <w:r>
              <w:rPr>
                <w:rFonts w:ascii="Cambria" w:hAnsi="Cambria"/>
              </w:rPr>
              <w:t>com 10 unidades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EF69BB6">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5C09639">
            <w:pPr>
              <w:widowControl w:val="0"/>
              <w:suppressAutoHyphens/>
              <w:spacing w:after="288" w:afterLines="120" w:line="276" w:lineRule="auto"/>
              <w:jc w:val="center"/>
              <w:rPr>
                <w:rFonts w:ascii="Cambria" w:hAnsi="Cambria"/>
              </w:rPr>
            </w:pPr>
            <w:r>
              <w:rPr>
                <w:rFonts w:ascii="Cambria" w:hAnsi="Cambria"/>
              </w:rPr>
              <w:t>250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84FBAFC">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R$ 13,71</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5C52AD1">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R$ 3.427,50</w:t>
            </w:r>
          </w:p>
        </w:tc>
      </w:tr>
      <w:tr w14:paraId="6806A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BB310D3">
            <w:pPr>
              <w:widowControl w:val="0"/>
              <w:suppressAutoHyphens/>
              <w:spacing w:after="288" w:afterLines="120" w:line="276" w:lineRule="auto"/>
              <w:ind w:left="-108" w:right="-108"/>
              <w:jc w:val="center"/>
              <w:rPr>
                <w:rFonts w:ascii="Cambria" w:hAnsi="Cambria"/>
              </w:rPr>
            </w:pPr>
            <w:r>
              <w:rPr>
                <w:rFonts w:ascii="Cambria" w:hAnsi="Cambria"/>
              </w:rPr>
              <w:t>102</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F992BB8">
            <w:pPr>
              <w:widowControl w:val="0"/>
              <w:suppressAutoHyphens/>
              <w:spacing w:after="288" w:afterLines="120" w:line="276" w:lineRule="auto"/>
              <w:jc w:val="both"/>
              <w:rPr>
                <w:rFonts w:ascii="Cambria" w:hAnsi="Cambria"/>
                <w:spacing w:val="-1"/>
              </w:rPr>
            </w:pPr>
            <w:r>
              <w:rPr>
                <w:rFonts w:ascii="Cambria" w:hAnsi="Cambria"/>
                <w:spacing w:val="-1"/>
              </w:rPr>
              <w:t xml:space="preserve">Fio de sutura polipropileno </w:t>
            </w:r>
            <w:r>
              <w:rPr>
                <w:rFonts w:ascii="Cambria" w:hAnsi="Cambria"/>
              </w:rPr>
              <w:t>3.0, agulha</w:t>
            </w:r>
            <w:r>
              <w:rPr>
                <w:rFonts w:ascii="Cambria" w:hAnsi="Cambria"/>
                <w:spacing w:val="-36"/>
              </w:rPr>
              <w:t xml:space="preserve"> </w:t>
            </w:r>
            <w:r>
              <w:rPr>
                <w:rFonts w:ascii="Cambria" w:hAnsi="Cambria"/>
              </w:rPr>
              <w:t>2,5cm</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22F0D1B">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216A7CB">
            <w:pPr>
              <w:widowControl w:val="0"/>
              <w:suppressAutoHyphens/>
              <w:spacing w:after="288" w:afterLines="120" w:line="276" w:lineRule="auto"/>
              <w:jc w:val="center"/>
              <w:rPr>
                <w:rFonts w:ascii="Cambria" w:hAnsi="Cambria"/>
              </w:rPr>
            </w:pPr>
            <w:r>
              <w:rPr>
                <w:rFonts w:ascii="Cambria" w:hAnsi="Cambria"/>
              </w:rPr>
              <w:t>20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A2FC847">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R$ 80,15</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62301BD">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R$ 1.603,00</w:t>
            </w:r>
          </w:p>
        </w:tc>
      </w:tr>
      <w:tr w14:paraId="6E547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7AE12F5">
            <w:pPr>
              <w:widowControl w:val="0"/>
              <w:suppressAutoHyphens/>
              <w:spacing w:after="288" w:afterLines="120" w:line="276" w:lineRule="auto"/>
              <w:ind w:left="-108" w:right="-108"/>
              <w:jc w:val="center"/>
              <w:rPr>
                <w:rFonts w:ascii="Cambria" w:hAnsi="Cambria"/>
              </w:rPr>
            </w:pPr>
            <w:r>
              <w:rPr>
                <w:rFonts w:ascii="Cambria" w:hAnsi="Cambria"/>
              </w:rPr>
              <w:t>103</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C1A2BC6">
            <w:pPr>
              <w:widowControl w:val="0"/>
              <w:suppressAutoHyphens/>
              <w:spacing w:after="288" w:afterLines="120" w:line="276" w:lineRule="auto"/>
              <w:jc w:val="both"/>
              <w:rPr>
                <w:rFonts w:ascii="Cambria" w:hAnsi="Cambria"/>
                <w:spacing w:val="-1"/>
              </w:rPr>
            </w:pPr>
            <w:r>
              <w:rPr>
                <w:rFonts w:ascii="Cambria" w:hAnsi="Cambria"/>
              </w:rPr>
              <w:t>Tela cirúrgica de marlex em</w:t>
            </w:r>
            <w:r>
              <w:rPr>
                <w:rFonts w:ascii="Cambria" w:hAnsi="Cambria"/>
                <w:spacing w:val="1"/>
              </w:rPr>
              <w:t xml:space="preserve"> </w:t>
            </w:r>
            <w:r>
              <w:rPr>
                <w:rFonts w:ascii="Cambria" w:hAnsi="Cambria"/>
                <w:spacing w:val="-1"/>
              </w:rPr>
              <w:t>polipropileno,</w:t>
            </w:r>
            <w:r>
              <w:rPr>
                <w:rFonts w:ascii="Cambria" w:hAnsi="Cambria"/>
                <w:spacing w:val="-8"/>
              </w:rPr>
              <w:t xml:space="preserve"> </w:t>
            </w:r>
            <w:r>
              <w:rPr>
                <w:rFonts w:ascii="Cambria" w:hAnsi="Cambria"/>
              </w:rPr>
              <w:t>tamanho</w:t>
            </w:r>
            <w:r>
              <w:rPr>
                <w:rFonts w:ascii="Cambria" w:hAnsi="Cambria"/>
                <w:spacing w:val="-6"/>
              </w:rPr>
              <w:t xml:space="preserve"> </w:t>
            </w:r>
            <w:r>
              <w:rPr>
                <w:rFonts w:ascii="Cambria" w:hAnsi="Cambria"/>
              </w:rPr>
              <w:t>10x15cm</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30E44EA">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57693C2">
            <w:pPr>
              <w:widowControl w:val="0"/>
              <w:suppressAutoHyphens/>
              <w:spacing w:after="288" w:afterLines="120" w:line="276" w:lineRule="auto"/>
              <w:jc w:val="center"/>
              <w:rPr>
                <w:rFonts w:ascii="Cambria" w:hAnsi="Cambria"/>
              </w:rPr>
            </w:pPr>
            <w:r>
              <w:rPr>
                <w:rFonts w:ascii="Cambria" w:hAnsi="Cambria"/>
              </w:rPr>
              <w:t>100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10F4FA5">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R$ 43,95</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36F426F">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R$ 4.395,00</w:t>
            </w:r>
          </w:p>
        </w:tc>
      </w:tr>
      <w:tr w14:paraId="5AE94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EF781F7">
            <w:pPr>
              <w:widowControl w:val="0"/>
              <w:suppressAutoHyphens/>
              <w:spacing w:after="288" w:afterLines="120" w:line="276" w:lineRule="auto"/>
              <w:ind w:left="-108" w:right="-108"/>
              <w:jc w:val="center"/>
              <w:rPr>
                <w:rFonts w:ascii="Cambria" w:hAnsi="Cambria"/>
              </w:rPr>
            </w:pPr>
            <w:r>
              <w:rPr>
                <w:rFonts w:ascii="Cambria" w:hAnsi="Cambria"/>
              </w:rPr>
              <w:t>104</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841E02E">
            <w:pPr>
              <w:widowControl w:val="0"/>
              <w:suppressAutoHyphens/>
              <w:spacing w:after="288" w:afterLines="120" w:line="276" w:lineRule="auto"/>
              <w:jc w:val="both"/>
              <w:rPr>
                <w:rFonts w:ascii="Cambria" w:hAnsi="Cambria"/>
              </w:rPr>
            </w:pPr>
            <w:r>
              <w:rPr>
                <w:rFonts w:ascii="Cambria" w:hAnsi="Cambria"/>
                <w:spacing w:val="-1"/>
              </w:rPr>
              <w:t>Solução</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clorexidina</w:t>
            </w:r>
            <w:r>
              <w:rPr>
                <w:rFonts w:ascii="Cambria" w:hAnsi="Cambria"/>
                <w:spacing w:val="-10"/>
              </w:rPr>
              <w:t xml:space="preserve"> </w:t>
            </w:r>
            <w:r>
              <w:rPr>
                <w:rFonts w:ascii="Cambria" w:hAnsi="Cambria"/>
              </w:rPr>
              <w:t>degermante</w:t>
            </w:r>
            <w:r>
              <w:rPr>
                <w:rFonts w:ascii="Cambria" w:hAnsi="Cambria"/>
                <w:spacing w:val="-9"/>
              </w:rPr>
              <w:t xml:space="preserve"> </w:t>
            </w:r>
            <w:r>
              <w:rPr>
                <w:rFonts w:ascii="Cambria" w:hAnsi="Cambria"/>
              </w:rPr>
              <w:t>a</w:t>
            </w:r>
            <w:r>
              <w:rPr>
                <w:rFonts w:ascii="Cambria" w:hAnsi="Cambria"/>
                <w:spacing w:val="-10"/>
              </w:rPr>
              <w:t xml:space="preserve"> </w:t>
            </w:r>
            <w:r>
              <w:rPr>
                <w:rFonts w:ascii="Cambria" w:hAnsi="Cambria"/>
              </w:rPr>
              <w:t>2%,</w:t>
            </w:r>
            <w:r>
              <w:rPr>
                <w:rFonts w:ascii="Cambria" w:hAnsi="Cambria"/>
                <w:spacing w:val="-36"/>
              </w:rPr>
              <w:t xml:space="preserve"> </w:t>
            </w:r>
            <w:r>
              <w:rPr>
                <w:rFonts w:ascii="Cambria" w:hAnsi="Cambria"/>
              </w:rPr>
              <w:t>1 litro</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24243DE">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3325891">
            <w:pPr>
              <w:widowControl w:val="0"/>
              <w:suppressAutoHyphens/>
              <w:spacing w:after="288" w:afterLines="120" w:line="276" w:lineRule="auto"/>
              <w:jc w:val="center"/>
              <w:rPr>
                <w:rFonts w:ascii="Cambria" w:hAnsi="Cambria"/>
              </w:rPr>
            </w:pPr>
            <w:r>
              <w:rPr>
                <w:rFonts w:ascii="Cambria" w:hAnsi="Cambria"/>
              </w:rPr>
              <w:t>100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D7C8001">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R$ 25,85</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C476B38">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R$ 2.585,00</w:t>
            </w:r>
          </w:p>
        </w:tc>
      </w:tr>
      <w:tr w14:paraId="1BC85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46E51A0">
            <w:pPr>
              <w:widowControl w:val="0"/>
              <w:suppressAutoHyphens/>
              <w:spacing w:after="288" w:afterLines="120" w:line="276" w:lineRule="auto"/>
              <w:ind w:left="-108" w:right="-108"/>
              <w:jc w:val="center"/>
              <w:rPr>
                <w:rFonts w:ascii="Cambria" w:hAnsi="Cambria"/>
              </w:rPr>
            </w:pPr>
            <w:r>
              <w:rPr>
                <w:rFonts w:ascii="Cambria" w:hAnsi="Cambria"/>
              </w:rPr>
              <w:t>105</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73E2FE2">
            <w:pPr>
              <w:widowControl w:val="0"/>
              <w:suppressAutoHyphens/>
              <w:spacing w:after="288" w:afterLines="120" w:line="276" w:lineRule="auto"/>
              <w:jc w:val="both"/>
              <w:rPr>
                <w:rFonts w:ascii="Cambria" w:hAnsi="Cambria"/>
                <w:spacing w:val="-1"/>
              </w:rPr>
            </w:pPr>
            <w:r>
              <w:rPr>
                <w:rFonts w:ascii="Cambria" w:hAnsi="Cambria"/>
              </w:rPr>
              <w:t>Sensor free style libre para</w:t>
            </w:r>
            <w:r>
              <w:rPr>
                <w:rFonts w:ascii="Cambria" w:hAnsi="Cambria"/>
                <w:spacing w:val="1"/>
              </w:rPr>
              <w:t xml:space="preserve"> </w:t>
            </w:r>
            <w:r>
              <w:rPr>
                <w:rFonts w:ascii="Cambria" w:hAnsi="Cambria"/>
              </w:rPr>
              <w:t>monitoramento</w:t>
            </w:r>
            <w:r>
              <w:rPr>
                <w:rFonts w:ascii="Cambria" w:hAnsi="Cambria"/>
                <w:spacing w:val="-7"/>
              </w:rPr>
              <w:t xml:space="preserve"> </w:t>
            </w:r>
            <w:r>
              <w:rPr>
                <w:rFonts w:ascii="Cambria" w:hAnsi="Cambria"/>
              </w:rPr>
              <w:t>contínuo</w:t>
            </w:r>
            <w:r>
              <w:rPr>
                <w:rFonts w:ascii="Cambria" w:hAnsi="Cambria"/>
                <w:spacing w:val="-6"/>
              </w:rPr>
              <w:t xml:space="preserve"> </w:t>
            </w:r>
            <w:r>
              <w:rPr>
                <w:rFonts w:ascii="Cambria" w:hAnsi="Cambria"/>
              </w:rPr>
              <w:t>de</w:t>
            </w:r>
            <w:r>
              <w:rPr>
                <w:rFonts w:ascii="Cambria" w:hAnsi="Cambria"/>
                <w:spacing w:val="-6"/>
              </w:rPr>
              <w:t xml:space="preserve"> </w:t>
            </w:r>
            <w:r>
              <w:rPr>
                <w:rFonts w:ascii="Cambria" w:hAnsi="Cambria"/>
              </w:rPr>
              <w:t>glicose</w:t>
            </w:r>
            <w:r>
              <w:rPr>
                <w:rFonts w:ascii="Cambria" w:hAnsi="Cambria"/>
                <w:spacing w:val="-36"/>
              </w:rPr>
              <w:t xml:space="preserve"> </w:t>
            </w:r>
            <w:r>
              <w:rPr>
                <w:rFonts w:ascii="Cambria" w:hAnsi="Cambria"/>
              </w:rPr>
              <w:t>intersticial</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7BFB2E3">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03E9ABD">
            <w:pPr>
              <w:widowControl w:val="0"/>
              <w:suppressAutoHyphens/>
              <w:spacing w:after="288" w:afterLines="120" w:line="276" w:lineRule="auto"/>
              <w:jc w:val="center"/>
              <w:rPr>
                <w:rFonts w:ascii="Cambria" w:hAnsi="Cambria"/>
              </w:rPr>
            </w:pPr>
            <w:r>
              <w:rPr>
                <w:rFonts w:ascii="Cambria" w:hAnsi="Cambria"/>
              </w:rPr>
              <w:t>60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CC30A45">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R$ 379,67</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16DC916">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R$ 22.780,20</w:t>
            </w:r>
          </w:p>
        </w:tc>
      </w:tr>
      <w:tr w14:paraId="662A9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E88C1D2">
            <w:pPr>
              <w:widowControl w:val="0"/>
              <w:suppressAutoHyphens/>
              <w:spacing w:after="288" w:afterLines="120" w:line="276" w:lineRule="auto"/>
              <w:ind w:left="-108" w:right="-108"/>
              <w:jc w:val="center"/>
              <w:rPr>
                <w:rFonts w:ascii="Cambria" w:hAnsi="Cambria"/>
              </w:rPr>
            </w:pPr>
            <w:r>
              <w:rPr>
                <w:rFonts w:ascii="Cambria" w:hAnsi="Cambria"/>
              </w:rPr>
              <w:t>106</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F8084DC">
            <w:pPr>
              <w:widowControl w:val="0"/>
              <w:suppressAutoHyphens/>
              <w:spacing w:after="288" w:afterLines="120" w:line="276" w:lineRule="auto"/>
              <w:jc w:val="both"/>
              <w:rPr>
                <w:rFonts w:ascii="Cambria" w:hAnsi="Cambria"/>
              </w:rPr>
            </w:pPr>
            <w:r>
              <w:rPr>
                <w:rFonts w:ascii="Cambria" w:hAnsi="Cambria"/>
                <w:spacing w:val="-1"/>
              </w:rPr>
              <w:t xml:space="preserve">Coletor de urina tipo saco </w:t>
            </w:r>
            <w:r>
              <w:rPr>
                <w:rFonts w:ascii="Cambria" w:hAnsi="Cambria"/>
              </w:rPr>
              <w:t>com cordão</w:t>
            </w:r>
            <w:r>
              <w:rPr>
                <w:rFonts w:ascii="Cambria" w:hAnsi="Cambria"/>
                <w:spacing w:val="-36"/>
              </w:rPr>
              <w:t xml:space="preserve"> </w:t>
            </w:r>
            <w:r>
              <w:rPr>
                <w:rFonts w:ascii="Cambria" w:hAnsi="Cambria"/>
              </w:rPr>
              <w:t>2000ml descartável. Embalagem com 100</w:t>
            </w:r>
            <w:r>
              <w:rPr>
                <w:rFonts w:ascii="Cambria" w:hAnsi="Cambria"/>
                <w:spacing w:val="-36"/>
              </w:rPr>
              <w:t xml:space="preserve"> </w:t>
            </w:r>
            <w:r>
              <w:rPr>
                <w:rFonts w:ascii="Cambria" w:hAnsi="Cambria"/>
              </w:rPr>
              <w:t>unidades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075B128">
            <w:pPr>
              <w:widowControl w:val="0"/>
              <w:suppressAutoHyphens/>
              <w:spacing w:after="288" w:afterLines="120" w:line="276" w:lineRule="auto"/>
              <w:ind w:left="-108" w:right="-108"/>
              <w:jc w:val="center"/>
              <w:rPr>
                <w:rFonts w:ascii="Cambria" w:hAnsi="Cambria"/>
              </w:rPr>
            </w:pPr>
            <w:r>
              <w:rPr>
                <w:rFonts w:ascii="Cambria" w:hAnsi="Cambria"/>
              </w:rPr>
              <w:t>Pct</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E1A1F13">
            <w:pPr>
              <w:widowControl w:val="0"/>
              <w:suppressAutoHyphens/>
              <w:spacing w:after="288" w:afterLines="120" w:line="276" w:lineRule="auto"/>
              <w:jc w:val="center"/>
              <w:rPr>
                <w:rFonts w:ascii="Cambria" w:hAnsi="Cambria"/>
              </w:rPr>
            </w:pPr>
            <w:r>
              <w:rPr>
                <w:rFonts w:ascii="Cambria" w:hAnsi="Cambria"/>
              </w:rPr>
              <w:t>300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B270A0C">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R$ 77,29</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3B948CD">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R$ 23.187,00</w:t>
            </w:r>
          </w:p>
        </w:tc>
      </w:tr>
      <w:tr w14:paraId="1A37A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FDAEB39">
            <w:pPr>
              <w:widowControl w:val="0"/>
              <w:suppressAutoHyphens/>
              <w:spacing w:after="288" w:afterLines="120" w:line="276" w:lineRule="auto"/>
              <w:ind w:left="-108" w:right="-108"/>
              <w:jc w:val="center"/>
              <w:rPr>
                <w:rFonts w:ascii="Cambria" w:hAnsi="Cambria"/>
              </w:rPr>
            </w:pPr>
            <w:r>
              <w:rPr>
                <w:rFonts w:ascii="Cambria" w:hAnsi="Cambria"/>
              </w:rPr>
              <w:t>107</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C7ED933">
            <w:pPr>
              <w:widowControl w:val="0"/>
              <w:suppressAutoHyphens/>
              <w:spacing w:after="288" w:afterLines="120" w:line="276" w:lineRule="auto"/>
              <w:jc w:val="both"/>
              <w:rPr>
                <w:rFonts w:ascii="Cambria" w:hAnsi="Cambria"/>
                <w:spacing w:val="-1"/>
              </w:rPr>
            </w:pPr>
            <w:r>
              <w:rPr>
                <w:rFonts w:ascii="Cambria" w:hAnsi="Cambria"/>
                <w:spacing w:val="-1"/>
              </w:rPr>
              <w:t>Decanoato</w:t>
            </w:r>
            <w:r>
              <w:rPr>
                <w:rFonts w:ascii="Cambria" w:hAnsi="Cambria"/>
                <w:spacing w:val="-4"/>
              </w:rPr>
              <w:t xml:space="preserve"> </w:t>
            </w:r>
            <w:r>
              <w:rPr>
                <w:rFonts w:ascii="Cambria" w:hAnsi="Cambria"/>
              </w:rPr>
              <w:t>de</w:t>
            </w:r>
            <w:r>
              <w:rPr>
                <w:rFonts w:ascii="Cambria" w:hAnsi="Cambria"/>
                <w:spacing w:val="-3"/>
              </w:rPr>
              <w:t xml:space="preserve"> </w:t>
            </w:r>
            <w:r>
              <w:rPr>
                <w:rFonts w:ascii="Cambria" w:hAnsi="Cambria"/>
              </w:rPr>
              <w:t>haloperidol</w:t>
            </w:r>
            <w:r>
              <w:rPr>
                <w:rFonts w:ascii="Cambria" w:hAnsi="Cambria"/>
                <w:spacing w:val="-8"/>
              </w:rPr>
              <w:t xml:space="preserve"> </w:t>
            </w:r>
            <w:r>
              <w:rPr>
                <w:rFonts w:ascii="Cambria" w:hAnsi="Cambria"/>
              </w:rPr>
              <w:t>50</w:t>
            </w:r>
            <w:r>
              <w:rPr>
                <w:rFonts w:ascii="Cambria" w:hAnsi="Cambria"/>
                <w:spacing w:val="-4"/>
              </w:rPr>
              <w:t xml:space="preserve"> </w:t>
            </w:r>
            <w:r>
              <w:rPr>
                <w:rFonts w:ascii="Cambria" w:hAnsi="Cambria"/>
              </w:rPr>
              <w:t>mg</w:t>
            </w:r>
            <w:r>
              <w:rPr>
                <w:rFonts w:ascii="Cambria" w:hAnsi="Cambria"/>
                <w:spacing w:val="-3"/>
              </w:rPr>
              <w:t xml:space="preserve"> </w:t>
            </w:r>
            <w:r>
              <w:rPr>
                <w:rFonts w:ascii="Cambria" w:hAnsi="Cambria"/>
              </w:rPr>
              <w:t>/</w:t>
            </w:r>
            <w:r>
              <w:rPr>
                <w:rFonts w:ascii="Cambria" w:hAnsi="Cambria"/>
                <w:spacing w:val="-3"/>
              </w:rPr>
              <w:t xml:space="preserve"> </w:t>
            </w:r>
            <w:r>
              <w:rPr>
                <w:rFonts w:ascii="Cambria" w:hAnsi="Cambria"/>
              </w:rPr>
              <w:t>ml</w:t>
            </w:r>
            <w:r>
              <w:rPr>
                <w:rFonts w:ascii="Cambria" w:hAnsi="Cambria"/>
                <w:spacing w:val="-36"/>
              </w:rPr>
              <w:t xml:space="preserve"> </w:t>
            </w:r>
            <w:r>
              <w:rPr>
                <w:rFonts w:ascii="Cambria" w:hAnsi="Cambria"/>
              </w:rPr>
              <w:t>ampola</w:t>
            </w:r>
            <w:r>
              <w:rPr>
                <w:rFonts w:ascii="Cambria" w:hAnsi="Cambria"/>
                <w:spacing w:val="-8"/>
              </w:rPr>
              <w:t xml:space="preserve"> </w:t>
            </w:r>
            <w:r>
              <w:rPr>
                <w:rFonts w:ascii="Cambria" w:hAnsi="Cambria"/>
              </w:rPr>
              <w:t>com 1 ml.</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95F5E28">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AABFC46">
            <w:pPr>
              <w:widowControl w:val="0"/>
              <w:suppressAutoHyphens/>
              <w:spacing w:after="288" w:afterLines="120" w:line="276" w:lineRule="auto"/>
              <w:jc w:val="center"/>
              <w:rPr>
                <w:rFonts w:ascii="Cambria" w:hAnsi="Cambria"/>
              </w:rPr>
            </w:pPr>
            <w:r>
              <w:rPr>
                <w:rFonts w:ascii="Cambria" w:hAnsi="Cambria"/>
              </w:rPr>
              <w:t>1.500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2F9D7CD">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R$ 11,47</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5D8D386">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R$ 17.205,00</w:t>
            </w:r>
          </w:p>
        </w:tc>
      </w:tr>
      <w:tr w14:paraId="6CF38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A90D175">
            <w:pPr>
              <w:widowControl w:val="0"/>
              <w:suppressAutoHyphens/>
              <w:spacing w:after="288" w:afterLines="120" w:line="276" w:lineRule="auto"/>
              <w:ind w:left="-108" w:right="-108"/>
              <w:jc w:val="center"/>
              <w:rPr>
                <w:rFonts w:ascii="Cambria" w:hAnsi="Cambria"/>
              </w:rPr>
            </w:pPr>
            <w:r>
              <w:rPr>
                <w:rFonts w:ascii="Cambria" w:hAnsi="Cambria"/>
              </w:rPr>
              <w:t>108</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0C0295B">
            <w:pPr>
              <w:widowControl w:val="0"/>
              <w:suppressAutoHyphens/>
              <w:spacing w:after="288" w:afterLines="120" w:line="276" w:lineRule="auto"/>
              <w:jc w:val="both"/>
              <w:rPr>
                <w:rFonts w:ascii="Cambria" w:hAnsi="Cambria"/>
                <w:spacing w:val="-1"/>
              </w:rPr>
            </w:pPr>
            <w:r>
              <w:rPr>
                <w:rFonts w:ascii="Cambria" w:hAnsi="Cambria"/>
              </w:rPr>
              <w:t>Hidrocortisona 100 mg injetável com diluente</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6FF5636">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C9B1A67">
            <w:pPr>
              <w:widowControl w:val="0"/>
              <w:suppressAutoHyphens/>
              <w:spacing w:after="288" w:afterLines="120" w:line="276" w:lineRule="auto"/>
              <w:jc w:val="center"/>
              <w:rPr>
                <w:rFonts w:ascii="Cambria" w:hAnsi="Cambria"/>
              </w:rPr>
            </w:pPr>
            <w:r>
              <w:rPr>
                <w:rFonts w:ascii="Cambria" w:hAnsi="Cambria"/>
              </w:rPr>
              <w:t>4.000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550B184">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R$ 11,49</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3B6F577">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R$ 45.960,00</w:t>
            </w:r>
          </w:p>
        </w:tc>
      </w:tr>
      <w:tr w14:paraId="4A980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9B06D79">
            <w:pPr>
              <w:widowControl w:val="0"/>
              <w:suppressAutoHyphens/>
              <w:spacing w:after="288" w:afterLines="120" w:line="276" w:lineRule="auto"/>
              <w:ind w:left="-108" w:right="-108"/>
              <w:jc w:val="center"/>
              <w:rPr>
                <w:rFonts w:ascii="Cambria" w:hAnsi="Cambria"/>
              </w:rPr>
            </w:pPr>
            <w:r>
              <w:rPr>
                <w:rFonts w:ascii="Cambria" w:hAnsi="Cambria"/>
              </w:rPr>
              <w:t>109</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0647A92">
            <w:pPr>
              <w:widowControl w:val="0"/>
              <w:suppressAutoHyphens/>
              <w:spacing w:after="288" w:afterLines="120" w:line="276" w:lineRule="auto"/>
              <w:jc w:val="both"/>
              <w:rPr>
                <w:rFonts w:ascii="Cambria" w:hAnsi="Cambria"/>
              </w:rPr>
            </w:pPr>
            <w:r>
              <w:rPr>
                <w:rFonts w:ascii="Cambria" w:hAnsi="Cambria"/>
                <w:spacing w:val="-2"/>
              </w:rPr>
              <w:t xml:space="preserve">Equipo </w:t>
            </w:r>
            <w:r>
              <w:rPr>
                <w:rFonts w:ascii="Cambria" w:hAnsi="Cambria"/>
                <w:spacing w:val="-1"/>
              </w:rPr>
              <w:t>parenteral universal para todos</w:t>
            </w:r>
            <w:r>
              <w:rPr>
                <w:rFonts w:ascii="Cambria" w:hAnsi="Cambria"/>
                <w:spacing w:val="-36"/>
              </w:rPr>
              <w:t xml:space="preserve"> </w:t>
            </w:r>
            <w:r>
              <w:rPr>
                <w:rFonts w:ascii="Cambria" w:hAnsi="Cambria"/>
              </w:rPr>
              <w:t>os modelos de bomba de infusão;</w:t>
            </w:r>
            <w:r>
              <w:rPr>
                <w:rFonts w:ascii="Cambria" w:hAnsi="Cambria"/>
                <w:spacing w:val="1"/>
              </w:rPr>
              <w:t xml:space="preserve"> </w:t>
            </w:r>
            <w:r>
              <w:rPr>
                <w:rFonts w:ascii="Cambria" w:hAnsi="Cambria"/>
              </w:rPr>
              <w:t>embalado individualmente, câmara</w:t>
            </w:r>
            <w:r>
              <w:rPr>
                <w:rFonts w:ascii="Cambria" w:hAnsi="Cambria"/>
                <w:spacing w:val="1"/>
              </w:rPr>
              <w:t xml:space="preserve"> </w:t>
            </w:r>
            <w:r>
              <w:rPr>
                <w:rFonts w:ascii="Cambria" w:hAnsi="Cambria"/>
              </w:rPr>
              <w:t>gotejadora</w:t>
            </w:r>
            <w:r>
              <w:rPr>
                <w:rFonts w:ascii="Cambria" w:hAnsi="Cambria"/>
                <w:spacing w:val="-8"/>
              </w:rPr>
              <w:t xml:space="preserve"> </w:t>
            </w:r>
            <w:r>
              <w:rPr>
                <w:rFonts w:ascii="Cambria" w:hAnsi="Cambria"/>
              </w:rPr>
              <w:t>flexível.</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9BF150B">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2973750">
            <w:pPr>
              <w:widowControl w:val="0"/>
              <w:suppressAutoHyphens/>
              <w:spacing w:after="288" w:afterLines="120" w:line="276" w:lineRule="auto"/>
              <w:jc w:val="center"/>
              <w:rPr>
                <w:rFonts w:ascii="Cambria" w:hAnsi="Cambria"/>
              </w:rPr>
            </w:pPr>
            <w:r>
              <w:rPr>
                <w:rFonts w:ascii="Cambria" w:hAnsi="Cambria"/>
              </w:rPr>
              <w:t>200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E31DC9D">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R$ 38,96</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9E96A19">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R$ 7.792,00</w:t>
            </w:r>
          </w:p>
        </w:tc>
      </w:tr>
      <w:tr w14:paraId="47446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1DF45B9">
            <w:pPr>
              <w:widowControl w:val="0"/>
              <w:suppressAutoHyphens/>
              <w:spacing w:after="288" w:afterLines="120" w:line="276" w:lineRule="auto"/>
              <w:ind w:left="-108" w:right="-108"/>
              <w:jc w:val="center"/>
              <w:rPr>
                <w:rFonts w:ascii="Cambria" w:hAnsi="Cambria"/>
              </w:rPr>
            </w:pPr>
            <w:r>
              <w:rPr>
                <w:rFonts w:ascii="Cambria" w:hAnsi="Cambria"/>
              </w:rPr>
              <w:t>110</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D8277B0">
            <w:pPr>
              <w:widowControl w:val="0"/>
              <w:suppressAutoHyphens/>
              <w:spacing w:after="288" w:afterLines="120" w:line="276" w:lineRule="auto"/>
              <w:jc w:val="both"/>
              <w:rPr>
                <w:rFonts w:ascii="Cambria" w:hAnsi="Cambria"/>
                <w:spacing w:val="-2"/>
              </w:rPr>
            </w:pPr>
            <w:r>
              <w:rPr>
                <w:rFonts w:ascii="Cambria" w:hAnsi="Cambria"/>
              </w:rPr>
              <w:t>Água</w:t>
            </w:r>
            <w:r>
              <w:rPr>
                <w:rFonts w:ascii="Cambria" w:hAnsi="Cambria"/>
                <w:spacing w:val="-10"/>
              </w:rPr>
              <w:t xml:space="preserve"> </w:t>
            </w:r>
            <w:r>
              <w:rPr>
                <w:rFonts w:ascii="Cambria" w:hAnsi="Cambria"/>
              </w:rPr>
              <w:t>para</w:t>
            </w:r>
            <w:r>
              <w:rPr>
                <w:rFonts w:ascii="Cambria" w:hAnsi="Cambria"/>
                <w:spacing w:val="-10"/>
              </w:rPr>
              <w:t xml:space="preserve"> </w:t>
            </w:r>
            <w:r>
              <w:rPr>
                <w:rFonts w:ascii="Cambria" w:hAnsi="Cambria"/>
              </w:rPr>
              <w:t>injeção</w:t>
            </w:r>
            <w:r>
              <w:rPr>
                <w:rFonts w:ascii="Cambria" w:hAnsi="Cambria"/>
                <w:spacing w:val="-1"/>
              </w:rPr>
              <w:t xml:space="preserve"> </w:t>
            </w:r>
            <w:r>
              <w:rPr>
                <w:rFonts w:ascii="Cambria" w:hAnsi="Cambria"/>
              </w:rPr>
              <w:t>de</w:t>
            </w:r>
            <w:r>
              <w:rPr>
                <w:rFonts w:ascii="Cambria" w:hAnsi="Cambria"/>
                <w:spacing w:val="-2"/>
              </w:rPr>
              <w:t xml:space="preserve"> </w:t>
            </w:r>
            <w:r>
              <w:rPr>
                <w:rFonts w:ascii="Cambria" w:hAnsi="Cambria"/>
              </w:rPr>
              <w:t>500</w:t>
            </w:r>
            <w:r>
              <w:rPr>
                <w:rFonts w:ascii="Cambria" w:hAnsi="Cambria"/>
                <w:spacing w:val="-2"/>
              </w:rPr>
              <w:t xml:space="preserve"> </w:t>
            </w:r>
            <w:r>
              <w:rPr>
                <w:rFonts w:ascii="Cambria" w:hAnsi="Cambria"/>
              </w:rPr>
              <w:t>ml</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1367E98">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2A36E19">
            <w:pPr>
              <w:widowControl w:val="0"/>
              <w:suppressAutoHyphens/>
              <w:spacing w:after="288" w:afterLines="120" w:line="276" w:lineRule="auto"/>
              <w:jc w:val="center"/>
              <w:rPr>
                <w:rFonts w:ascii="Cambria" w:hAnsi="Cambria"/>
              </w:rPr>
            </w:pPr>
            <w:r>
              <w:rPr>
                <w:rFonts w:ascii="Cambria" w:hAnsi="Cambria"/>
              </w:rPr>
              <w:t>240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2C3AFF7">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R$ 12,02</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8426C60">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R$ 2.884,80</w:t>
            </w:r>
          </w:p>
        </w:tc>
      </w:tr>
      <w:tr w14:paraId="779DC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B0F4A4C">
            <w:pPr>
              <w:widowControl w:val="0"/>
              <w:suppressAutoHyphens/>
              <w:spacing w:after="288" w:afterLines="120" w:line="276" w:lineRule="auto"/>
              <w:ind w:left="-108" w:right="-108"/>
              <w:jc w:val="center"/>
              <w:rPr>
                <w:rFonts w:ascii="Cambria" w:hAnsi="Cambria"/>
              </w:rPr>
            </w:pPr>
            <w:r>
              <w:rPr>
                <w:rFonts w:ascii="Cambria" w:hAnsi="Cambria"/>
              </w:rPr>
              <w:t>111</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4A1F80A">
            <w:pPr>
              <w:widowControl w:val="0"/>
              <w:suppressAutoHyphens/>
              <w:spacing w:after="288" w:afterLines="120" w:line="276" w:lineRule="auto"/>
              <w:jc w:val="both"/>
              <w:rPr>
                <w:rFonts w:ascii="Cambria" w:hAnsi="Cambria"/>
              </w:rPr>
            </w:pPr>
            <w:r>
              <w:rPr>
                <w:rFonts w:ascii="Cambria" w:hAnsi="Cambria"/>
              </w:rPr>
              <w:t>Cateter</w:t>
            </w:r>
            <w:r>
              <w:rPr>
                <w:rFonts w:ascii="Cambria" w:hAnsi="Cambria"/>
                <w:spacing w:val="-7"/>
              </w:rPr>
              <w:t xml:space="preserve"> </w:t>
            </w:r>
            <w:r>
              <w:rPr>
                <w:rFonts w:ascii="Cambria" w:hAnsi="Cambria"/>
              </w:rPr>
              <w:t>intravenoso</w:t>
            </w:r>
            <w:r>
              <w:rPr>
                <w:rFonts w:ascii="Cambria" w:hAnsi="Cambria"/>
                <w:spacing w:val="-7"/>
              </w:rPr>
              <w:t xml:space="preserve"> </w:t>
            </w:r>
            <w:r>
              <w:rPr>
                <w:rFonts w:ascii="Cambria" w:hAnsi="Cambria"/>
              </w:rPr>
              <w:t>periférico</w:t>
            </w:r>
            <w:r>
              <w:rPr>
                <w:rFonts w:ascii="Cambria" w:hAnsi="Cambria"/>
                <w:spacing w:val="-7"/>
              </w:rPr>
              <w:t xml:space="preserve"> </w:t>
            </w:r>
            <w:r>
              <w:rPr>
                <w:rFonts w:ascii="Cambria" w:hAnsi="Cambria"/>
              </w:rPr>
              <w:t>22g</w:t>
            </w:r>
            <w:r>
              <w:rPr>
                <w:rFonts w:ascii="Cambria" w:hAnsi="Cambria"/>
                <w:spacing w:val="-7"/>
              </w:rPr>
              <w:t xml:space="preserve"> </w:t>
            </w:r>
            <w:r>
              <w:rPr>
                <w:rFonts w:ascii="Cambria" w:hAnsi="Cambria"/>
              </w:rPr>
              <w:t>x</w:t>
            </w:r>
            <w:r>
              <w:rPr>
                <w:rFonts w:ascii="Cambria" w:hAnsi="Cambria"/>
                <w:spacing w:val="-7"/>
              </w:rPr>
              <w:t xml:space="preserve"> </w:t>
            </w:r>
            <w:r>
              <w:rPr>
                <w:rFonts w:ascii="Cambria" w:hAnsi="Cambria"/>
              </w:rPr>
              <w:t>25</w:t>
            </w:r>
            <w:r>
              <w:rPr>
                <w:rFonts w:ascii="Cambria" w:hAnsi="Cambria"/>
                <w:spacing w:val="-36"/>
              </w:rPr>
              <w:t xml:space="preserve"> </w:t>
            </w:r>
            <w:r>
              <w:rPr>
                <w:rFonts w:ascii="Cambria" w:hAnsi="Cambria"/>
              </w:rPr>
              <w:t>mm, com dispositivo de proteção,</w:t>
            </w:r>
            <w:r>
              <w:rPr>
                <w:rFonts w:ascii="Cambria" w:hAnsi="Cambria"/>
                <w:spacing w:val="1"/>
              </w:rPr>
              <w:t xml:space="preserve"> </w:t>
            </w:r>
            <w:r>
              <w:rPr>
                <w:rFonts w:ascii="Cambria" w:hAnsi="Cambria"/>
              </w:rPr>
              <w:t>composto de cânula em vialon -</w:t>
            </w:r>
            <w:r>
              <w:rPr>
                <w:rFonts w:ascii="Cambria" w:hAnsi="Cambria"/>
                <w:spacing w:val="1"/>
              </w:rPr>
              <w:t xml:space="preserve"> </w:t>
            </w:r>
            <w:r>
              <w:rPr>
                <w:rFonts w:ascii="Cambria" w:hAnsi="Cambria"/>
              </w:rPr>
              <w:t>radiopaco e transparente, agulha</w:t>
            </w:r>
            <w:r>
              <w:rPr>
                <w:rFonts w:ascii="Cambria" w:hAnsi="Cambria"/>
                <w:spacing w:val="1"/>
              </w:rPr>
              <w:t xml:space="preserve"> </w:t>
            </w:r>
            <w:r>
              <w:rPr>
                <w:rFonts w:ascii="Cambria" w:hAnsi="Cambria"/>
              </w:rPr>
              <w:t>eletripolida com ponta em "v" e bisel tri</w:t>
            </w:r>
            <w:r>
              <w:rPr>
                <w:rFonts w:ascii="Cambria" w:hAnsi="Cambria"/>
                <w:spacing w:val="-36"/>
              </w:rPr>
              <w:t xml:space="preserve"> </w:t>
            </w:r>
            <w:r>
              <w:rPr>
                <w:rFonts w:ascii="Cambria" w:hAnsi="Cambria"/>
              </w:rPr>
              <w:t>facetado, sistema de segurança</w:t>
            </w:r>
            <w:r>
              <w:rPr>
                <w:rFonts w:ascii="Cambria" w:hAnsi="Cambria"/>
                <w:spacing w:val="1"/>
              </w:rPr>
              <w:t xml:space="preserve"> </w:t>
            </w:r>
            <w:r>
              <w:rPr>
                <w:rFonts w:ascii="Cambria" w:hAnsi="Cambria"/>
              </w:rPr>
              <w:t>ergonômico, alerta indicadora da</w:t>
            </w:r>
            <w:r>
              <w:rPr>
                <w:rFonts w:ascii="Cambria" w:hAnsi="Cambria"/>
                <w:spacing w:val="1"/>
              </w:rPr>
              <w:t xml:space="preserve"> </w:t>
            </w:r>
            <w:r>
              <w:rPr>
                <w:rFonts w:ascii="Cambria" w:hAnsi="Cambria"/>
              </w:rPr>
              <w:t>posição do bisel e câmara de refluxo</w:t>
            </w:r>
            <w:r>
              <w:rPr>
                <w:rFonts w:ascii="Cambria" w:hAnsi="Cambria"/>
                <w:spacing w:val="1"/>
              </w:rPr>
              <w:t xml:space="preserve"> </w:t>
            </w:r>
            <w:r>
              <w:rPr>
                <w:rFonts w:ascii="Cambria" w:hAnsi="Cambria"/>
              </w:rPr>
              <w:t>transparente</w:t>
            </w:r>
            <w:r>
              <w:rPr>
                <w:rFonts w:ascii="Cambria" w:hAnsi="Cambria"/>
                <w:spacing w:val="-2"/>
              </w:rPr>
              <w:t xml:space="preserve"> </w:t>
            </w:r>
            <w:r>
              <w:rPr>
                <w:rFonts w:ascii="Cambria" w:hAnsi="Cambria"/>
              </w:rPr>
              <w:t>com</w:t>
            </w:r>
            <w:r>
              <w:rPr>
                <w:rFonts w:ascii="Cambria" w:hAnsi="Cambria"/>
                <w:spacing w:val="-1"/>
              </w:rPr>
              <w:t xml:space="preserve"> </w:t>
            </w:r>
            <w:r>
              <w:rPr>
                <w:rFonts w:ascii="Cambria" w:hAnsi="Cambria"/>
              </w:rPr>
              <w:t>filtro</w:t>
            </w:r>
            <w:r>
              <w:rPr>
                <w:rFonts w:ascii="Cambria" w:hAnsi="Cambria"/>
                <w:spacing w:val="-2"/>
              </w:rPr>
              <w:t xml:space="preserve"> </w:t>
            </w:r>
            <w:r>
              <w:rPr>
                <w:rFonts w:ascii="Cambria" w:hAnsi="Cambria"/>
              </w:rPr>
              <w:t>poroso.</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4B5547A">
            <w:pPr>
              <w:widowControl w:val="0"/>
              <w:suppressAutoHyphens/>
              <w:spacing w:after="288" w:afterLines="120" w:line="276" w:lineRule="auto"/>
              <w:ind w:left="-108" w:right="-108"/>
              <w:jc w:val="center"/>
              <w:rPr>
                <w:rFonts w:ascii="Cambria" w:hAnsi="Cambria"/>
              </w:rPr>
            </w:pPr>
            <w:r>
              <w:rPr>
                <w:rFonts w:ascii="Cambria" w:hAnsi="Cambria"/>
              </w:rPr>
              <w:t>Un</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B7692AD">
            <w:pPr>
              <w:widowControl w:val="0"/>
              <w:suppressAutoHyphens/>
              <w:spacing w:after="288" w:afterLines="120" w:line="276" w:lineRule="auto"/>
              <w:jc w:val="center"/>
              <w:rPr>
                <w:rFonts w:ascii="Cambria" w:hAnsi="Cambria"/>
              </w:rPr>
            </w:pPr>
            <w:r>
              <w:rPr>
                <w:rFonts w:ascii="Cambria" w:hAnsi="Cambria"/>
              </w:rPr>
              <w:t>80.000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EE5E632">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R$ 0,85</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4BCBCA5">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R$ 68.000,00</w:t>
            </w:r>
          </w:p>
        </w:tc>
      </w:tr>
      <w:tr w14:paraId="3B1BF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2B61430">
            <w:pPr>
              <w:widowControl w:val="0"/>
              <w:suppressAutoHyphens/>
              <w:spacing w:after="288" w:afterLines="120" w:line="276" w:lineRule="auto"/>
              <w:ind w:left="-108" w:right="-108"/>
              <w:jc w:val="center"/>
              <w:rPr>
                <w:rFonts w:ascii="Cambria" w:hAnsi="Cambria"/>
              </w:rPr>
            </w:pPr>
            <w:r>
              <w:rPr>
                <w:rFonts w:ascii="Cambria" w:hAnsi="Cambria"/>
              </w:rPr>
              <w:t>112</w:t>
            </w:r>
          </w:p>
        </w:tc>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E3167C8">
            <w:pPr>
              <w:widowControl w:val="0"/>
              <w:suppressAutoHyphens/>
              <w:spacing w:after="288" w:afterLines="120" w:line="276" w:lineRule="auto"/>
              <w:jc w:val="both"/>
              <w:rPr>
                <w:rFonts w:ascii="Cambria" w:hAnsi="Cambria"/>
              </w:rPr>
            </w:pPr>
            <w:r>
              <w:rPr>
                <w:rFonts w:ascii="Cambria" w:hAnsi="Cambria"/>
              </w:rPr>
              <w:t>I</w:t>
            </w:r>
            <w:r>
              <w:rPr>
                <w:rFonts w:ascii="Cambria" w:hAnsi="Cambria"/>
                <w:spacing w:val="-3"/>
              </w:rPr>
              <w:t xml:space="preserve"> </w:t>
            </w:r>
            <w:r>
              <w:rPr>
                <w:rFonts w:ascii="Cambria" w:hAnsi="Cambria"/>
              </w:rPr>
              <w:t>15</w:t>
            </w:r>
            <w:r>
              <w:rPr>
                <w:rFonts w:ascii="Cambria" w:hAnsi="Cambria"/>
                <w:spacing w:val="-3"/>
              </w:rPr>
              <w:t xml:space="preserve"> </w:t>
            </w:r>
            <w:r>
              <w:rPr>
                <w:rFonts w:ascii="Cambria" w:hAnsi="Cambria"/>
              </w:rPr>
              <w:t>cartucho</w:t>
            </w:r>
            <w:r>
              <w:rPr>
                <w:rFonts w:ascii="Cambria" w:hAnsi="Cambria"/>
                <w:spacing w:val="-5"/>
              </w:rPr>
              <w:t xml:space="preserve"> </w:t>
            </w:r>
            <w:r>
              <w:rPr>
                <w:rFonts w:ascii="Cambria" w:hAnsi="Cambria"/>
              </w:rPr>
              <w:t>teste</w:t>
            </w:r>
            <w:r>
              <w:rPr>
                <w:rFonts w:ascii="Cambria" w:hAnsi="Cambria"/>
                <w:spacing w:val="-3"/>
              </w:rPr>
              <w:t xml:space="preserve"> </w:t>
            </w:r>
            <w:r>
              <w:rPr>
                <w:rFonts w:ascii="Cambria" w:hAnsi="Cambria"/>
              </w:rPr>
              <w:t>bg10</w:t>
            </w:r>
            <w:r>
              <w:rPr>
                <w:rFonts w:ascii="Cambria" w:hAnsi="Cambria"/>
                <w:spacing w:val="-2"/>
              </w:rPr>
              <w:t xml:space="preserve"> </w:t>
            </w:r>
            <w:r>
              <w:rPr>
                <w:rFonts w:ascii="Cambria" w:hAnsi="Cambria"/>
              </w:rPr>
              <w:t>c/25</w:t>
            </w:r>
            <w:r>
              <w:rPr>
                <w:rFonts w:ascii="Cambria" w:hAnsi="Cambria"/>
                <w:spacing w:val="-3"/>
              </w:rPr>
              <w:t xml:space="preserve"> </w:t>
            </w:r>
            <w:r>
              <w:rPr>
                <w:rFonts w:ascii="Cambria" w:hAnsi="Cambria"/>
              </w:rPr>
              <w:t>-</w:t>
            </w:r>
            <w:r>
              <w:rPr>
                <w:rFonts w:ascii="Cambria" w:hAnsi="Cambria"/>
                <w:spacing w:val="-2"/>
              </w:rPr>
              <w:t xml:space="preserve"> </w:t>
            </w:r>
            <w:r>
              <w:rPr>
                <w:rFonts w:ascii="Cambria" w:hAnsi="Cambria"/>
              </w:rPr>
              <w:t>marca</w:t>
            </w:r>
            <w:r>
              <w:rPr>
                <w:rFonts w:ascii="Cambria" w:hAnsi="Cambria"/>
                <w:spacing w:val="-36"/>
              </w:rPr>
              <w:t xml:space="preserve"> </w:t>
            </w:r>
            <w:r>
              <w:rPr>
                <w:rFonts w:ascii="Cambria" w:hAnsi="Cambria"/>
              </w:rPr>
              <w:t>aceitável: labtest</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8671E2D">
            <w:pPr>
              <w:widowControl w:val="0"/>
              <w:suppressAutoHyphens/>
              <w:spacing w:after="288" w:afterLines="120" w:line="276" w:lineRule="auto"/>
              <w:ind w:left="-108" w:right="-108"/>
              <w:jc w:val="center"/>
              <w:rPr>
                <w:rFonts w:ascii="Cambria" w:hAnsi="Cambria"/>
              </w:rPr>
            </w:pPr>
            <w:r>
              <w:rPr>
                <w:rFonts w:ascii="Cambria" w:hAnsi="Cambria"/>
              </w:rPr>
              <w:t>Cx</w:t>
            </w:r>
          </w:p>
        </w:tc>
        <w:tc>
          <w:tcPr>
            <w:tcW w:w="99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6FD78DD">
            <w:pPr>
              <w:widowControl w:val="0"/>
              <w:suppressAutoHyphens/>
              <w:spacing w:after="288" w:afterLines="120" w:line="276" w:lineRule="auto"/>
              <w:jc w:val="center"/>
              <w:rPr>
                <w:rFonts w:ascii="Cambria" w:hAnsi="Cambria"/>
              </w:rPr>
            </w:pPr>
            <w:r>
              <w:rPr>
                <w:rFonts w:ascii="Cambria" w:hAnsi="Cambria"/>
              </w:rPr>
              <w:t>20</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512B24B">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R$ 2.377,50</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94EB253">
            <w:pPr>
              <w:widowControl w:val="0"/>
              <w:suppressAutoHyphens/>
              <w:spacing w:after="288" w:afterLines="120" w:line="276" w:lineRule="auto"/>
              <w:ind w:left="-113" w:right="-103"/>
              <w:jc w:val="center"/>
              <w:rPr>
                <w:rFonts w:ascii="Cambria" w:hAnsi="Cambria" w:eastAsia="Times New Roman" w:cs="Calibri"/>
                <w:lang w:eastAsia="pt-BR"/>
              </w:rPr>
            </w:pPr>
            <w:r>
              <w:rPr>
                <w:rFonts w:ascii="Cambria" w:hAnsi="Cambria" w:eastAsia="Times New Roman" w:cs="Calibri"/>
                <w:lang w:eastAsia="pt-BR"/>
              </w:rPr>
              <w:t>R$ 47.550,00</w:t>
            </w:r>
          </w:p>
        </w:tc>
      </w:tr>
      <w:tr w14:paraId="6BD14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9214" w:type="dxa"/>
            <w:gridSpan w:val="6"/>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D8253AF">
            <w:pPr>
              <w:widowControl w:val="0"/>
              <w:suppressAutoHyphens/>
              <w:spacing w:after="288" w:afterLines="120" w:line="276" w:lineRule="auto"/>
              <w:ind w:left="-113" w:right="-103"/>
              <w:jc w:val="center"/>
              <w:rPr>
                <w:rFonts w:ascii="Cambria" w:hAnsi="Cambria" w:eastAsia="Times New Roman" w:cs="Calibri"/>
                <w:b/>
                <w:bCs/>
                <w:lang w:eastAsia="pt-BR"/>
              </w:rPr>
            </w:pPr>
            <w:r>
              <w:rPr>
                <w:rFonts w:ascii="Cambria" w:hAnsi="Cambria" w:eastAsia="Times New Roman" w:cs="Calibri"/>
                <w:b/>
                <w:bCs/>
                <w:lang w:eastAsia="pt-BR"/>
              </w:rPr>
              <w:t>VALOR TOTAL ESTIMADO ----------------------------------------------------------- R$ 2.326.614,90</w:t>
            </w:r>
          </w:p>
        </w:tc>
      </w:tr>
    </w:tbl>
    <w:p w14:paraId="589EC2B2">
      <w:pPr>
        <w:pStyle w:val="30"/>
        <w:rPr>
          <w:b/>
        </w:rPr>
      </w:pPr>
      <w:r>
        <w:t xml:space="preserve">O custo total estimado da presente licitação é de </w:t>
      </w:r>
      <w:r>
        <w:rPr>
          <w:b/>
        </w:rPr>
        <w:t>R$ 2.326.614,90 (Dois milhões trezentos e vinte e seis mil seiscentos e quatorze reais e noventa centavos).</w:t>
      </w:r>
    </w:p>
    <w:p w14:paraId="3039A881">
      <w:pPr>
        <w:pStyle w:val="30"/>
      </w:pPr>
      <w:bookmarkStart w:id="64" w:name="_Hlk159229198"/>
      <w:r>
        <w:t>Foi utilizado para pesquisa de preços o Painel de Preços do Ministério da Gestão e Inovação em Serviços Públicos do Governo Federal, Cotação Eletrônica de contratações similares realizadas pela Administração Pública através da Bolsa Nacional de Compras – BNC, bem como pesquisa de preços com empresas especializadas na comercialização do objeto solicitado para formação de preço parâmetro estimado, conforme preceitua o artigo 23 da Lei nº 14.133</w:t>
      </w:r>
      <w:bookmarkEnd w:id="64"/>
      <w:r>
        <w:t>, de 01 de abril de 2021.</w:t>
      </w:r>
    </w:p>
    <w:p w14:paraId="4BB48DD7">
      <w:pPr>
        <w:pStyle w:val="30"/>
      </w:pPr>
      <w:r>
        <w:t>1.2 Os bens objeto desta contratação são caracterizados como comuns, conforme justificativa constante do Estudo Técnico Preliminar.</w:t>
      </w:r>
    </w:p>
    <w:p w14:paraId="68B25C53">
      <w:pPr>
        <w:pStyle w:val="30"/>
      </w:pPr>
      <w:r>
        <w:t>1.3 O objeto desta contratação não se enquadra como sendo de bem de luxo, conforme Decreto Federal nº 10.818, de 27 de setembro de 2021.</w:t>
      </w:r>
    </w:p>
    <w:p w14:paraId="1D8CD996">
      <w:pPr>
        <w:pStyle w:val="34"/>
        <w:rPr>
          <w:color w:val="auto"/>
        </w:rPr>
      </w:pPr>
      <w:r>
        <w:rPr>
          <w:i w:val="0"/>
          <w:color w:val="auto"/>
        </w:rPr>
        <w:t>1.4 O prazo de vigência da contratação é de 12 meses contados da data de sua publicação no Portal Nacional de Contratações Públicas, na forma do artigo 94 da Lei n° 14.133, de 2021, prorrogável por até 10 anos, na forma dos artigos 106 e 107 da Lei n° 14.133, de 2021</w:t>
      </w:r>
      <w:r>
        <w:rPr>
          <w:color w:val="auto"/>
        </w:rPr>
        <w:t>.</w:t>
      </w:r>
    </w:p>
    <w:p w14:paraId="3F840584">
      <w:pPr>
        <w:pStyle w:val="30"/>
      </w:pPr>
      <w:r>
        <w:t>1.5 A minuta contratual conterá o detalhamento das regras que serão aplicadas em relação à vigência da contratação, nos termos da legislação vigente.</w:t>
      </w:r>
    </w:p>
    <w:p w14:paraId="46D4715E">
      <w:pPr>
        <w:pStyle w:val="28"/>
        <w:rPr>
          <w:rFonts w:cs="Times New Roman"/>
        </w:rPr>
      </w:pPr>
      <w:r>
        <w:rPr>
          <w:rFonts w:cs="Times New Roman"/>
        </w:rPr>
        <w:t>2. FUNDAMENTAÇÃO E DESCRIÇÃO DA NECESSIDADE DA CONTRATAÇÃO</w:t>
      </w:r>
    </w:p>
    <w:p w14:paraId="5F0E09E0">
      <w:pPr>
        <w:pStyle w:val="30"/>
      </w:pPr>
      <w:r>
        <w:t>2.1 A Fundamentação da Contratação com seus quantitativos encontra-se pormenorizada em Tópico específico dos Estudos Técnicos Preliminares, apêndice deste Termo de Referência.</w:t>
      </w:r>
    </w:p>
    <w:p w14:paraId="389DB157">
      <w:pPr>
        <w:pStyle w:val="28"/>
        <w:rPr>
          <w:rFonts w:cs="Times New Roman"/>
        </w:rPr>
      </w:pPr>
      <w:r>
        <w:rPr>
          <w:rFonts w:cs="Times New Roman"/>
        </w:rPr>
        <w:t>3. DESCRIÇÃO DA SOLUÇÃO COMO UM TODO CONSIDERADO O CICLO DE VIDA DO OBJETO E ESPECIFICAÇÃO DO PRODUTO</w:t>
      </w:r>
    </w:p>
    <w:p w14:paraId="14A91DB7">
      <w:pPr>
        <w:pStyle w:val="34"/>
        <w:rPr>
          <w:color w:val="auto"/>
        </w:rPr>
      </w:pPr>
      <w:r>
        <w:rPr>
          <w:i w:val="0"/>
          <w:color w:val="auto"/>
        </w:rPr>
        <w:t>3.1 A descrição da solução como um todo encontra-se pormenorizada em tópico específico dos Estudos Técnicos Preliminares, apêndice deste Termo de Referência</w:t>
      </w:r>
      <w:r>
        <w:rPr>
          <w:color w:val="auto"/>
        </w:rPr>
        <w:t>.</w:t>
      </w:r>
    </w:p>
    <w:p w14:paraId="36E5B76B">
      <w:pPr>
        <w:pStyle w:val="28"/>
        <w:rPr>
          <w:rFonts w:cs="Times New Roman"/>
        </w:rPr>
      </w:pPr>
      <w:r>
        <w:rPr>
          <w:rFonts w:cs="Times New Roman"/>
        </w:rPr>
        <w:t>4. REQUISITOS DA CONTRATAÇÃO</w:t>
      </w:r>
    </w:p>
    <w:p w14:paraId="25BA57B8">
      <w:pPr>
        <w:pStyle w:val="30"/>
        <w:rPr>
          <w:shd w:val="clear" w:color="auto" w:fill="FFFFFF"/>
        </w:rPr>
      </w:pPr>
      <w:r>
        <w:t>4.1 Além dos critérios de sustentabilidade eventualmente inseridos na descrição do objeto, devem ser atendidos os seguintes requisitos, que se baseiam no Guia Nacional de Contratações Sustentáveis:</w:t>
      </w:r>
    </w:p>
    <w:p w14:paraId="78C3EB22">
      <w:pPr>
        <w:pStyle w:val="36"/>
        <w:rPr>
          <w:i/>
          <w:color w:val="auto"/>
          <w:shd w:val="clear" w:color="auto" w:fill="FFFFFF"/>
        </w:rPr>
      </w:pPr>
      <w:r>
        <w:rPr>
          <w:b/>
          <w:color w:val="auto"/>
        </w:rPr>
        <w:t>4.1.1</w:t>
      </w:r>
      <w:r>
        <w:rPr>
          <w:color w:val="auto"/>
        </w:rPr>
        <w:t xml:space="preserve"> Os riscos de impactos ocasionados devido a produção nas indústrias, as empresas deverão atentar para as práticas de mitigação dos impactos na produção, em como as lei e Resoluções que orientam a produção sustentável dessas atividades.</w:t>
      </w:r>
    </w:p>
    <w:p w14:paraId="0F206786">
      <w:pPr>
        <w:pStyle w:val="36"/>
        <w:rPr>
          <w:i/>
          <w:color w:val="auto"/>
          <w:shd w:val="clear" w:color="auto" w:fill="FFFFFF"/>
        </w:rPr>
      </w:pPr>
      <w:r>
        <w:rPr>
          <w:b/>
          <w:color w:val="auto"/>
        </w:rPr>
        <w:t>4.1.2</w:t>
      </w:r>
      <w:r>
        <w:rPr>
          <w:color w:val="auto"/>
        </w:rPr>
        <w:t xml:space="preserve"> Que sejam observados os requisitos ambientais para a obtenção de certificação do Instituto Nacional de Metrologia, Normalização e Qualidade Industrial – INMETRO como produtos sustentáveis ou de menor impacto ambiental em relação aos seus similares.</w:t>
      </w:r>
    </w:p>
    <w:p w14:paraId="69303002">
      <w:pPr>
        <w:pStyle w:val="36"/>
        <w:rPr>
          <w:color w:val="auto"/>
          <w:shd w:val="clear" w:color="auto" w:fill="FFFFFF"/>
        </w:rPr>
      </w:pPr>
      <w:r>
        <w:rPr>
          <w:b/>
          <w:color w:val="auto"/>
        </w:rPr>
        <w:t>4.1.3</w:t>
      </w:r>
      <w:r>
        <w:rPr>
          <w:color w:val="auto"/>
        </w:rPr>
        <w:t xml:space="preserve"> Que os bens devam ser preferencialmente, acondicionados em embalagem individual adequada, com o menor volume possível, que utilize materiais recicláveis, de forma a garantir a máxima proteção durante o transporte e o armazenamento.</w:t>
      </w:r>
    </w:p>
    <w:p w14:paraId="78AE9CA2">
      <w:pPr>
        <w:pStyle w:val="52"/>
        <w:rPr>
          <w:color w:val="auto"/>
        </w:rPr>
      </w:pPr>
      <w:r>
        <w:rPr>
          <w:color w:val="auto"/>
        </w:rPr>
        <w:t xml:space="preserve">4.2 Na presente contratação será admitida a indicação da(s) seguinte(s) marca(s), característica(s) ou modelo(s), de acordo com as justificativas contidas nos Estudos Técnicos Preliminares, nos termos do </w:t>
      </w:r>
      <w:r>
        <w:fldChar w:fldCharType="begin"/>
      </w:r>
      <w:r>
        <w:instrText xml:space="preserve"> HYPERLINK "http://www.planalto.gov.br/ccivil_03/_ato2019-2022/2021/lei/L14133.htm" \l "art41" </w:instrText>
      </w:r>
      <w:r>
        <w:fldChar w:fldCharType="separate"/>
      </w:r>
      <w:r>
        <w:rPr>
          <w:rStyle w:val="9"/>
          <w:color w:val="auto"/>
        </w:rPr>
        <w:t>Art. 41, inciso I, da Lei nº 14.133, de 2021</w:t>
      </w:r>
      <w:r>
        <w:rPr>
          <w:rStyle w:val="9"/>
          <w:color w:val="auto"/>
        </w:rPr>
        <w:fldChar w:fldCharType="end"/>
      </w:r>
      <w:r>
        <w:rPr>
          <w:color w:val="auto"/>
        </w:rPr>
        <w:t>):</w:t>
      </w:r>
    </w:p>
    <w:p w14:paraId="121F6B1D">
      <w:pPr>
        <w:spacing w:before="240" w:after="60" w:line="276" w:lineRule="auto"/>
        <w:jc w:val="both"/>
        <w:rPr>
          <w:rFonts w:ascii="Cambria" w:hAnsi="Cambria" w:eastAsia="Times New Roman" w:cs="Times New Roman"/>
        </w:rPr>
      </w:pPr>
      <w:r>
        <w:rPr>
          <w:rFonts w:ascii="Cambria" w:hAnsi="Cambria" w:cs="Times New Roman"/>
          <w:b/>
          <w:u w:val="single"/>
        </w:rPr>
        <w:t>OS ITENS – 037-038-039-040</w:t>
      </w:r>
      <w:r>
        <w:rPr>
          <w:rFonts w:ascii="Cambria" w:hAnsi="Cambria" w:cs="Times New Roman"/>
          <w:b/>
        </w:rPr>
        <w:t xml:space="preserve">- </w:t>
      </w:r>
      <w:r>
        <w:rPr>
          <w:rFonts w:ascii="Cambria" w:hAnsi="Cambria" w:cs="Times New Roman"/>
        </w:rPr>
        <w:t>INSUMOS A SEREM ADQUIRIDOS, PARA APARELHO DE F200 TEM QUE SER DA MARCA ECO teste, POIS O APARELHO DE F200 CONTÉM UM QRCODE QUE ACEITA SOMENTE OS REAGENTES ESCÍFICOS DA MARCA DO APARELHO QUE É DA MARCA ECO 200</w:t>
      </w:r>
      <w:r>
        <w:rPr>
          <w:rFonts w:ascii="Cambria" w:hAnsi="Cambria" w:cs="Times New Roman"/>
          <w:b/>
        </w:rPr>
        <w:t>.</w:t>
      </w:r>
    </w:p>
    <w:p w14:paraId="5A5CFC05">
      <w:pPr>
        <w:spacing w:before="240" w:after="60" w:line="276" w:lineRule="auto"/>
        <w:jc w:val="both"/>
        <w:rPr>
          <w:rFonts w:ascii="Cambria" w:hAnsi="Cambria" w:cs="Times New Roman"/>
          <w:b/>
        </w:rPr>
      </w:pPr>
      <w:r>
        <w:rPr>
          <w:rFonts w:ascii="Cambria" w:hAnsi="Cambria" w:cs="Times New Roman"/>
          <w:b/>
          <w:u w:val="single"/>
        </w:rPr>
        <w:t>OS ITENS –041-042-043-044-0112</w:t>
      </w:r>
      <w:r>
        <w:rPr>
          <w:rFonts w:ascii="Cambria" w:hAnsi="Cambria" w:cs="Times New Roman"/>
          <w:b/>
        </w:rPr>
        <w:t xml:space="preserve"> </w:t>
      </w:r>
      <w:r>
        <w:rPr>
          <w:rFonts w:ascii="Cambria" w:hAnsi="Cambria" w:cs="Times New Roman"/>
        </w:rPr>
        <w:t>QUE SÃO INSUMOS A SEREM ADQUIRIDOS, PARA APARELHO DE GASOMETRIA TEM QUE SER DA MARCA LABTEST, POIS O APARELHO DE GASOMETRIA CONTÉM UM QRCODE QUE ACEITA SOMENTE OS REAGENTES ESCÍFICOS DA MARCA DO GASOMETRO QUE É DA MARCA LABTEST</w:t>
      </w:r>
      <w:r>
        <w:rPr>
          <w:rFonts w:ascii="Cambria" w:hAnsi="Cambria" w:cs="Times New Roman"/>
          <w:b/>
        </w:rPr>
        <w:t>.</w:t>
      </w:r>
    </w:p>
    <w:p w14:paraId="5DBBDFDF">
      <w:pPr>
        <w:pStyle w:val="30"/>
      </w:pPr>
      <w:r>
        <w:rPr>
          <w:i/>
        </w:rPr>
        <w:t>4</w:t>
      </w:r>
      <w:r>
        <w:t>. 4 Não será admitida a subcontratação do objeto contratual.</w:t>
      </w:r>
    </w:p>
    <w:p w14:paraId="0B8852F2">
      <w:pPr>
        <w:pStyle w:val="34"/>
        <w:rPr>
          <w:color w:val="auto"/>
        </w:rPr>
      </w:pPr>
      <w:r>
        <w:rPr>
          <w:i w:val="0"/>
          <w:color w:val="auto"/>
        </w:rPr>
        <w:t xml:space="preserve">4.5 Não haverá exigência da garantia da contratação dos </w:t>
      </w:r>
      <w:r>
        <w:fldChar w:fldCharType="begin"/>
      </w:r>
      <w:r>
        <w:instrText xml:space="preserve"> HYPERLINK "http://www.planalto.gov.br/ccivil_03/_ato2019-2022/2021/lei/L14133.htm" \l "art96" \h </w:instrText>
      </w:r>
      <w:r>
        <w:fldChar w:fldCharType="separate"/>
      </w:r>
      <w:r>
        <w:rPr>
          <w:rStyle w:val="9"/>
          <w:i w:val="0"/>
          <w:iCs w:val="0"/>
          <w:color w:val="auto"/>
        </w:rPr>
        <w:t>artigos 96 e seguintes da Lei nº 14.133, de 2021</w:t>
      </w:r>
      <w:r>
        <w:rPr>
          <w:rStyle w:val="9"/>
          <w:i w:val="0"/>
          <w:iCs w:val="0"/>
          <w:color w:val="auto"/>
        </w:rPr>
        <w:fldChar w:fldCharType="end"/>
      </w:r>
      <w:r>
        <w:rPr>
          <w:i w:val="0"/>
          <w:color w:val="auto"/>
        </w:rPr>
        <w:t>, pelas razões constantes do Estudo Técnico Preliminar</w:t>
      </w:r>
      <w:r>
        <w:rPr>
          <w:color w:val="auto"/>
        </w:rPr>
        <w:t>.</w:t>
      </w:r>
    </w:p>
    <w:p w14:paraId="07E2B4BB">
      <w:pPr>
        <w:pStyle w:val="28"/>
        <w:rPr>
          <w:rFonts w:cs="Times New Roman"/>
        </w:rPr>
      </w:pPr>
      <w:r>
        <w:rPr>
          <w:rFonts w:cs="Times New Roman"/>
        </w:rPr>
        <w:t>5. DA EXECUÇÃO DO OBJETO</w:t>
      </w:r>
    </w:p>
    <w:p w14:paraId="1F3C20DC">
      <w:pPr>
        <w:pStyle w:val="34"/>
        <w:rPr>
          <w:i w:val="0"/>
          <w:color w:val="auto"/>
        </w:rPr>
      </w:pPr>
      <w:r>
        <w:rPr>
          <w:i w:val="0"/>
          <w:color w:val="auto"/>
        </w:rPr>
        <w:t xml:space="preserve">5.1 Os </w:t>
      </w:r>
      <w:r>
        <w:rPr>
          <w:b/>
          <w:i w:val="0"/>
          <w:color w:val="auto"/>
          <w:u w:val="single"/>
        </w:rPr>
        <w:t>medicamentos, materiais médicos hospitalares e materiais laboratoriais,</w:t>
      </w:r>
      <w:r>
        <w:rPr>
          <w:i w:val="0"/>
          <w:color w:val="auto"/>
        </w:rPr>
        <w:t xml:space="preserve"> deverão ser entregues na sede da Secretaria Municipal de Saúde de Piracanjuba/GO situada na Rua Cônego Olinto 120, centro Piracanjuba/Go, em até 10 (dez) dias úteis, nos horários das 07 horas às 11 horas e das 13 horas às 17 horas conforme determinação dada através de Requisição/Solicitação/ Ordem de Fornecimento pela requisitante, sem ônus adicionais, tais como: transporte, alimentação, etc. </w:t>
      </w:r>
    </w:p>
    <w:p w14:paraId="60C550DE">
      <w:pPr>
        <w:pStyle w:val="34"/>
        <w:rPr>
          <w:i w:val="0"/>
          <w:color w:val="auto"/>
        </w:rPr>
      </w:pPr>
      <w:r>
        <w:rPr>
          <w:i w:val="0"/>
          <w:color w:val="auto"/>
        </w:rPr>
        <w:t>5.2 Caso não seja possível a entrega na data assinalada, a empresa deverá comunicar as razões respectivas com pelo menos 05 (cinco) dias de antecedência para que qualquer pleito de prorrogação de prazo seja analisado, ressalvadas situações de caso fortuito e força maior.</w:t>
      </w:r>
    </w:p>
    <w:p w14:paraId="0CBC304A">
      <w:pPr>
        <w:pStyle w:val="34"/>
        <w:rPr>
          <w:i w:val="0"/>
          <w:color w:val="auto"/>
        </w:rPr>
      </w:pPr>
      <w:r>
        <w:rPr>
          <w:i w:val="0"/>
          <w:color w:val="auto"/>
        </w:rPr>
        <w:t xml:space="preserve">5.3 No caso dos </w:t>
      </w:r>
      <w:r>
        <w:rPr>
          <w:b/>
          <w:i w:val="0"/>
          <w:color w:val="auto"/>
          <w:u w:val="single"/>
        </w:rPr>
        <w:t>medicamentos, materiais médicos hospitalares e materiais laboratoriais</w:t>
      </w:r>
      <w:r>
        <w:rPr>
          <w:i w:val="0"/>
          <w:color w:val="auto"/>
        </w:rPr>
        <w:t>, o prazo de validade na data da entrega não poderá ser inferior a 12 meses, do prazo total recomendado pelo fabricante.</w:t>
      </w:r>
    </w:p>
    <w:p w14:paraId="2A953FFB">
      <w:pPr>
        <w:pStyle w:val="34"/>
        <w:rPr>
          <w:i w:val="0"/>
          <w:color w:val="auto"/>
        </w:rPr>
      </w:pPr>
      <w:r>
        <w:rPr>
          <w:i w:val="0"/>
          <w:color w:val="auto"/>
        </w:rPr>
        <w:t xml:space="preserve">5.4 O prazo de garantia é aquele estabelecido na Lei nº 8.078, de 11 de setembro de 1990 (Código de Defesa do Consumidor), se superior, contado a partir do primeiro dia útil subsequente à data do recebimento definitivo do objeto. </w:t>
      </w:r>
    </w:p>
    <w:p w14:paraId="3AC44365">
      <w:pPr>
        <w:pStyle w:val="34"/>
        <w:rPr>
          <w:i w:val="0"/>
          <w:color w:val="auto"/>
        </w:rPr>
      </w:pPr>
      <w:r>
        <w:rPr>
          <w:i w:val="0"/>
          <w:color w:val="auto"/>
        </w:rPr>
        <w:t xml:space="preserve">5.5 A garantia será prestada com vistas a manter os </w:t>
      </w:r>
      <w:r>
        <w:rPr>
          <w:b/>
          <w:i w:val="0"/>
          <w:color w:val="auto"/>
          <w:u w:val="single"/>
        </w:rPr>
        <w:t>medicamentos, materiais médicos hospitalares e materiais laboratoriais</w:t>
      </w:r>
      <w:r>
        <w:rPr>
          <w:i w:val="0"/>
          <w:color w:val="auto"/>
        </w:rPr>
        <w:t xml:space="preserve"> fornecidos em perfeitas condições de uso, sem qualquer ônus ou custo adicional para o Contratante. </w:t>
      </w:r>
    </w:p>
    <w:p w14:paraId="165A50E9">
      <w:pPr>
        <w:pStyle w:val="34"/>
        <w:rPr>
          <w:i w:val="0"/>
          <w:color w:val="auto"/>
        </w:rPr>
      </w:pPr>
      <w:r>
        <w:rPr>
          <w:i w:val="0"/>
          <w:color w:val="auto"/>
        </w:rPr>
        <w:t xml:space="preserve">5.6 A garantia abrange a realização da manutenção corretiva dos bens pelo próprio Contratado, ou, se for o caso, por meio de assistência técnica autorizada, de acordo com as normas técnicas específicas. </w:t>
      </w:r>
    </w:p>
    <w:p w14:paraId="21DEBE9B">
      <w:pPr>
        <w:pStyle w:val="34"/>
        <w:rPr>
          <w:i w:val="0"/>
          <w:color w:val="auto"/>
        </w:rPr>
      </w:pPr>
      <w:r>
        <w:rPr>
          <w:i w:val="0"/>
          <w:color w:val="auto"/>
        </w:rPr>
        <w:t xml:space="preserve">5.7 Uma vez notificado, o Contratado realizará a reparação ou substituição dos </w:t>
      </w:r>
      <w:r>
        <w:rPr>
          <w:b/>
          <w:i w:val="0"/>
          <w:color w:val="auto"/>
          <w:u w:val="single"/>
        </w:rPr>
        <w:t>medicamentos, materiais médicos hospitalares e materiais laboratoriais</w:t>
      </w:r>
      <w:r>
        <w:rPr>
          <w:i w:val="0"/>
          <w:color w:val="auto"/>
        </w:rPr>
        <w:t xml:space="preserve"> que apresentarem vício ou defeito no prazo de até 02 (dois) dias úteis, contados a partir da data de retirada dos materiais médicos e hospitalares das dependências da requisitante pelo Contratado ou pela assistência técnica autorizada. </w:t>
      </w:r>
    </w:p>
    <w:p w14:paraId="7943107B">
      <w:pPr>
        <w:pStyle w:val="34"/>
        <w:rPr>
          <w:i w:val="0"/>
          <w:color w:val="auto"/>
        </w:rPr>
      </w:pPr>
      <w:r>
        <w:rPr>
          <w:i w:val="0"/>
          <w:color w:val="auto"/>
        </w:rPr>
        <w:t xml:space="preserve">5.8 O prazo indicado no subitem anterior, durante seu transcurso, poderá ser prorrogado uma única vez, por igual período, mediante solicitação escrita e justificada do Contratado, aceita pelo Contratante. </w:t>
      </w:r>
    </w:p>
    <w:p w14:paraId="1CDC2629">
      <w:pPr>
        <w:pStyle w:val="34"/>
        <w:rPr>
          <w:i w:val="0"/>
          <w:color w:val="auto"/>
        </w:rPr>
      </w:pPr>
      <w:r>
        <w:rPr>
          <w:i w:val="0"/>
          <w:color w:val="auto"/>
        </w:rPr>
        <w:t xml:space="preserve">5.9 Na hipótese do subitem acima, o Contratado deverá disponibilizar os </w:t>
      </w:r>
      <w:r>
        <w:rPr>
          <w:b/>
          <w:i w:val="0"/>
          <w:color w:val="auto"/>
          <w:u w:val="single"/>
        </w:rPr>
        <w:t>medicamentos, materiais médicos hospitalares e materiais laboratoriais</w:t>
      </w:r>
      <w:r>
        <w:rPr>
          <w:i w:val="0"/>
          <w:color w:val="auto"/>
        </w:rPr>
        <w:t xml:space="preserve"> equivalente, de especificação igual ou superior ao anteriormente fornecido, para utilização em caráter provisório pelo Contratante, de modo a garantir a continuidade dos trabalhos administrativos durante a execução dos reparos. </w:t>
      </w:r>
    </w:p>
    <w:p w14:paraId="44B0C6E4">
      <w:pPr>
        <w:pStyle w:val="34"/>
        <w:rPr>
          <w:i w:val="0"/>
          <w:color w:val="auto"/>
        </w:rPr>
      </w:pPr>
      <w:r>
        <w:rPr>
          <w:i w:val="0"/>
          <w:color w:val="auto"/>
        </w:rPr>
        <w:t xml:space="preserve">5.10 Decorrido o prazo para substituições sem o atendimento da solicitação do Contratante ou a apresentação de justificativas pelo Contratado, fica o Contratante autorizado a contratar empresa diversa para executar os reparos, ajustes ou a substituição do bem ou de seus componentes, bem como a exigir do Contratado o reembolso pelos custos respectivos, sem que tal fato acarrete a perda da garantia dos equipamentos. </w:t>
      </w:r>
    </w:p>
    <w:p w14:paraId="4CCAE40E">
      <w:pPr>
        <w:pStyle w:val="34"/>
        <w:rPr>
          <w:i w:val="0"/>
          <w:color w:val="auto"/>
        </w:rPr>
      </w:pPr>
      <w:r>
        <w:rPr>
          <w:i w:val="0"/>
          <w:color w:val="auto"/>
        </w:rPr>
        <w:t xml:space="preserve">5.11 O custo referente ao transporte </w:t>
      </w:r>
      <w:r>
        <w:rPr>
          <w:color w:val="auto"/>
        </w:rPr>
        <w:t xml:space="preserve">dos </w:t>
      </w:r>
      <w:r>
        <w:rPr>
          <w:b/>
          <w:i w:val="0"/>
          <w:color w:val="auto"/>
          <w:u w:val="single"/>
        </w:rPr>
        <w:t>medicamentos, materiais médicos hospitalares e materiais laboratoriais</w:t>
      </w:r>
      <w:r>
        <w:rPr>
          <w:i w:val="0"/>
          <w:color w:val="auto"/>
        </w:rPr>
        <w:t xml:space="preserve"> cobertos pela garantia será de responsabilidade do Contratado. </w:t>
      </w:r>
    </w:p>
    <w:p w14:paraId="1E9BD504">
      <w:pPr>
        <w:pStyle w:val="34"/>
        <w:rPr>
          <w:color w:val="auto"/>
        </w:rPr>
      </w:pPr>
      <w:r>
        <w:rPr>
          <w:i w:val="0"/>
          <w:color w:val="auto"/>
        </w:rPr>
        <w:t xml:space="preserve">5.12 A garantia legal ou contratual dos </w:t>
      </w:r>
      <w:r>
        <w:rPr>
          <w:b/>
          <w:i w:val="0"/>
          <w:color w:val="auto"/>
          <w:u w:val="single"/>
        </w:rPr>
        <w:t>medicamentos, materiais médicos hospitalares e materiais laboratoriais</w:t>
      </w:r>
      <w:r>
        <w:rPr>
          <w:i w:val="0"/>
          <w:color w:val="auto"/>
        </w:rPr>
        <w:t xml:space="preserve"> tem prazo de vigência próprio e desvinculado daquele fixado no contrato, permitindo eventual aplicação de penalidades em caso de descumprimento de alguma de suas condições, mesmo depois de expirada a vigência contratual</w:t>
      </w:r>
      <w:r>
        <w:rPr>
          <w:color w:val="auto"/>
        </w:rPr>
        <w:t>.</w:t>
      </w:r>
    </w:p>
    <w:p w14:paraId="5B47AB74">
      <w:pPr>
        <w:pStyle w:val="28"/>
        <w:rPr>
          <w:rFonts w:cs="Times New Roman"/>
        </w:rPr>
      </w:pPr>
      <w:r>
        <w:rPr>
          <w:rFonts w:cs="Times New Roman"/>
        </w:rPr>
        <w:t>6. DA EXECUÇÃO CONTRATUAL</w:t>
      </w:r>
    </w:p>
    <w:p w14:paraId="67897966">
      <w:pPr>
        <w:pStyle w:val="30"/>
      </w:pPr>
      <w:r>
        <w:t>6.1 O contrato deverá ser executado fielmente pelas partes, de acordo com as cláusulas avençadas e as normas da Lei nº 14.133, de 2021, e cada parte responderá pelas consequências de sua inexecução total ou parcial.</w:t>
      </w:r>
    </w:p>
    <w:p w14:paraId="20032C5A">
      <w:pPr>
        <w:pStyle w:val="30"/>
      </w:pPr>
      <w:r>
        <w:t>6.2 Em caso de impedimento, ordem de paralisação ou suspensão do contrato, o cronograma de execução será prorrogado automaticamente pelo tempo correspondente, anotadas tais circunstâncias mediante simples apostila.</w:t>
      </w:r>
    </w:p>
    <w:p w14:paraId="34C93A8F">
      <w:pPr>
        <w:pStyle w:val="30"/>
      </w:pPr>
      <w:r>
        <w:t>6.3 As comunicações entre o órgão ou entidade e a contratada devem ser realizadas por escrito sempre que o ato exigir tal formalidade, admitindo-se o uso de mensagem eletrônica para esse fim.</w:t>
      </w:r>
    </w:p>
    <w:p w14:paraId="26D84CD4">
      <w:pPr>
        <w:pStyle w:val="30"/>
      </w:pPr>
      <w:r>
        <w:t>6.4 O órgão ou entidade poderá convocar representante da empresa para adoção de providências que devam ser cumpridas de imediato.</w:t>
      </w:r>
    </w:p>
    <w:p w14:paraId="5308226D">
      <w:pPr>
        <w:pStyle w:val="30"/>
      </w:pPr>
      <w:r>
        <w:t>6.5 Após a assinatura do contrato ou instrumento equivalente</w:t>
      </w:r>
      <w:r>
        <w:rPr>
          <w:strike/>
        </w:rPr>
        <w:t>,</w:t>
      </w:r>
      <w: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7A1D9F63">
      <w:pPr>
        <w:pStyle w:val="30"/>
      </w:pPr>
      <w:r>
        <w:t>6.6 A execução do contrato deverá ser acompanhada e fiscalizada pelo(s) fiscal(is) do contrato, ou pelos respectivos substitutos.</w:t>
      </w:r>
    </w:p>
    <w:p w14:paraId="5D789977">
      <w:pPr>
        <w:pStyle w:val="30"/>
      </w:pPr>
      <w:r>
        <w:t>6.7 O fiscal do contrato acompanhará a execução do contrato, para que sejam cumpridas todas as condições estabelecidas no contrato, de modo a assegurar os melhores resultados para a requisitante. (Decreto nº 11.246, de 2022, art. 22, VI);</w:t>
      </w:r>
    </w:p>
    <w:p w14:paraId="76A457D9">
      <w:pPr>
        <w:pStyle w:val="32"/>
        <w:ind w:firstLine="0"/>
        <w:rPr>
          <w:rFonts w:cs="Times New Roman"/>
        </w:rPr>
      </w:pPr>
      <w:r>
        <w:rPr>
          <w:rFonts w:cs="Times New Roman"/>
          <w:b/>
          <w:bCs/>
        </w:rPr>
        <w:t>6.8</w:t>
      </w:r>
      <w:r>
        <w:rPr>
          <w:rFonts w:cs="Times New Roman"/>
        </w:rPr>
        <w:t xml:space="preserve"> O fiscal do contrato anotará no histórico de gerenciamento do contrato todas as ocorrências relacionadas à execução do contrato, com a descrição do que for necessário para a regularização das faltas ou dos defeitos observados. </w:t>
      </w:r>
    </w:p>
    <w:p w14:paraId="19CB1612">
      <w:pPr>
        <w:pStyle w:val="32"/>
        <w:rPr>
          <w:rFonts w:cs="Times New Roman"/>
        </w:rPr>
      </w:pPr>
      <w:r>
        <w:rPr>
          <w:rFonts w:cs="Times New Roman"/>
          <w:b/>
          <w:bCs/>
        </w:rPr>
        <w:t>6.8.1</w:t>
      </w:r>
      <w:r>
        <w:rPr>
          <w:rFonts w:cs="Times New Roman"/>
        </w:rPr>
        <w:t xml:space="preserve"> Identificada qualquer inexatidão ou irregularidade, o fiscal do contrato emitirá notificações para a correção da execução do contrato, determinando prazo para a correção. </w:t>
      </w:r>
    </w:p>
    <w:p w14:paraId="1F1A7C4B">
      <w:pPr>
        <w:pStyle w:val="32"/>
        <w:rPr>
          <w:rFonts w:cs="Times New Roman"/>
        </w:rPr>
      </w:pPr>
      <w:r>
        <w:rPr>
          <w:rFonts w:cs="Times New Roman"/>
          <w:b/>
          <w:bCs/>
        </w:rPr>
        <w:t>6.8.2</w:t>
      </w:r>
      <w:r>
        <w:rPr>
          <w:rFonts w:cs="Times New Roman"/>
        </w:rPr>
        <w:t xml:space="preserve"> O fiscal do contrato informará ao gestor do contato, em tempo hábil, a situação que demandar decisão ou adoção de medidas que ultrapassem sua competência, para que adote as medidas necessárias e saneadoras, se for o caso. </w:t>
      </w:r>
    </w:p>
    <w:p w14:paraId="561F1539">
      <w:pPr>
        <w:pStyle w:val="32"/>
        <w:rPr>
          <w:rFonts w:cs="Times New Roman"/>
        </w:rPr>
      </w:pPr>
      <w:r>
        <w:rPr>
          <w:rFonts w:cs="Times New Roman"/>
          <w:b/>
          <w:bCs/>
        </w:rPr>
        <w:t>6.8.3</w:t>
      </w:r>
      <w:r>
        <w:rPr>
          <w:rFonts w:cs="Times New Roman"/>
        </w:rPr>
        <w:t xml:space="preserve"> No caso de ocorrências que possam inviabilizar a execução do contrato nas datas aprazadas, o fiscal do contrato comunicará o fato imediatamente ao gestor do contrato</w:t>
      </w:r>
    </w:p>
    <w:p w14:paraId="017E0C98">
      <w:pPr>
        <w:pStyle w:val="32"/>
        <w:rPr>
          <w:rFonts w:cs="Times New Roman"/>
        </w:rPr>
      </w:pPr>
      <w:r>
        <w:rPr>
          <w:rFonts w:cs="Times New Roman"/>
          <w:b/>
          <w:bCs/>
        </w:rPr>
        <w:t>6.8.4</w:t>
      </w:r>
      <w:r>
        <w:rPr>
          <w:rFonts w:cs="Times New Roman"/>
        </w:rPr>
        <w:t xml:space="preserve"> O fiscal do contrato comunicará ao gestor do contrato, em tempo hábil, o término do contrato sob sua responsabilidade, com vistas à renovação tempestiva ou à prorrogação contratual </w:t>
      </w:r>
    </w:p>
    <w:p w14:paraId="5BB5D160">
      <w:pPr>
        <w:pStyle w:val="30"/>
      </w:pPr>
      <w:r>
        <w:t xml:space="preserve">6.9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p>
    <w:p w14:paraId="692E2584">
      <w:pPr>
        <w:pStyle w:val="32"/>
        <w:rPr>
          <w:rFonts w:cs="Times New Roman"/>
        </w:rPr>
      </w:pPr>
      <w:r>
        <w:rPr>
          <w:rFonts w:cs="Times New Roman"/>
          <w:b/>
          <w:bCs/>
        </w:rPr>
        <w:t xml:space="preserve">6.9.1 </w:t>
      </w:r>
      <w:r>
        <w:rPr>
          <w:rFonts w:cs="Times New Roman"/>
        </w:rPr>
        <w:t>Caso ocorra descumprimento das obrigações contratuais, o fiscal do contrato atuará tempestivamente na solução do problema, reportando ao gestor do contrato para que tome as providências cabíveis, quando ultrapassar a sua competência.</w:t>
      </w:r>
    </w:p>
    <w:p w14:paraId="2A6235DC">
      <w:pPr>
        <w:pStyle w:val="28"/>
        <w:rPr>
          <w:rFonts w:cs="Times New Roman"/>
        </w:rPr>
      </w:pPr>
      <w:r>
        <w:rPr>
          <w:rFonts w:cs="Times New Roman"/>
        </w:rPr>
        <w:t>7. DOS CRITÉRIOS DE MEDIÇÃO E DE PAGAMENTO</w:t>
      </w:r>
    </w:p>
    <w:p w14:paraId="14B90AE5">
      <w:pPr>
        <w:pStyle w:val="30"/>
        <w:rPr>
          <w:lang w:eastAsia="en-US"/>
        </w:rPr>
      </w:pPr>
      <w:r>
        <w:rPr>
          <w:lang w:eastAsia="en-US"/>
        </w:rPr>
        <w:t xml:space="preserve">7.1 Os </w:t>
      </w:r>
      <w:r>
        <w:rPr>
          <w:b/>
          <w:i/>
          <w:u w:val="single"/>
        </w:rPr>
        <w:t>medicamentos, materiais médicos hospitalares e materiais laboratoriais</w:t>
      </w:r>
      <w:r>
        <w:rPr>
          <w:lang w:eastAsia="en-US"/>
        </w:rPr>
        <w:t xml:space="preserve"> serão recebidos provisoriamente, de forma sumária, no ato da entrega, juntamente com a </w:t>
      </w:r>
      <w:r>
        <w:rPr>
          <w:rFonts w:eastAsia="Calibri"/>
          <w:lang w:eastAsia="en-US"/>
        </w:rPr>
        <w:t>nota</w:t>
      </w:r>
      <w:r>
        <w:rPr>
          <w:lang w:eastAsia="en-US"/>
        </w:rPr>
        <w:t xml:space="preserve"> fiscal ou instrumento de cobrança equivalente, pelo (a) responsável pelo acompanhamento e fiscalização do contrato, para efeito de posterior verificação de sua conformidade com as especificações constantes no Termo de Referência e na proposta.</w:t>
      </w:r>
    </w:p>
    <w:p w14:paraId="19E3C218">
      <w:pPr>
        <w:pStyle w:val="30"/>
        <w:rPr>
          <w:lang w:eastAsia="en-US"/>
        </w:rPr>
      </w:pPr>
      <w:r>
        <w:rPr>
          <w:lang w:eastAsia="en-US"/>
        </w:rPr>
        <w:t xml:space="preserve">7.2 Os </w:t>
      </w:r>
      <w:r>
        <w:rPr>
          <w:b/>
          <w:i/>
          <w:u w:val="single"/>
        </w:rPr>
        <w:t>medicamentos, materiais médicos hospitalares e materiais laboratoriais</w:t>
      </w:r>
      <w:r>
        <w:rPr>
          <w:lang w:eastAsia="en-US"/>
        </w:rPr>
        <w:t xml:space="preserve"> poderão ser rejeitados, no todo ou em parte, inclusive antes do recebimento provisório, quando em desacordo com as especificações constantes no Termo de Referência e na proposta, devendo ser substituídos no prazo de 02 (dois) dias, a contar da notificação da contratada, às suas custas, sem prejuízo da aplicação das penalidades.</w:t>
      </w:r>
    </w:p>
    <w:p w14:paraId="5199D075">
      <w:pPr>
        <w:pStyle w:val="30"/>
        <w:rPr>
          <w:lang w:eastAsia="en-US"/>
        </w:rPr>
      </w:pPr>
      <w:r>
        <w:rPr>
          <w:lang w:eastAsia="en-US"/>
        </w:rPr>
        <w:t>7.3 O recebimento definitivo ocorrerá no prazo de (02) dias úteis, a contar do recebimento da nota fiscal ou instrumento de cobrança equivalente pela requisitante, após a verificação da qualidade e quantidade do material e consequente aceitação mediante termo detalhado.</w:t>
      </w:r>
    </w:p>
    <w:p w14:paraId="14DF0C1F">
      <w:pPr>
        <w:pStyle w:val="30"/>
        <w:rPr>
          <w:lang w:eastAsia="en-US"/>
        </w:rPr>
      </w:pPr>
      <w:r>
        <w:rPr>
          <w:lang w:eastAsia="en-US"/>
        </w:rPr>
        <w:t>7.4 O prazo para recebimento definitivo poderá ser excepcionalmente prorrogado, de forma justificada, por igual período, quando houver necessidade de diligências para a aferição do atendimento das exigências contratuais.</w:t>
      </w:r>
    </w:p>
    <w:p w14:paraId="4BE0BF27">
      <w:pPr>
        <w:pStyle w:val="30"/>
        <w:rPr>
          <w:lang w:eastAsia="en-US"/>
        </w:rPr>
      </w:pPr>
      <w:r>
        <w:rPr>
          <w:lang w:eastAsia="en-US"/>
        </w:rPr>
        <w:t xml:space="preserve">7.5 No caso de controvérsia sobre a execução do objeto, quanto à dimensão, qualidade e quantidade, deverá ser observado o teor do </w:t>
      </w:r>
      <w:r>
        <w:fldChar w:fldCharType="begin"/>
      </w:r>
      <w:r>
        <w:instrText xml:space="preserve"> HYPERLINK "http://www.planalto.gov.br/ccivil_03/_ato2019-2022/2021/lei/L14133.htm" \l "art143" \h </w:instrText>
      </w:r>
      <w:r>
        <w:fldChar w:fldCharType="separate"/>
      </w:r>
      <w:r>
        <w:rPr>
          <w:rStyle w:val="9"/>
          <w:color w:val="auto"/>
          <w:lang w:eastAsia="en-US"/>
        </w:rPr>
        <w:t>art. 143 da Lei nº 14.133, de 2021</w:t>
      </w:r>
      <w:r>
        <w:rPr>
          <w:rStyle w:val="9"/>
          <w:color w:val="auto"/>
          <w:lang w:eastAsia="en-US"/>
        </w:rPr>
        <w:fldChar w:fldCharType="end"/>
      </w:r>
      <w:r>
        <w:rPr>
          <w:lang w:eastAsia="en-US"/>
        </w:rPr>
        <w:t>, comunicando-se à empresa para emissão de Nota Fiscal no que pertinente à parcela incontroversa da execução do objeto, para efeito de liquidação e pagamento.</w:t>
      </w:r>
    </w:p>
    <w:p w14:paraId="0812165C">
      <w:pPr>
        <w:pStyle w:val="30"/>
        <w:rPr>
          <w:lang w:eastAsia="en-US"/>
        </w:rPr>
      </w:pPr>
      <w:r>
        <w:rPr>
          <w:lang w:eastAsia="en-US"/>
        </w:rPr>
        <w:t>7.6 O prazo para a solução, pelo contratado, de inconsistências na execução do objeto ou de saneamento da nota fiscal ou de instrumento de cobrança equivalente, verificadas pela requisitante durante a análise prévia à liquidação de despesa, não será computado para os fins do recebimento definitivo.</w:t>
      </w:r>
    </w:p>
    <w:p w14:paraId="38F07D12">
      <w:pPr>
        <w:pStyle w:val="30"/>
        <w:rPr>
          <w:lang w:eastAsia="en-US"/>
        </w:rPr>
      </w:pPr>
      <w:r>
        <w:rPr>
          <w:lang w:eastAsia="en-US"/>
        </w:rPr>
        <w:t>7.7 O recebimento provisório ou definitivo não excluirá a responsabilidade civil pela solidez e pela segurança dos bens nem a responsabilidade ético-profissional pela perfeita execução do contrato.</w:t>
      </w:r>
    </w:p>
    <w:p w14:paraId="7CFAF779">
      <w:pPr>
        <w:pStyle w:val="30"/>
        <w:rPr>
          <w:lang w:eastAsia="en-US"/>
        </w:rPr>
      </w:pPr>
      <w:r>
        <w:rPr>
          <w:lang w:eastAsia="en-US"/>
        </w:rPr>
        <w:t>7.8 Recebida a Nota Fiscal ou documento de cobrança equivalente, correrá o prazo de 30 dias úteis para fins de liquidação, na forma desta seção, prorrogáveis por igual período.</w:t>
      </w:r>
    </w:p>
    <w:p w14:paraId="42F4D84A">
      <w:pPr>
        <w:pStyle w:val="30"/>
        <w:rPr>
          <w:lang w:eastAsia="en-US"/>
        </w:rPr>
      </w:pPr>
      <w:r>
        <w:rPr>
          <w:lang w:eastAsia="en-US"/>
        </w:rPr>
        <w:t xml:space="preserve">7.9 Para fins de liquidação, o setor competente deverá verificar se a nota fiscal ou instrumento de cobrança equivalente apresentado expressa os elementos necessários e essenciais do documento, tais como: </w:t>
      </w:r>
    </w:p>
    <w:p w14:paraId="461A681F">
      <w:pPr>
        <w:pStyle w:val="32"/>
        <w:rPr>
          <w:rFonts w:cs="Times New Roman"/>
          <w:lang w:eastAsia="en-US"/>
        </w:rPr>
      </w:pPr>
      <w:r>
        <w:rPr>
          <w:rFonts w:cs="Times New Roman"/>
          <w:b/>
          <w:bCs/>
          <w:lang w:eastAsia="en-US"/>
        </w:rPr>
        <w:t>7.9.1</w:t>
      </w:r>
      <w:r>
        <w:rPr>
          <w:rFonts w:cs="Times New Roman"/>
          <w:lang w:eastAsia="en-US"/>
        </w:rPr>
        <w:t xml:space="preserve"> o prazo de validade;</w:t>
      </w:r>
    </w:p>
    <w:p w14:paraId="7E1953E9">
      <w:pPr>
        <w:pStyle w:val="32"/>
        <w:rPr>
          <w:rFonts w:cs="Times New Roman"/>
          <w:lang w:eastAsia="en-US"/>
        </w:rPr>
      </w:pPr>
      <w:r>
        <w:rPr>
          <w:rFonts w:cs="Times New Roman"/>
          <w:b/>
          <w:bCs/>
          <w:lang w:eastAsia="en-US"/>
        </w:rPr>
        <w:t>7.9.2</w:t>
      </w:r>
      <w:r>
        <w:rPr>
          <w:rFonts w:cs="Times New Roman"/>
          <w:lang w:eastAsia="en-US"/>
        </w:rPr>
        <w:t xml:space="preserve"> a data da emissão; </w:t>
      </w:r>
    </w:p>
    <w:p w14:paraId="2CB50C01">
      <w:pPr>
        <w:pStyle w:val="32"/>
        <w:rPr>
          <w:rFonts w:cs="Times New Roman"/>
          <w:lang w:eastAsia="en-US"/>
        </w:rPr>
      </w:pPr>
      <w:r>
        <w:rPr>
          <w:rFonts w:cs="Times New Roman"/>
          <w:b/>
          <w:bCs/>
          <w:lang w:eastAsia="en-US"/>
        </w:rPr>
        <w:t>7.9.3</w:t>
      </w:r>
      <w:r>
        <w:rPr>
          <w:rFonts w:cs="Times New Roman"/>
          <w:lang w:eastAsia="en-US"/>
        </w:rPr>
        <w:t xml:space="preserve"> os dados do contrato e do órgão contratante; </w:t>
      </w:r>
    </w:p>
    <w:p w14:paraId="389A4DAB">
      <w:pPr>
        <w:pStyle w:val="32"/>
        <w:rPr>
          <w:rFonts w:cs="Times New Roman"/>
          <w:lang w:eastAsia="en-US"/>
        </w:rPr>
      </w:pPr>
      <w:r>
        <w:rPr>
          <w:rFonts w:cs="Times New Roman"/>
          <w:b/>
          <w:bCs/>
          <w:lang w:eastAsia="en-US"/>
        </w:rPr>
        <w:t>7.9.4</w:t>
      </w:r>
      <w:r>
        <w:rPr>
          <w:rFonts w:cs="Times New Roman"/>
          <w:lang w:eastAsia="en-US"/>
        </w:rPr>
        <w:t xml:space="preserve"> o período respectivo de execução do contrato; </w:t>
      </w:r>
    </w:p>
    <w:p w14:paraId="12A261A8">
      <w:pPr>
        <w:pStyle w:val="32"/>
        <w:rPr>
          <w:rFonts w:cs="Times New Roman"/>
          <w:lang w:eastAsia="en-US"/>
        </w:rPr>
      </w:pPr>
      <w:r>
        <w:rPr>
          <w:rFonts w:cs="Times New Roman"/>
          <w:b/>
          <w:bCs/>
          <w:lang w:eastAsia="en-US"/>
        </w:rPr>
        <w:t>7.9.5</w:t>
      </w:r>
      <w:r>
        <w:rPr>
          <w:rFonts w:cs="Times New Roman"/>
          <w:lang w:eastAsia="en-US"/>
        </w:rPr>
        <w:t xml:space="preserve"> o valor a pagar; e </w:t>
      </w:r>
    </w:p>
    <w:p w14:paraId="7A8916E9">
      <w:pPr>
        <w:pStyle w:val="32"/>
        <w:rPr>
          <w:rFonts w:cs="Times New Roman"/>
          <w:lang w:eastAsia="en-US"/>
        </w:rPr>
      </w:pPr>
      <w:r>
        <w:rPr>
          <w:rFonts w:cs="Times New Roman"/>
          <w:b/>
          <w:bCs/>
          <w:lang w:eastAsia="en-US"/>
        </w:rPr>
        <w:t>7.9.6</w:t>
      </w:r>
      <w:r>
        <w:rPr>
          <w:rFonts w:cs="Times New Roman"/>
          <w:lang w:eastAsia="en-US"/>
        </w:rPr>
        <w:t xml:space="preserve"> eventual destaque do valor de retenções tributárias cabíveis.</w:t>
      </w:r>
    </w:p>
    <w:p w14:paraId="7840E147">
      <w:pPr>
        <w:pStyle w:val="30"/>
        <w:rPr>
          <w:lang w:eastAsia="en-US"/>
        </w:rPr>
      </w:pPr>
      <w:r>
        <w:rPr>
          <w:rFonts w:eastAsia="Calibri"/>
          <w:lang w:eastAsia="en-US"/>
        </w:rPr>
        <w:t xml:space="preserve">7.10 Havendo erro na apresentação da nota fiscal ou instrumento de cobrança equivalente, ou circunstância que impeça a </w:t>
      </w:r>
      <w:r>
        <w:rPr>
          <w:lang w:eastAsia="en-US"/>
        </w:rPr>
        <w:t>liquidação da despesa, esta ficará sobrestada até que o contratado providencie as medidas saneadoras, reiniciando-se o prazo após a comprovação da regularização da situação, sem ônus ao contratante;</w:t>
      </w:r>
    </w:p>
    <w:p w14:paraId="6C0F4BB7">
      <w:pPr>
        <w:pStyle w:val="30"/>
        <w:rPr>
          <w:lang w:eastAsia="en-US"/>
        </w:rPr>
      </w:pPr>
      <w:r>
        <w:rPr>
          <w:lang w:eastAsia="en-US"/>
        </w:rPr>
        <w:t xml:space="preserve">7.11 A nota fiscal ou instrumento de cobrança equivalente deverá ser obrigatoriamente acompanhado da comprovação da regularidade fiscal, constatada por meio de consulta </w:t>
      </w:r>
      <w:r>
        <w:rPr>
          <w:i/>
          <w:iCs/>
          <w:lang w:eastAsia="en-US"/>
        </w:rPr>
        <w:t>on-line</w:t>
      </w:r>
      <w:r>
        <w:rPr>
          <w:lang w:eastAsia="en-US"/>
        </w:rPr>
        <w:t xml:space="preserve"> ao SICAF ou, na impossibilidade de acesso ao referido Sistema, mediante consulta aos sítios eletrônicos oficiais ou à documentação mencionada no </w:t>
      </w:r>
      <w:r>
        <w:fldChar w:fldCharType="begin"/>
      </w:r>
      <w:r>
        <w:instrText xml:space="preserve"> HYPERLINK "http://www.planalto.gov.br/ccivil_03/_ato2019-2022/2021/lei/L14133.htm" \l "art68" \h </w:instrText>
      </w:r>
      <w:r>
        <w:fldChar w:fldCharType="separate"/>
      </w:r>
      <w:r>
        <w:rPr>
          <w:rStyle w:val="9"/>
          <w:color w:val="auto"/>
          <w:lang w:eastAsia="en-US"/>
        </w:rPr>
        <w:t xml:space="preserve">art. 68 da Lei nº 14.133, de 2021.  </w:t>
      </w:r>
      <w:r>
        <w:rPr>
          <w:rStyle w:val="9"/>
          <w:color w:val="auto"/>
          <w:lang w:eastAsia="en-US"/>
        </w:rPr>
        <w:fldChar w:fldCharType="end"/>
      </w:r>
    </w:p>
    <w:p w14:paraId="21D88D1D">
      <w:pPr>
        <w:pStyle w:val="30"/>
      </w:pPr>
      <w:r>
        <w:t xml:space="preserve">7.12 A requisitante deverá realizar consulta ao SICAF para: </w:t>
      </w:r>
    </w:p>
    <w:p w14:paraId="0BAA5F17">
      <w:pPr>
        <w:pStyle w:val="30"/>
      </w:pPr>
      <w:r>
        <w:t xml:space="preserve">7.12.1 verificar a manutenção das condições de habilitação exigidas no edital; </w:t>
      </w:r>
    </w:p>
    <w:p w14:paraId="220EA8C2">
      <w:pPr>
        <w:pStyle w:val="30"/>
      </w:pPr>
      <w:r>
        <w:t>7.12.2 identificar possível razão que impeça a participação em licitação, no âmbito do órgão ou entidade, proibição de contratar com o Poder Público, bem como ocorrências impeditivas indiretas.</w:t>
      </w:r>
    </w:p>
    <w:p w14:paraId="276CE52F">
      <w:pPr>
        <w:pStyle w:val="30"/>
        <w:rPr>
          <w:lang w:eastAsia="en-US"/>
        </w:rPr>
      </w:pPr>
      <w:r>
        <w:rPr>
          <w:lang w:eastAsia="en-US"/>
        </w:rPr>
        <w:t>7.13 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17A0F339">
      <w:pPr>
        <w:pStyle w:val="30"/>
        <w:rPr>
          <w:lang w:eastAsia="en-US"/>
        </w:rPr>
      </w:pPr>
      <w:r>
        <w:rPr>
          <w:lang w:eastAsia="en-US"/>
        </w:rPr>
        <w:t xml:space="preserve">7.14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149F9F8F">
      <w:pPr>
        <w:pStyle w:val="30"/>
        <w:rPr>
          <w:lang w:eastAsia="en-US"/>
        </w:rPr>
      </w:pPr>
      <w:r>
        <w:rPr>
          <w:lang w:eastAsia="en-US"/>
        </w:rPr>
        <w:t xml:space="preserve">7.15 Persistindo a irregularidade, o contratante deverá adotar as medidas necessárias à rescisão contratual nos autos do processo administrativo correspondente, assegurada ao contratado a ampla defesa. </w:t>
      </w:r>
    </w:p>
    <w:p w14:paraId="4AB90039">
      <w:pPr>
        <w:pStyle w:val="30"/>
        <w:rPr>
          <w:lang w:eastAsia="en-US"/>
        </w:rPr>
      </w:pPr>
      <w:r>
        <w:rPr>
          <w:lang w:eastAsia="en-US"/>
        </w:rPr>
        <w:t xml:space="preserve">7.16 Havendo a efetiva execução do objeto, os pagamentos serão realizados normalmente, até que se decida pela rescisão do contrato, caso o contratado não regularize sua situação junto ao SICAF.  </w:t>
      </w:r>
    </w:p>
    <w:p w14:paraId="364A6B4A">
      <w:pPr>
        <w:pStyle w:val="30"/>
      </w:pPr>
      <w:r>
        <w:t>7.17 O pagamento será efetuado no prazo de até 30 (trinta) dias contados da finalização da liquidação da despesa.</w:t>
      </w:r>
    </w:p>
    <w:p w14:paraId="6002D4E4">
      <w:pPr>
        <w:pStyle w:val="30"/>
        <w:rPr>
          <w:lang w:eastAsia="en-US"/>
        </w:rPr>
      </w:pPr>
      <w:r>
        <w:rPr>
          <w:lang w:eastAsia="en-US"/>
        </w:rPr>
        <w:t>7.18 No caso de atraso pelo Contratante, os valores devidos ao contratado serão atualizados monetariamente entre o termo final do prazo de pagamento até a data de sua efetiva realização, mediante aplicação do índice IPCA de correção monetária.</w:t>
      </w:r>
    </w:p>
    <w:p w14:paraId="67AE14F4">
      <w:pPr>
        <w:pStyle w:val="30"/>
        <w:rPr>
          <w:lang w:eastAsia="en-US"/>
        </w:rPr>
      </w:pPr>
      <w:r>
        <w:rPr>
          <w:lang w:eastAsia="en-US"/>
        </w:rPr>
        <w:t>7.19 O pagamento será realizado por meio de ordem bancária, para crédito em banco, agência e conta corrente indicados pelo contratado.</w:t>
      </w:r>
    </w:p>
    <w:p w14:paraId="1C66C496">
      <w:pPr>
        <w:pStyle w:val="30"/>
        <w:rPr>
          <w:lang w:eastAsia="en-US"/>
        </w:rPr>
      </w:pPr>
      <w:r>
        <w:rPr>
          <w:lang w:eastAsia="en-US"/>
        </w:rPr>
        <w:t>7.20 Será considerada data do pagamento o dia em que constar como emitida a ordem bancária para pagamento.</w:t>
      </w:r>
    </w:p>
    <w:p w14:paraId="2D907035">
      <w:pPr>
        <w:pStyle w:val="30"/>
        <w:rPr>
          <w:lang w:eastAsia="en-US"/>
        </w:rPr>
      </w:pPr>
      <w:r>
        <w:rPr>
          <w:lang w:eastAsia="en-US"/>
        </w:rPr>
        <w:t>7.21 Quando do pagamento, será efetuada a retenção tributária prevista na legislação aplicável.</w:t>
      </w:r>
    </w:p>
    <w:p w14:paraId="192D6032">
      <w:pPr>
        <w:pStyle w:val="32"/>
        <w:rPr>
          <w:rFonts w:cs="Times New Roman"/>
          <w:lang w:eastAsia="en-US"/>
        </w:rPr>
      </w:pPr>
      <w:r>
        <w:rPr>
          <w:rFonts w:cs="Times New Roman"/>
          <w:b/>
          <w:bCs/>
          <w:lang w:eastAsia="en-US"/>
        </w:rPr>
        <w:t>7.21.1</w:t>
      </w:r>
      <w:r>
        <w:rPr>
          <w:rFonts w:cs="Times New Roman"/>
          <w:lang w:eastAsia="en-US"/>
        </w:rPr>
        <w:t xml:space="preserve"> Independentemente do percentual de tributo inserido na planilha, quando houver, serão retidos na fonte, quando da realização do pagamento, os percentuais estabelecidos na legislação vigente.</w:t>
      </w:r>
    </w:p>
    <w:p w14:paraId="7CD027D1">
      <w:pPr>
        <w:pStyle w:val="30"/>
        <w:rPr>
          <w:lang w:eastAsia="en-US"/>
        </w:rPr>
      </w:pPr>
      <w:r>
        <w:rPr>
          <w:lang w:eastAsia="en-US"/>
        </w:rPr>
        <w:t xml:space="preserve">7.22 O contratado regularmente optante pelo Simples Nacional, nos termos da </w:t>
      </w:r>
      <w:r>
        <w:fldChar w:fldCharType="begin"/>
      </w:r>
      <w:r>
        <w:instrText xml:space="preserve"> HYPERLINK "https://www.planalto.gov.br/ccivil_03/leis/lcp/lcp123.htm" \h </w:instrText>
      </w:r>
      <w:r>
        <w:fldChar w:fldCharType="separate"/>
      </w:r>
      <w:r>
        <w:rPr>
          <w:rStyle w:val="9"/>
          <w:color w:val="auto"/>
          <w:lang w:eastAsia="en-US"/>
        </w:rPr>
        <w:t>Lei Complementar nº 123, de 2006</w:t>
      </w:r>
      <w:r>
        <w:rPr>
          <w:rStyle w:val="9"/>
          <w:color w:val="auto"/>
          <w:lang w:eastAsia="en-US"/>
        </w:rPr>
        <w:fldChar w:fldCharType="end"/>
      </w:r>
      <w:r>
        <w:rPr>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8946BF8">
      <w:pPr>
        <w:pStyle w:val="28"/>
        <w:rPr>
          <w:rFonts w:cs="Times New Roman"/>
        </w:rPr>
      </w:pPr>
      <w:r>
        <w:rPr>
          <w:rFonts w:cs="Times New Roman"/>
        </w:rPr>
        <w:t>8. DOS CRITÉRIOS DE SELEÇÃO DO FORNECEDOR E DA FORMA DE FORNECIMENTO</w:t>
      </w:r>
    </w:p>
    <w:p w14:paraId="50FEEA6D">
      <w:pPr>
        <w:pStyle w:val="30"/>
      </w:pPr>
      <w:r>
        <w:t xml:space="preserve">8.1 O fornecedor será selecionado por meio da realização de procedimento de licitação, na modalidade pregão, sob a forma eletrônica, com adoção do critério de julgamento pelo MENOR PREÇO </w:t>
      </w:r>
    </w:p>
    <w:p w14:paraId="5E742F90">
      <w:pPr>
        <w:pStyle w:val="30"/>
      </w:pPr>
      <w:r>
        <w:rPr>
          <w:rStyle w:val="39"/>
          <w:shd w:val="clear" w:color="auto" w:fill="FFFFFF"/>
        </w:rPr>
        <w:t xml:space="preserve">8.2 O </w:t>
      </w:r>
      <w:r>
        <w:rPr>
          <w:rStyle w:val="40"/>
          <w:shd w:val="clear" w:color="auto" w:fill="FFFFFF"/>
        </w:rPr>
        <w:t xml:space="preserve">fornecimento do objeto será </w:t>
      </w:r>
      <w:r>
        <w:t>[integral/parcelado/continuado]</w:t>
      </w:r>
      <w:r>
        <w:rPr>
          <w:shd w:val="clear" w:color="auto" w:fill="FFFFFF"/>
        </w:rPr>
        <w:t>.</w:t>
      </w:r>
    </w:p>
    <w:p w14:paraId="2A518A98">
      <w:pPr>
        <w:pStyle w:val="30"/>
      </w:pPr>
      <w:r>
        <w:t>8.3 Para fins de habilitação, deverá o licitante comprovar os seguintes requisitos:</w:t>
      </w:r>
    </w:p>
    <w:p w14:paraId="153EB68C">
      <w:pPr>
        <w:pStyle w:val="38"/>
        <w:rPr>
          <w:rFonts w:ascii="Cambria" w:hAnsi="Cambria" w:cs="Times New Roman"/>
          <w:b/>
          <w:bCs/>
          <w:sz w:val="22"/>
          <w:szCs w:val="22"/>
        </w:rPr>
      </w:pPr>
      <w:r>
        <w:rPr>
          <w:rFonts w:ascii="Cambria" w:hAnsi="Cambria" w:cs="Times New Roman"/>
          <w:b/>
          <w:bCs/>
          <w:sz w:val="22"/>
          <w:szCs w:val="22"/>
        </w:rPr>
        <w:t>Habilitação jurídica</w:t>
      </w:r>
    </w:p>
    <w:p w14:paraId="21EDDDB8">
      <w:pPr>
        <w:pStyle w:val="30"/>
      </w:pPr>
      <w:r>
        <w:t xml:space="preserve">8.5 Microempreendedor Individual - MEI: Certificado da Condição de Microempreendedor Individual - CCMEI, cuja aceitação ficará condicionada à verificação da autenticidade no sítio </w:t>
      </w:r>
      <w:r>
        <w:fldChar w:fldCharType="begin"/>
      </w:r>
      <w:r>
        <w:instrText xml:space="preserve"> HYPERLINK "https://www.gov.br/empresas-e-negocios/pt-br/empreendedor" \h </w:instrText>
      </w:r>
      <w:r>
        <w:fldChar w:fldCharType="separate"/>
      </w:r>
      <w:r>
        <w:rPr>
          <w:rStyle w:val="9"/>
          <w:color w:val="auto"/>
        </w:rPr>
        <w:t>https://www.gov.br/empresas-e-negocios/pt-br/empreendedor</w:t>
      </w:r>
      <w:r>
        <w:rPr>
          <w:rStyle w:val="9"/>
          <w:color w:val="auto"/>
        </w:rPr>
        <w:fldChar w:fldCharType="end"/>
      </w:r>
      <w:r>
        <w:t xml:space="preserve">; </w:t>
      </w:r>
    </w:p>
    <w:p w14:paraId="3D5FB2E9">
      <w:pPr>
        <w:pStyle w:val="30"/>
      </w:pPr>
      <w:r>
        <w:t>8.6 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1B5F7109">
      <w:pPr>
        <w:pStyle w:val="30"/>
      </w:pPr>
      <w:r>
        <w:t>8.7 Sociedade simples: inscrição do ato constitutivo no Registro Civil de Pessoas Jurídicas do local de sua sede, acompanhada de documento comprobatório de seus administradores;</w:t>
      </w:r>
    </w:p>
    <w:p w14:paraId="37801853">
      <w:pPr>
        <w:pStyle w:val="30"/>
      </w:pPr>
      <w:r>
        <w:t xml:space="preserve">8.8 Filial, sucursal ou agência de sociedade simples ou empresária: inscrição do ato constitutivo da filial, sucursal ou agência da sociedade simples ou empresária, respectivamente, no Registro Civil das Pessoas Jurídicas ou no Registro Público de Empresas </w:t>
      </w:r>
      <w:bookmarkStart w:id="65" w:name="_Int_ySfCXwr4"/>
      <w:r>
        <w:t>Mercantis onde</w:t>
      </w:r>
      <w:bookmarkEnd w:id="65"/>
      <w:r>
        <w:t xml:space="preserve"> opera, com averbação no Registro onde tem sede a matriz</w:t>
      </w:r>
    </w:p>
    <w:p w14:paraId="4831E884">
      <w:pPr>
        <w:pStyle w:val="30"/>
      </w:pPr>
      <w:r>
        <w:t>8. 9  Os documentos apresentados deverão estar acompanhados de todas as alterações ou da consolidação respectiva.</w:t>
      </w:r>
    </w:p>
    <w:p w14:paraId="3DB1EAEB">
      <w:pPr>
        <w:pStyle w:val="38"/>
        <w:rPr>
          <w:rFonts w:ascii="Cambria" w:hAnsi="Cambria" w:cs="Times New Roman"/>
          <w:b/>
          <w:bCs/>
          <w:sz w:val="22"/>
          <w:szCs w:val="22"/>
        </w:rPr>
      </w:pPr>
      <w:r>
        <w:rPr>
          <w:rFonts w:ascii="Cambria" w:hAnsi="Cambria" w:cs="Times New Roman"/>
          <w:b/>
          <w:bCs/>
          <w:sz w:val="22"/>
          <w:szCs w:val="22"/>
        </w:rPr>
        <w:t>Habilitação Fiscal, Social e Trabalhista</w:t>
      </w:r>
    </w:p>
    <w:p w14:paraId="6D8E007A">
      <w:pPr>
        <w:pStyle w:val="30"/>
      </w:pPr>
      <w:r>
        <w:t xml:space="preserve">8.10 Prova de inscrição no Cadastro Nacional de Pessoas Jurídicas </w:t>
      </w:r>
    </w:p>
    <w:p w14:paraId="7BB5309E">
      <w:pPr>
        <w:pStyle w:val="30"/>
      </w:pPr>
      <w:r>
        <w:t>8.11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7117179B">
      <w:pPr>
        <w:pStyle w:val="30"/>
      </w:pPr>
      <w:r>
        <w:t>8.12 Prova de regularidade com o Fundo de Garantia do Tempo de Serviço (FGTS);</w:t>
      </w:r>
    </w:p>
    <w:p w14:paraId="1DF1790A">
      <w:pPr>
        <w:pStyle w:val="30"/>
      </w:pPr>
      <w:r>
        <w:t>8.13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53BD457B">
      <w:pPr>
        <w:pStyle w:val="30"/>
      </w:pPr>
      <w:r>
        <w:t xml:space="preserve">8.14 Prova de inscrição no cadastro de contribuintes [Estadual/Distrital] ou [Municipal/Distrital] relativo ao domicílio ou sede do fornecedor, pertinente ao seu ramo de atividade e compatível com o objeto contratual; </w:t>
      </w:r>
    </w:p>
    <w:p w14:paraId="1F1F5926">
      <w:pPr>
        <w:pStyle w:val="30"/>
      </w:pPr>
      <w:r>
        <w:t>8.15 Prova de regularidade com a Fazenda [Estadual/Distrital] ou [Municipal/Distrital] do domicílio ou sede do fornecedor, relativa à atividade em cujo exercício contrata ou concorre;</w:t>
      </w:r>
    </w:p>
    <w:p w14:paraId="10ABDC00">
      <w:pPr>
        <w:pStyle w:val="30"/>
      </w:pPr>
      <w:r>
        <w:t>8.16 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2C23B3A2">
      <w:pPr>
        <w:pStyle w:val="30"/>
      </w:pPr>
      <w:r>
        <w:t>8.17 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70AF1A33">
      <w:pPr>
        <w:pStyle w:val="38"/>
        <w:rPr>
          <w:rFonts w:ascii="Cambria" w:hAnsi="Cambria" w:cs="Times New Roman"/>
          <w:b/>
          <w:bCs/>
          <w:sz w:val="22"/>
          <w:szCs w:val="22"/>
        </w:rPr>
      </w:pPr>
      <w:r>
        <w:rPr>
          <w:rFonts w:ascii="Cambria" w:hAnsi="Cambria" w:cs="Times New Roman"/>
          <w:b/>
          <w:bCs/>
          <w:sz w:val="22"/>
          <w:szCs w:val="22"/>
        </w:rPr>
        <w:t>Qualificação Econômico-Financeira</w:t>
      </w:r>
    </w:p>
    <w:p w14:paraId="088D1A41">
      <w:pPr>
        <w:pStyle w:val="30"/>
      </w:pPr>
      <w:r>
        <w:t xml:space="preserve">8.18 Certidão negativa de insolvência civil expedida pelo distribuidor do domicílio ou sede do licitante, caso se trate de pessoa física, desde que admitida a sua participação na licitação, ou de sociedade simples; </w:t>
      </w:r>
    </w:p>
    <w:p w14:paraId="2834EFAE">
      <w:pPr>
        <w:pStyle w:val="30"/>
      </w:pPr>
      <w:r>
        <w:t>8.19 Certidão negativa de falência expedida pelo distribuidor da sede do fornecedor, nos termos do inciso II, do artigo 69, da Lei nº 14.133, de 2021;</w:t>
      </w:r>
    </w:p>
    <w:p w14:paraId="11DBA54E">
      <w:pPr>
        <w:pStyle w:val="30"/>
      </w:pPr>
      <w:r>
        <w:t>8.20 Balanço patrimonial, demonstração de resultado de exercício e demais demonstrações contábeis dos 2 (dois) últimos exercícios sociais, comprovando;</w:t>
      </w:r>
    </w:p>
    <w:p w14:paraId="32615291">
      <w:pPr>
        <w:pStyle w:val="32"/>
        <w:rPr>
          <w:rFonts w:cs="Times New Roman"/>
        </w:rPr>
      </w:pPr>
      <w:r>
        <w:rPr>
          <w:rFonts w:cs="Times New Roman"/>
          <w:b/>
          <w:bCs/>
        </w:rPr>
        <w:t>8.20.1</w:t>
      </w:r>
      <w:r>
        <w:rPr>
          <w:rFonts w:cs="Times New Roman"/>
        </w:rPr>
        <w:t xml:space="preserve"> índices de Liquidez Geral (LG), Liquidez Corrente (LC), e Solvência Geral (SG) superiores a 1 (um);</w:t>
      </w:r>
    </w:p>
    <w:p w14:paraId="5AA9451D">
      <w:pPr>
        <w:pStyle w:val="32"/>
        <w:rPr>
          <w:rFonts w:cs="Times New Roman"/>
        </w:rPr>
      </w:pPr>
      <w:r>
        <w:rPr>
          <w:rFonts w:cs="Times New Roman"/>
          <w:b/>
          <w:bCs/>
        </w:rPr>
        <w:t>8.20.2</w:t>
      </w:r>
      <w:r>
        <w:rPr>
          <w:rFonts w:cs="Times New Roman"/>
        </w:rPr>
        <w:t xml:space="preserve"> As empresas criadas no exercício financeiro da licitação deverão atender a todas as exigências da habilitação e poderão substituir os demonstrativos contábeis pelo balanço de abertura.</w:t>
      </w:r>
    </w:p>
    <w:p w14:paraId="2ACD4B78">
      <w:pPr>
        <w:pStyle w:val="32"/>
        <w:rPr>
          <w:rFonts w:cs="Times New Roman"/>
        </w:rPr>
      </w:pPr>
      <w:r>
        <w:rPr>
          <w:rFonts w:cs="Times New Roman"/>
          <w:b/>
          <w:bCs/>
        </w:rPr>
        <w:t>8.20.3</w:t>
      </w:r>
      <w:r>
        <w:rPr>
          <w:rFonts w:cs="Times New Roman"/>
        </w:rPr>
        <w:t xml:space="preserve"> Os documentos referidos acima limitar-se-ão ao último exercício no caso de a pessoa jurídica ter sido constituída há menos de 2 (dois) anos;</w:t>
      </w:r>
    </w:p>
    <w:p w14:paraId="20D4FD95">
      <w:pPr>
        <w:pStyle w:val="32"/>
        <w:rPr>
          <w:rFonts w:cs="Times New Roman"/>
        </w:rPr>
      </w:pPr>
      <w:r>
        <w:rPr>
          <w:rFonts w:cs="Times New Roman"/>
          <w:b/>
          <w:bCs/>
        </w:rPr>
        <w:t>8.20.4</w:t>
      </w:r>
      <w:r>
        <w:rPr>
          <w:rFonts w:cs="Times New Roman"/>
        </w:rPr>
        <w:t xml:space="preserve"> Os documentos referidos acima deverão ser exigidos com base no limite definido pela Receita Federal do Brasil para transmissão da Escrituração Contábil Digital - ECD ao Sped.</w:t>
      </w:r>
    </w:p>
    <w:p w14:paraId="2610FF71">
      <w:pPr>
        <w:pStyle w:val="30"/>
      </w:pPr>
      <w:r>
        <w:t>8.25 Caso a empresa licitante apresente resultado inferior ou igual a 1 (um) em qualquer dos índices de Liquidez Geral (LG), Solvência Geral (SG) e Liquidez Corrente (LC), será exigido para fins de habilitação do patrimônio líquido mínimo de 10% do valor da contratação.</w:t>
      </w:r>
    </w:p>
    <w:p w14:paraId="7524625F">
      <w:pPr>
        <w:pStyle w:val="30"/>
      </w:pPr>
      <w:r>
        <w:t>8.26 As empresas criadas no exercício financeiro da licitação deverão atender a todas as exigências da habilitação e poderão substituir os demonstrativos contábeis pelo balanço de abertura. (Lei nº 14.133, de 2021, art. 65, §1º).</w:t>
      </w:r>
    </w:p>
    <w:p w14:paraId="0FDECBED">
      <w:pPr>
        <w:pStyle w:val="34"/>
        <w:rPr>
          <w:i w:val="0"/>
          <w:color w:val="auto"/>
        </w:rPr>
      </w:pPr>
      <w:r>
        <w:rPr>
          <w:i w:val="0"/>
          <w:color w:val="auto"/>
        </w:rPr>
        <w:t>8.27 O atendimento dos índices econômicos previstos neste item deverá ser atestado mediante declaração assinada por profissional habilitado da área contábil, apresentada pelo fornecedor.</w:t>
      </w:r>
    </w:p>
    <w:p w14:paraId="71420ED9">
      <w:pPr>
        <w:pStyle w:val="38"/>
        <w:rPr>
          <w:rFonts w:ascii="Cambria" w:hAnsi="Cambria" w:cs="Times New Roman"/>
          <w:b/>
          <w:bCs/>
          <w:sz w:val="22"/>
          <w:szCs w:val="22"/>
        </w:rPr>
      </w:pPr>
      <w:r>
        <w:rPr>
          <w:rFonts w:ascii="Cambria" w:hAnsi="Cambria" w:cs="Times New Roman"/>
          <w:b/>
          <w:bCs/>
          <w:sz w:val="22"/>
          <w:szCs w:val="22"/>
        </w:rPr>
        <w:t>Qualificação Técnica</w:t>
      </w:r>
    </w:p>
    <w:p w14:paraId="0E408D2D">
      <w:pPr>
        <w:pStyle w:val="34"/>
        <w:rPr>
          <w:i w:val="0"/>
          <w:color w:val="auto"/>
        </w:rPr>
      </w:pPr>
      <w:r>
        <w:rPr>
          <w:i w:val="0"/>
          <w:color w:val="auto"/>
        </w:rPr>
        <w:t>8.28 Comprovação de aptidão para o fornecimento de bens similares de 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profissional competente, quando for o caso.</w:t>
      </w:r>
    </w:p>
    <w:p w14:paraId="5D74B204">
      <w:pPr>
        <w:pStyle w:val="36"/>
        <w:rPr>
          <w:i/>
          <w:color w:val="auto"/>
        </w:rPr>
      </w:pPr>
      <w:r>
        <w:rPr>
          <w:b/>
          <w:color w:val="auto"/>
        </w:rPr>
        <w:t>8.28.1</w:t>
      </w:r>
      <w:r>
        <w:rPr>
          <w:color w:val="auto"/>
        </w:rPr>
        <w:t xml:space="preserve"> Para fins da comprovação de que trata este subitem, os atestados deverão dizer respeito a contratos executados com as seguintes características mínimas: </w:t>
      </w:r>
    </w:p>
    <w:p w14:paraId="60DE25E8">
      <w:pPr>
        <w:pStyle w:val="36"/>
        <w:rPr>
          <w:color w:val="auto"/>
        </w:rPr>
      </w:pPr>
      <w:r>
        <w:rPr>
          <w:b/>
          <w:color w:val="auto"/>
        </w:rPr>
        <w:t>8.28.1.1</w:t>
      </w:r>
      <w:r>
        <w:rPr>
          <w:color w:val="auto"/>
        </w:rPr>
        <w:t xml:space="preserve"> Será admitida, para fins de comprovação de quantitativo mínimo, a apresentação e o somatório de diferentes atestados executados de forma concomitante.</w:t>
      </w:r>
    </w:p>
    <w:p w14:paraId="4561290C">
      <w:pPr>
        <w:pStyle w:val="36"/>
        <w:rPr>
          <w:i/>
          <w:color w:val="auto"/>
          <w:shd w:val="clear" w:color="auto" w:fill="FFFF00"/>
        </w:rPr>
      </w:pPr>
      <w:r>
        <w:rPr>
          <w:b/>
          <w:color w:val="auto"/>
        </w:rPr>
        <w:t>8.28.1.2</w:t>
      </w:r>
      <w:r>
        <w:rPr>
          <w:color w:val="auto"/>
        </w:rPr>
        <w:t xml:space="preserve"> Os atestados de capacidade técnica poderão ser apresentados em nome da matriz ou da filial do fornecedor.</w:t>
      </w:r>
    </w:p>
    <w:p w14:paraId="3B707D30">
      <w:pPr>
        <w:pStyle w:val="36"/>
        <w:rPr>
          <w:i/>
          <w:color w:val="auto"/>
        </w:rPr>
      </w:pPr>
      <w:r>
        <w:rPr>
          <w:b/>
          <w:color w:val="auto"/>
        </w:rPr>
        <w:t>8.28.1.3</w:t>
      </w:r>
      <w:r>
        <w:rPr>
          <w:color w:val="auto"/>
        </w:rPr>
        <w:t xml:space="preserve"> 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657F6D62">
      <w:pPr>
        <w:pStyle w:val="30"/>
      </w:pPr>
      <w:r>
        <w:t>8.29 Caso admitida a participação de cooperativas, será exigida a seguinte documentação complementar:</w:t>
      </w:r>
    </w:p>
    <w:p w14:paraId="6494255C">
      <w:pPr>
        <w:pStyle w:val="32"/>
        <w:rPr>
          <w:rFonts w:cs="Times New Roman"/>
        </w:rPr>
      </w:pPr>
      <w:r>
        <w:rPr>
          <w:rFonts w:cs="Times New Roman"/>
          <w:b/>
          <w:bCs/>
        </w:rPr>
        <w:t>8.29.1</w:t>
      </w:r>
      <w:r>
        <w:rPr>
          <w:rFonts w:cs="Times New Roman"/>
        </w:rPr>
        <w:t xml:space="preserve"> A relação dos cooperados que atendem aos requisitos técnicos exigidos para a contratação e que executarão o contrato, com as respectivas atas de inscrição e a comprovação de que estão domiciliados na localidade da sede da cooperativa, respeitado o disposto nos </w:t>
      </w:r>
      <w:r>
        <w:fldChar w:fldCharType="begin"/>
      </w:r>
      <w:r>
        <w:instrText xml:space="preserve"> HYPERLINK "https://www.planalto.gov.br/ccivil_03/leis/l5764.htm" \l "art4" \h </w:instrText>
      </w:r>
      <w:r>
        <w:fldChar w:fldCharType="separate"/>
      </w:r>
      <w:r>
        <w:rPr>
          <w:rStyle w:val="9"/>
          <w:rFonts w:cs="Times New Roman"/>
          <w:color w:val="auto"/>
        </w:rPr>
        <w:t>artigos 4º, inciso XI, 21, inciso I</w:t>
      </w:r>
      <w:r>
        <w:rPr>
          <w:rStyle w:val="9"/>
          <w:rFonts w:cs="Times New Roman"/>
          <w:color w:val="auto"/>
        </w:rPr>
        <w:fldChar w:fldCharType="end"/>
      </w:r>
      <w:r>
        <w:rPr>
          <w:rFonts w:cs="Times New Roman"/>
        </w:rPr>
        <w:t xml:space="preserve"> e </w:t>
      </w:r>
      <w:r>
        <w:fldChar w:fldCharType="begin"/>
      </w:r>
      <w:r>
        <w:instrText xml:space="preserve"> HYPERLINK "https://www.planalto.gov.br/ccivil_03/leis/l5764.htm" \l "art42" \h </w:instrText>
      </w:r>
      <w:r>
        <w:fldChar w:fldCharType="separate"/>
      </w:r>
      <w:r>
        <w:rPr>
          <w:rStyle w:val="9"/>
          <w:rFonts w:cs="Times New Roman"/>
          <w:color w:val="auto"/>
        </w:rPr>
        <w:t>42, §§2º a 6º da Lei n. 5.764, de 1971</w:t>
      </w:r>
      <w:r>
        <w:rPr>
          <w:rStyle w:val="9"/>
          <w:rFonts w:cs="Times New Roman"/>
          <w:color w:val="auto"/>
        </w:rPr>
        <w:fldChar w:fldCharType="end"/>
      </w:r>
      <w:r>
        <w:rPr>
          <w:rFonts w:cs="Times New Roman"/>
        </w:rPr>
        <w:t>;</w:t>
      </w:r>
    </w:p>
    <w:p w14:paraId="226A35AE">
      <w:pPr>
        <w:pStyle w:val="32"/>
        <w:rPr>
          <w:rFonts w:cs="Times New Roman"/>
        </w:rPr>
      </w:pPr>
      <w:r>
        <w:rPr>
          <w:rFonts w:cs="Times New Roman"/>
          <w:b/>
          <w:bCs/>
        </w:rPr>
        <w:t>8.29.2</w:t>
      </w:r>
      <w:r>
        <w:rPr>
          <w:rFonts w:cs="Times New Roman"/>
        </w:rPr>
        <w:t xml:space="preserve"> A declaração de regularidade de situação do contribuinte individual – DRSCI, para cada um dos cooperados indicados;</w:t>
      </w:r>
    </w:p>
    <w:p w14:paraId="5F9A2655">
      <w:pPr>
        <w:pStyle w:val="32"/>
        <w:rPr>
          <w:rFonts w:cs="Times New Roman"/>
        </w:rPr>
      </w:pPr>
      <w:r>
        <w:rPr>
          <w:rFonts w:cs="Times New Roman"/>
          <w:b/>
          <w:bCs/>
        </w:rPr>
        <w:t>8.29.3</w:t>
      </w:r>
      <w:r>
        <w:rPr>
          <w:rFonts w:cs="Times New Roman"/>
        </w:rPr>
        <w:t xml:space="preserve"> A comprovação do capital social proporcional ao número de cooperados necessários à execução contratual; </w:t>
      </w:r>
    </w:p>
    <w:p w14:paraId="37BD67B7">
      <w:pPr>
        <w:pStyle w:val="32"/>
        <w:rPr>
          <w:rFonts w:cs="Times New Roman"/>
        </w:rPr>
      </w:pPr>
      <w:r>
        <w:rPr>
          <w:rFonts w:cs="Times New Roman"/>
          <w:b/>
          <w:bCs/>
        </w:rPr>
        <w:t>8.29.4</w:t>
      </w:r>
      <w:r>
        <w:rPr>
          <w:rFonts w:cs="Times New Roman"/>
        </w:rPr>
        <w:t xml:space="preserve"> O registro previsto na </w:t>
      </w:r>
      <w:r>
        <w:fldChar w:fldCharType="begin"/>
      </w:r>
      <w:r>
        <w:instrText xml:space="preserve"> HYPERLINK "https://www.planalto.gov.br/ccivil_03/leis/l5764.htm" \l "art107" \h </w:instrText>
      </w:r>
      <w:r>
        <w:fldChar w:fldCharType="separate"/>
      </w:r>
      <w:r>
        <w:rPr>
          <w:rStyle w:val="9"/>
          <w:rFonts w:cs="Times New Roman"/>
          <w:color w:val="auto"/>
        </w:rPr>
        <w:t>Lei n. 5.764, de 1971, art. 107</w:t>
      </w:r>
      <w:r>
        <w:rPr>
          <w:rStyle w:val="9"/>
          <w:rFonts w:cs="Times New Roman"/>
          <w:color w:val="auto"/>
        </w:rPr>
        <w:fldChar w:fldCharType="end"/>
      </w:r>
      <w:r>
        <w:rPr>
          <w:rFonts w:cs="Times New Roman"/>
        </w:rPr>
        <w:t>;</w:t>
      </w:r>
    </w:p>
    <w:p w14:paraId="7840B357">
      <w:pPr>
        <w:pStyle w:val="32"/>
        <w:rPr>
          <w:rFonts w:cs="Times New Roman"/>
        </w:rPr>
      </w:pPr>
      <w:r>
        <w:rPr>
          <w:rFonts w:cs="Times New Roman"/>
          <w:b/>
          <w:bCs/>
        </w:rPr>
        <w:t>8.29.5</w:t>
      </w:r>
      <w:r>
        <w:rPr>
          <w:rFonts w:cs="Times New Roman"/>
        </w:rPr>
        <w:t xml:space="preserve"> A comprovação de integração das respectivas quotas-partes por parte dos cooperados que executarão o contrato; e</w:t>
      </w:r>
    </w:p>
    <w:p w14:paraId="652D04F8">
      <w:pPr>
        <w:pStyle w:val="32"/>
        <w:rPr>
          <w:rFonts w:cs="Times New Roman"/>
        </w:rPr>
      </w:pPr>
      <w:r>
        <w:rPr>
          <w:rFonts w:cs="Times New Roman"/>
          <w:b/>
          <w:bCs/>
        </w:rPr>
        <w:t>8.29.6</w:t>
      </w:r>
      <w:r>
        <w:rPr>
          <w:rFonts w:cs="Times New Roman"/>
        </w:rPr>
        <w:t xml:space="preserve"> Os seguintes documentos para a comprovação da regularidade jurídica da cooperativa:</w:t>
      </w:r>
    </w:p>
    <w:p w14:paraId="0B247B62">
      <w:pPr>
        <w:pStyle w:val="32"/>
        <w:ind w:left="567"/>
        <w:rPr>
          <w:rFonts w:cs="Times New Roman"/>
        </w:rPr>
      </w:pPr>
      <w:r>
        <w:rPr>
          <w:rFonts w:cs="Times New Roman"/>
          <w:b/>
          <w:bCs/>
        </w:rPr>
        <w:t>8.29.6.1</w:t>
      </w:r>
      <w:r>
        <w:rPr>
          <w:rFonts w:cs="Times New Roman"/>
        </w:rPr>
        <w:t xml:space="preserve"> ata de fundação; </w:t>
      </w:r>
    </w:p>
    <w:p w14:paraId="119E178D">
      <w:pPr>
        <w:pStyle w:val="32"/>
        <w:ind w:left="567"/>
        <w:rPr>
          <w:rFonts w:cs="Times New Roman"/>
        </w:rPr>
      </w:pPr>
      <w:r>
        <w:rPr>
          <w:rFonts w:cs="Times New Roman"/>
          <w:b/>
          <w:bCs/>
        </w:rPr>
        <w:t>8.29.6.2</w:t>
      </w:r>
      <w:r>
        <w:rPr>
          <w:rFonts w:cs="Times New Roman"/>
        </w:rPr>
        <w:t xml:space="preserve"> estatuto social com a ata da assembleia que o aprovou; </w:t>
      </w:r>
    </w:p>
    <w:p w14:paraId="78FA317E">
      <w:pPr>
        <w:pStyle w:val="32"/>
        <w:ind w:left="567"/>
        <w:rPr>
          <w:rFonts w:cs="Times New Roman"/>
        </w:rPr>
      </w:pPr>
      <w:r>
        <w:rPr>
          <w:rFonts w:cs="Times New Roman"/>
          <w:b/>
          <w:bCs/>
        </w:rPr>
        <w:t>8.29.6.3</w:t>
      </w:r>
      <w:r>
        <w:rPr>
          <w:rFonts w:cs="Times New Roman"/>
        </w:rPr>
        <w:t xml:space="preserve"> regimento dos fundos instituídos pelos cooperados, com a ata da assembleia; </w:t>
      </w:r>
    </w:p>
    <w:p w14:paraId="3149B499">
      <w:pPr>
        <w:pStyle w:val="32"/>
        <w:ind w:left="567"/>
        <w:rPr>
          <w:rFonts w:cs="Times New Roman"/>
        </w:rPr>
      </w:pPr>
      <w:r>
        <w:rPr>
          <w:rFonts w:cs="Times New Roman"/>
          <w:b/>
          <w:bCs/>
        </w:rPr>
        <w:t>8.29.6.4</w:t>
      </w:r>
      <w:r>
        <w:rPr>
          <w:rFonts w:cs="Times New Roman"/>
        </w:rPr>
        <w:t xml:space="preserve"> editais de convocação das três últimas assembleias gerais extraordinárias; </w:t>
      </w:r>
    </w:p>
    <w:p w14:paraId="73A214F1">
      <w:pPr>
        <w:pStyle w:val="32"/>
        <w:ind w:left="567"/>
        <w:rPr>
          <w:rFonts w:cs="Times New Roman"/>
        </w:rPr>
      </w:pPr>
      <w:r>
        <w:rPr>
          <w:rFonts w:cs="Times New Roman"/>
          <w:b/>
          <w:bCs/>
        </w:rPr>
        <w:t>8.29.6.5</w:t>
      </w:r>
      <w:r>
        <w:rPr>
          <w:rFonts w:cs="Times New Roman"/>
        </w:rPr>
        <w:t xml:space="preserve"> três registros de presença dos cooperados que executarão o contrato em assembleias gerais ou nas reuniões seccionais; e </w:t>
      </w:r>
    </w:p>
    <w:p w14:paraId="2C0A46B5">
      <w:pPr>
        <w:pStyle w:val="32"/>
        <w:ind w:left="567"/>
        <w:rPr>
          <w:rFonts w:cs="Times New Roman"/>
        </w:rPr>
      </w:pPr>
      <w:r>
        <w:rPr>
          <w:rFonts w:cs="Times New Roman"/>
          <w:b/>
          <w:bCs/>
        </w:rPr>
        <w:t>8.29.6.6</w:t>
      </w:r>
      <w:r>
        <w:rPr>
          <w:rFonts w:cs="Times New Roman"/>
        </w:rPr>
        <w:t xml:space="preserve"> ata da sessão que os cooperados autorizaram a cooperativa a contratar o objeto da licitação;</w:t>
      </w:r>
    </w:p>
    <w:p w14:paraId="214749A0">
      <w:pPr>
        <w:pStyle w:val="32"/>
        <w:rPr>
          <w:rFonts w:cs="Times New Roman"/>
        </w:rPr>
      </w:pPr>
      <w:r>
        <w:rPr>
          <w:rFonts w:cs="Times New Roman"/>
          <w:b/>
          <w:bCs/>
        </w:rPr>
        <w:t>8.29.7</w:t>
      </w:r>
      <w:r>
        <w:rPr>
          <w:rFonts w:cs="Times New Roman"/>
        </w:rPr>
        <w:t xml:space="preserve"> A última auditoria contábil-financeira da cooperativa, conforme dispõe o </w:t>
      </w:r>
      <w:r>
        <w:fldChar w:fldCharType="begin"/>
      </w:r>
      <w:r>
        <w:instrText xml:space="preserve"> HYPERLINK "https://www.planalto.gov.br/ccivil_03/leis/l5764.htm" \l "art112" \h </w:instrText>
      </w:r>
      <w:r>
        <w:fldChar w:fldCharType="separate"/>
      </w:r>
      <w:r>
        <w:rPr>
          <w:rStyle w:val="9"/>
          <w:rFonts w:cs="Times New Roman"/>
          <w:color w:val="auto"/>
        </w:rPr>
        <w:t>art. 112 da Lei n. 5.764, de 1971</w:t>
      </w:r>
      <w:r>
        <w:rPr>
          <w:rStyle w:val="9"/>
          <w:rFonts w:cs="Times New Roman"/>
          <w:color w:val="auto"/>
        </w:rPr>
        <w:fldChar w:fldCharType="end"/>
      </w:r>
      <w:r>
        <w:rPr>
          <w:rFonts w:cs="Times New Roman"/>
        </w:rPr>
        <w:t>, ou uma declaração, sob as penas da lei, de que tal auditoria não foi exigida pelo órgão fiscalizador.</w:t>
      </w:r>
    </w:p>
    <w:p w14:paraId="46E0379F">
      <w:pPr>
        <w:pStyle w:val="28"/>
        <w:rPr>
          <w:rFonts w:cs="Times New Roman"/>
        </w:rPr>
      </w:pPr>
      <w:r>
        <w:rPr>
          <w:rFonts w:cs="Times New Roman"/>
        </w:rPr>
        <w:t>9. DA ESTIMATIVA DO VALOR DA CONTRATAÇÃO</w:t>
      </w:r>
    </w:p>
    <w:p w14:paraId="22C2A6F4">
      <w:pPr>
        <w:pStyle w:val="34"/>
        <w:rPr>
          <w:i w:val="0"/>
          <w:color w:val="auto"/>
        </w:rPr>
      </w:pPr>
      <w:r>
        <w:rPr>
          <w:i w:val="0"/>
          <w:color w:val="auto"/>
        </w:rPr>
        <w:t>9.1 O custo estimado total da contratação será dado através de orçamentos a serem realizados pelo Departamento de Compras da Prefeitura de Piracanjuba/GO, e devidamente anexado aos autos.</w:t>
      </w:r>
    </w:p>
    <w:p w14:paraId="208BB077">
      <w:pPr>
        <w:pStyle w:val="34"/>
        <w:rPr>
          <w:i w:val="0"/>
          <w:color w:val="auto"/>
        </w:rPr>
      </w:pPr>
      <w:r>
        <w:rPr>
          <w:i w:val="0"/>
          <w:color w:val="auto"/>
        </w:rPr>
        <w:t>9.2 A estimativa de custo levará em consideração o risco envolvido na contratação e sua alocação entre contratante e contratado, conforme especificado na matriz de risco constante do Contrato.</w:t>
      </w:r>
    </w:p>
    <w:p w14:paraId="29FD8632">
      <w:pPr>
        <w:pStyle w:val="34"/>
        <w:rPr>
          <w:i w:val="0"/>
          <w:color w:val="auto"/>
        </w:rPr>
      </w:pPr>
      <w:r>
        <w:rPr>
          <w:rFonts w:eastAsia="MS Mincho"/>
          <w:i w:val="0"/>
          <w:color w:val="auto"/>
        </w:rPr>
        <w:t xml:space="preserve">9.3 Em caso de licitação para Registro de Preços, os preços </w:t>
      </w:r>
      <w:r>
        <w:rPr>
          <w:i w:val="0"/>
          <w:color w:val="auto"/>
        </w:rPr>
        <w:t>registrados poderão ser alterados ou atualizados em decorrência de eventual redução dos preços praticados no mercado ou de fato que eleve o custo dos bens, das obras ou dos serviços registrados.</w:t>
      </w:r>
    </w:p>
    <w:p w14:paraId="7E11F225">
      <w:pPr>
        <w:pStyle w:val="36"/>
        <w:rPr>
          <w:rStyle w:val="9"/>
          <w:rFonts w:eastAsia="MS Mincho"/>
          <w:b/>
          <w:i/>
          <w:iCs/>
          <w:color w:val="auto"/>
        </w:rPr>
      </w:pPr>
      <w:r>
        <w:rPr>
          <w:color w:val="auto"/>
        </w:rPr>
        <w:t>9.3.1 em caso de força maior, caso fortuito ou fato do príncipe ou em decorrência de fatos imprevisíveis ou previsíveis de consequências incalculáveis, que inviabilizem a execução da ata tal como pactuada, nos termos do disposto na a</w:t>
      </w:r>
      <w:r>
        <w:fldChar w:fldCharType="begin"/>
      </w:r>
      <w:r>
        <w:instrText xml:space="preserve"> HYPERLINK "http://www.planalto.gov.br/ccivil_03/_Ato2019-2022/2021/Lei/L14133.htm" \l "art124iid" \h </w:instrText>
      </w:r>
      <w:r>
        <w:fldChar w:fldCharType="separate"/>
      </w:r>
      <w:r>
        <w:rPr>
          <w:rStyle w:val="9"/>
          <w:rFonts w:eastAsia="Arial"/>
          <w:b/>
          <w:iCs/>
          <w:color w:val="auto"/>
        </w:rPr>
        <w:t>línea “d” do inciso II do caput do art. 124 da Lei nº 14.133, de 2021;</w:t>
      </w:r>
      <w:r>
        <w:rPr>
          <w:rStyle w:val="9"/>
          <w:rFonts w:eastAsia="Arial"/>
          <w:b/>
          <w:iCs/>
          <w:color w:val="auto"/>
        </w:rPr>
        <w:fldChar w:fldCharType="end"/>
      </w:r>
    </w:p>
    <w:p w14:paraId="1183684F">
      <w:pPr>
        <w:pStyle w:val="36"/>
        <w:rPr>
          <w:rFonts w:eastAsia="MS Mincho"/>
          <w:i/>
          <w:color w:val="auto"/>
        </w:rPr>
      </w:pPr>
      <w:r>
        <w:rPr>
          <w:b/>
          <w:color w:val="auto"/>
        </w:rPr>
        <w:t>9.3.2</w:t>
      </w:r>
      <w:r>
        <w:rPr>
          <w:color w:val="auto"/>
        </w:rPr>
        <w:t xml:space="preserve"> em caso de criação, alteração ou extinção de quaisquer tributos ou encargos legais ou superveniência de disposições legais, com comprovada repercussão sobre os preços registrados;</w:t>
      </w:r>
    </w:p>
    <w:p w14:paraId="794563B4">
      <w:pPr>
        <w:pStyle w:val="36"/>
        <w:rPr>
          <w:rFonts w:eastAsia="MS Mincho"/>
          <w:i/>
          <w:color w:val="auto"/>
        </w:rPr>
      </w:pPr>
      <w:r>
        <w:rPr>
          <w:b/>
          <w:color w:val="auto"/>
        </w:rPr>
        <w:t>9.3.3</w:t>
      </w:r>
      <w:r>
        <w:rPr>
          <w:color w:val="auto"/>
        </w:rPr>
        <w:t xml:space="preserve"> serão reajustados os preços registrados, respeitada a contagem da anualidade e o índice previsto para a contratação; ou</w:t>
      </w:r>
    </w:p>
    <w:p w14:paraId="760EFBC1">
      <w:pPr>
        <w:pStyle w:val="36"/>
        <w:rPr>
          <w:rFonts w:eastAsia="MS Mincho"/>
          <w:i/>
          <w:color w:val="auto"/>
        </w:rPr>
      </w:pPr>
      <w:r>
        <w:rPr>
          <w:b/>
          <w:color w:val="auto"/>
        </w:rPr>
        <w:t>9.3.4</w:t>
      </w:r>
      <w:r>
        <w:rPr>
          <w:color w:val="auto"/>
        </w:rPr>
        <w:t xml:space="preserve"> poderão ser repactuados, a pedido do interessado, conforme critérios definidos para a contratação.</w:t>
      </w:r>
    </w:p>
    <w:p w14:paraId="37DD159F">
      <w:pPr>
        <w:pStyle w:val="28"/>
        <w:rPr>
          <w:rFonts w:cs="Times New Roman"/>
        </w:rPr>
      </w:pPr>
      <w:r>
        <w:rPr>
          <w:rFonts w:cs="Times New Roman"/>
        </w:rPr>
        <w:t>10. DA ADEQUAÇÃO ORÇAMENTÁRIA</w:t>
      </w:r>
    </w:p>
    <w:p w14:paraId="37934E01">
      <w:pPr>
        <w:pStyle w:val="30"/>
      </w:pPr>
      <w:r>
        <w:t>10.1 As despesas decorrentes da presente contratação correrão à conta de recursos específicos consignados na Lei Orçamentária Anual.</w:t>
      </w:r>
    </w:p>
    <w:p w14:paraId="29243CA7">
      <w:pPr>
        <w:pStyle w:val="30"/>
      </w:pPr>
      <w:r>
        <w:t>10.2 A contratação será atendida pela seguinte dotação vigente.</w:t>
      </w:r>
    </w:p>
    <w:p w14:paraId="6E37A6A9">
      <w:pPr>
        <w:pStyle w:val="34"/>
        <w:rPr>
          <w:color w:val="auto"/>
        </w:rPr>
      </w:pPr>
      <w:r>
        <w:rPr>
          <w:i w:val="0"/>
          <w:color w:val="auto"/>
        </w:rPr>
        <w:t>10.3 A dotação relativa aos exercícios financeiros subsequentes será indicada após aprovação da Lei Orçamentária respectiva e liberação dos créditos correspondentes, mediante apostilamento</w:t>
      </w:r>
      <w:r>
        <w:rPr>
          <w:color w:val="auto"/>
        </w:rPr>
        <w:t>.</w:t>
      </w:r>
    </w:p>
    <w:p w14:paraId="680192FC">
      <w:pPr>
        <w:tabs>
          <w:tab w:val="left" w:pos="5865"/>
        </w:tabs>
        <w:spacing w:before="240" w:after="240" w:line="276" w:lineRule="auto"/>
        <w:ind w:hanging="2"/>
        <w:jc w:val="right"/>
        <w:rPr>
          <w:rFonts w:ascii="Cambria" w:hAnsi="Cambria" w:cs="Times New Roman"/>
        </w:rPr>
      </w:pPr>
      <w:r>
        <w:rPr>
          <w:rFonts w:ascii="Cambria" w:hAnsi="Cambria" w:cs="Times New Roman"/>
        </w:rPr>
        <w:t>Piracanjuba/GO, aos 09 dias do mês de outubro de 2024</w:t>
      </w:r>
    </w:p>
    <w:p w14:paraId="1F70B57A">
      <w:pPr>
        <w:spacing w:before="240" w:line="276" w:lineRule="auto"/>
        <w:ind w:hanging="2"/>
        <w:jc w:val="center"/>
        <w:rPr>
          <w:rFonts w:ascii="Cambria" w:hAnsi="Cambria" w:cs="Times New Roman"/>
          <w:b/>
        </w:rPr>
      </w:pPr>
    </w:p>
    <w:p w14:paraId="41EEBA53">
      <w:pPr>
        <w:spacing w:before="240" w:line="276" w:lineRule="auto"/>
        <w:ind w:hanging="2"/>
        <w:jc w:val="center"/>
        <w:rPr>
          <w:rFonts w:ascii="Cambria" w:hAnsi="Cambria" w:cs="Times New Roman"/>
        </w:rPr>
      </w:pPr>
      <w:r>
        <w:rPr>
          <w:rFonts w:ascii="Cambria" w:hAnsi="Cambria" w:cs="Times New Roman"/>
          <w:b/>
        </w:rPr>
        <w:t>Karini Gonçalves Barreto</w:t>
      </w:r>
      <w:r>
        <w:rPr>
          <w:rFonts w:ascii="Cambria" w:hAnsi="Cambria" w:cs="Times New Roman"/>
        </w:rPr>
        <w:t xml:space="preserve"> </w:t>
      </w:r>
    </w:p>
    <w:p w14:paraId="7E6ED40C">
      <w:pPr>
        <w:spacing w:before="240" w:line="276" w:lineRule="auto"/>
        <w:ind w:hanging="2"/>
        <w:jc w:val="center"/>
        <w:rPr>
          <w:rFonts w:ascii="Cambria" w:hAnsi="Cambria" w:cs="Times New Roman"/>
        </w:rPr>
      </w:pPr>
      <w:r>
        <w:rPr>
          <w:rFonts w:ascii="Cambria" w:hAnsi="Cambria" w:cs="Times New Roman"/>
        </w:rPr>
        <w:t>Responsável pela Formalização da Demanda</w:t>
      </w:r>
    </w:p>
    <w:p w14:paraId="7CC9BEA7">
      <w:pPr>
        <w:tabs>
          <w:tab w:val="left" w:pos="5865"/>
        </w:tabs>
        <w:spacing w:before="240" w:after="240" w:line="276" w:lineRule="auto"/>
        <w:ind w:hanging="2"/>
        <w:jc w:val="center"/>
        <w:rPr>
          <w:rFonts w:ascii="Cambria" w:hAnsi="Cambria" w:cs="Times New Roman"/>
        </w:rPr>
      </w:pPr>
      <w:r>
        <w:rPr>
          <w:rFonts w:ascii="Cambria" w:hAnsi="Cambria" w:cs="Times New Roman"/>
        </w:rPr>
        <w:t>Matrícula nº 51494013</w:t>
      </w:r>
    </w:p>
    <w:p w14:paraId="62A3F4E4">
      <w:pPr>
        <w:spacing w:before="240" w:line="276" w:lineRule="auto"/>
        <w:ind w:hanging="2"/>
        <w:jc w:val="center"/>
        <w:rPr>
          <w:rFonts w:ascii="Cambria" w:hAnsi="Cambria" w:cs="Times New Roman"/>
          <w:b/>
        </w:rPr>
      </w:pPr>
    </w:p>
    <w:p w14:paraId="46F6C225">
      <w:pPr>
        <w:spacing w:before="240" w:line="276" w:lineRule="auto"/>
        <w:ind w:hanging="2"/>
        <w:jc w:val="center"/>
        <w:rPr>
          <w:rFonts w:ascii="Cambria" w:hAnsi="Cambria" w:cs="Times New Roman"/>
          <w:b/>
        </w:rPr>
      </w:pPr>
      <w:r>
        <w:rPr>
          <w:rFonts w:ascii="Cambria" w:hAnsi="Cambria" w:cs="Times New Roman"/>
          <w:b/>
        </w:rPr>
        <w:t>Marcela Elias Castro</w:t>
      </w:r>
    </w:p>
    <w:p w14:paraId="0382CDD3">
      <w:pPr>
        <w:spacing w:before="240" w:line="276" w:lineRule="auto"/>
        <w:ind w:hanging="2"/>
        <w:jc w:val="center"/>
        <w:rPr>
          <w:rFonts w:ascii="Cambria" w:hAnsi="Cambria" w:cs="Times New Roman"/>
        </w:rPr>
      </w:pPr>
      <w:r>
        <w:rPr>
          <w:rFonts w:ascii="Cambria" w:hAnsi="Cambria" w:cs="Times New Roman"/>
        </w:rPr>
        <w:t>Responsável pela Formalização da Demanda</w:t>
      </w:r>
    </w:p>
    <w:p w14:paraId="4C1EDCF6">
      <w:pPr>
        <w:tabs>
          <w:tab w:val="left" w:pos="5865"/>
        </w:tabs>
        <w:spacing w:before="240" w:after="240" w:line="276" w:lineRule="auto"/>
        <w:ind w:hanging="2"/>
        <w:jc w:val="center"/>
        <w:rPr>
          <w:rFonts w:ascii="Cambria" w:hAnsi="Cambria" w:cs="Times New Roman"/>
        </w:rPr>
      </w:pPr>
      <w:r>
        <w:rPr>
          <w:rFonts w:ascii="Cambria" w:hAnsi="Cambria" w:cs="Times New Roman"/>
        </w:rPr>
        <w:t>Matrícula nº 51494012</w:t>
      </w:r>
    </w:p>
    <w:p w14:paraId="570FA3E1">
      <w:pPr>
        <w:tabs>
          <w:tab w:val="left" w:pos="5865"/>
        </w:tabs>
        <w:spacing w:before="240" w:after="240" w:line="276" w:lineRule="auto"/>
        <w:ind w:hanging="2"/>
        <w:jc w:val="center"/>
        <w:rPr>
          <w:rFonts w:ascii="Cambria" w:hAnsi="Cambria" w:cs="Times New Roman"/>
        </w:rPr>
      </w:pPr>
    </w:p>
    <w:p w14:paraId="0E0ED8C4">
      <w:pPr>
        <w:spacing w:before="240" w:line="276" w:lineRule="auto"/>
        <w:ind w:hanging="2"/>
        <w:jc w:val="center"/>
        <w:rPr>
          <w:rFonts w:ascii="Cambria" w:hAnsi="Cambria" w:cs="Times New Roman"/>
          <w:b/>
        </w:rPr>
      </w:pPr>
      <w:r>
        <w:rPr>
          <w:rFonts w:ascii="Cambria" w:hAnsi="Cambria" w:cs="Times New Roman"/>
          <w:b/>
        </w:rPr>
        <w:t>Daniela Gonçalves Silva</w:t>
      </w:r>
    </w:p>
    <w:p w14:paraId="6A9E8B80">
      <w:pPr>
        <w:spacing w:before="240" w:line="276" w:lineRule="auto"/>
        <w:ind w:hanging="2"/>
        <w:jc w:val="center"/>
        <w:rPr>
          <w:rFonts w:ascii="Cambria" w:hAnsi="Cambria" w:cs="Times New Roman"/>
        </w:rPr>
      </w:pPr>
      <w:r>
        <w:rPr>
          <w:rFonts w:ascii="Cambria" w:hAnsi="Cambria" w:cs="Times New Roman"/>
        </w:rPr>
        <w:t>Responsável pela Formalização da Demanda</w:t>
      </w:r>
    </w:p>
    <w:p w14:paraId="5F5AA575">
      <w:pPr>
        <w:tabs>
          <w:tab w:val="left" w:pos="5865"/>
        </w:tabs>
        <w:spacing w:before="240" w:after="240" w:line="276" w:lineRule="auto"/>
        <w:ind w:hanging="2"/>
        <w:jc w:val="center"/>
        <w:rPr>
          <w:rFonts w:ascii="Cambria" w:hAnsi="Cambria" w:cs="Times New Roman"/>
        </w:rPr>
      </w:pPr>
      <w:r>
        <w:rPr>
          <w:rFonts w:ascii="Cambria" w:hAnsi="Cambria" w:cs="Times New Roman"/>
        </w:rPr>
        <w:t>Matrícula nº 51495799</w:t>
      </w:r>
    </w:p>
    <w:p w14:paraId="338A724A">
      <w:pPr>
        <w:tabs>
          <w:tab w:val="left" w:pos="5865"/>
        </w:tabs>
        <w:spacing w:before="240" w:after="240" w:line="276" w:lineRule="auto"/>
        <w:ind w:hanging="2"/>
        <w:jc w:val="both"/>
        <w:rPr>
          <w:rFonts w:ascii="Cambria" w:hAnsi="Cambria" w:cs="Times New Roman"/>
        </w:rPr>
      </w:pPr>
      <w:r>
        <w:rPr>
          <w:rFonts w:ascii="Cambria" w:hAnsi="Cambria" w:cs="Times New Roman"/>
        </w:rPr>
        <w:t>Em conformidade com a legislação que rege o tema, encaminhe-se à autoridade competente para análise de conveniência e oportunidade para a contratação e demais providências cabíveis.</w:t>
      </w:r>
    </w:p>
    <w:p w14:paraId="614F533A">
      <w:pPr>
        <w:tabs>
          <w:tab w:val="left" w:pos="5865"/>
        </w:tabs>
        <w:spacing w:before="240" w:after="240" w:line="276" w:lineRule="auto"/>
        <w:ind w:hanging="2"/>
        <w:jc w:val="both"/>
        <w:rPr>
          <w:rFonts w:ascii="Cambria" w:hAnsi="Cambria" w:cs="Times New Roman"/>
        </w:rPr>
      </w:pPr>
    </w:p>
    <w:p w14:paraId="3B38C9D0">
      <w:pPr>
        <w:spacing w:before="240" w:line="276" w:lineRule="auto"/>
        <w:ind w:hanging="2"/>
        <w:jc w:val="center"/>
        <w:rPr>
          <w:rFonts w:ascii="Cambria" w:hAnsi="Cambria" w:cs="Times New Roman"/>
          <w:b/>
        </w:rPr>
      </w:pPr>
      <w:r>
        <w:rPr>
          <w:rFonts w:ascii="Cambria" w:hAnsi="Cambria" w:cs="Times New Roman"/>
          <w:b/>
        </w:rPr>
        <w:t>Silvia Raquel de Sá Araújo Barbosa</w:t>
      </w:r>
    </w:p>
    <w:p w14:paraId="0CA30011">
      <w:pPr>
        <w:spacing w:before="240" w:line="276" w:lineRule="auto"/>
        <w:ind w:hanging="2"/>
        <w:jc w:val="center"/>
        <w:rPr>
          <w:rFonts w:ascii="Cambria" w:hAnsi="Cambria" w:cs="Times New Roman"/>
        </w:rPr>
      </w:pPr>
      <w:r>
        <w:rPr>
          <w:rFonts w:ascii="Cambria" w:hAnsi="Cambria" w:cs="Times New Roman"/>
        </w:rPr>
        <w:t>Secretária Municipal de Saúde</w:t>
      </w:r>
    </w:p>
    <w:p w14:paraId="644634EF">
      <w:pPr>
        <w:spacing w:before="240" w:line="276" w:lineRule="auto"/>
        <w:ind w:hanging="2"/>
        <w:jc w:val="center"/>
        <w:rPr>
          <w:rFonts w:ascii="Cambria" w:hAnsi="Cambria" w:cs="Times New Roman"/>
        </w:rPr>
      </w:pPr>
      <w:r>
        <w:rPr>
          <w:rFonts w:ascii="Cambria" w:hAnsi="Cambria" w:cs="Times New Roman"/>
        </w:rPr>
        <w:t>Gestora do Fundo Municipal de Saúde</w:t>
      </w:r>
    </w:p>
    <w:p w14:paraId="7469ADD5">
      <w:pPr>
        <w:spacing w:line="276" w:lineRule="auto"/>
        <w:jc w:val="center"/>
        <w:rPr>
          <w:rFonts w:ascii="Cambria" w:hAnsi="Cambria" w:cs="Times New Roman"/>
        </w:rPr>
      </w:pPr>
      <w:r>
        <w:rPr>
          <w:rFonts w:ascii="Cambria" w:hAnsi="Cambria" w:cs="Times New Roman"/>
        </w:rPr>
        <w:t>Matrícula nº 51495545</w:t>
      </w:r>
    </w:p>
    <w:p w14:paraId="70F96B72">
      <w:pPr>
        <w:spacing w:line="360" w:lineRule="auto"/>
        <w:rPr>
          <w:rFonts w:ascii="Cambria" w:hAnsi="Cambria" w:eastAsia="Times New Roman" w:cs="Times New Roman"/>
          <w:lang w:eastAsia="pt-BR"/>
        </w:rPr>
      </w:pPr>
      <w:r>
        <w:rPr>
          <w:rFonts w:ascii="Cambria" w:hAnsi="Cambria"/>
        </w:rPr>
        <w:br w:type="page"/>
      </w:r>
    </w:p>
    <w:p w14:paraId="12E5EBDD">
      <w:pPr>
        <w:tabs>
          <w:tab w:val="left" w:pos="1701"/>
        </w:tabs>
        <w:spacing w:before="240" w:line="276" w:lineRule="auto"/>
        <w:jc w:val="center"/>
        <w:rPr>
          <w:rFonts w:ascii="Cambria" w:hAnsi="Cambria"/>
          <w:b/>
        </w:rPr>
      </w:pPr>
      <w:r>
        <w:rPr>
          <w:rFonts w:ascii="Cambria" w:hAnsi="Cambria"/>
          <w:b/>
        </w:rPr>
        <w:t>PREGÃO ELETRÔNICO Nº 53/2024</w:t>
      </w:r>
    </w:p>
    <w:p w14:paraId="19962A2B">
      <w:pPr>
        <w:tabs>
          <w:tab w:val="left" w:pos="1701"/>
        </w:tabs>
        <w:spacing w:before="240" w:line="276" w:lineRule="auto"/>
        <w:jc w:val="center"/>
        <w:rPr>
          <w:rFonts w:ascii="Cambria" w:hAnsi="Cambria"/>
          <w:b/>
        </w:rPr>
      </w:pPr>
      <w:r>
        <w:rPr>
          <w:rFonts w:ascii="Cambria" w:hAnsi="Cambria"/>
          <w:b/>
        </w:rPr>
        <w:t>ANEXO II</w:t>
      </w:r>
    </w:p>
    <w:p w14:paraId="68708B78">
      <w:pPr>
        <w:pStyle w:val="12"/>
        <w:spacing w:before="0" w:beforeAutospacing="0" w:after="240" w:afterAutospacing="0" w:line="276" w:lineRule="auto"/>
        <w:jc w:val="center"/>
        <w:rPr>
          <w:rFonts w:ascii="Cambria" w:hAnsi="Cambria"/>
          <w:b/>
          <w:sz w:val="22"/>
          <w:szCs w:val="22"/>
          <w:u w:val="single"/>
        </w:rPr>
      </w:pPr>
      <w:r>
        <w:rPr>
          <w:rFonts w:ascii="Cambria" w:hAnsi="Cambria"/>
          <w:b/>
          <w:sz w:val="22"/>
          <w:szCs w:val="22"/>
          <w:u w:val="single"/>
        </w:rPr>
        <w:t>ESTUDO TÉCNICO PRELIMINAR</w:t>
      </w:r>
    </w:p>
    <w:tbl>
      <w:tblPr>
        <w:tblStyle w:val="18"/>
        <w:tblW w:w="93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1"/>
      </w:tblGrid>
      <w:tr w14:paraId="59ADF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shd w:val="clear" w:color="auto" w:fill="8EAADB" w:themeFill="accent1" w:themeFillTint="99"/>
          </w:tcPr>
          <w:p w14:paraId="63193909">
            <w:pPr>
              <w:spacing w:after="0" w:line="240" w:lineRule="auto"/>
              <w:jc w:val="both"/>
              <w:rPr>
                <w:rFonts w:ascii="Cambria" w:hAnsi="Cambria" w:eastAsia="Calibri" w:cs="Times New Roman"/>
                <w:b/>
                <w:sz w:val="22"/>
                <w:szCs w:val="22"/>
                <w:lang w:eastAsia="pt-BR"/>
              </w:rPr>
            </w:pPr>
            <w:r>
              <w:rPr>
                <w:rFonts w:ascii="Cambria" w:hAnsi="Cambria" w:eastAsia="Calibri" w:cs="Times New Roman"/>
                <w:b/>
                <w:sz w:val="22"/>
                <w:szCs w:val="22"/>
                <w:lang w:eastAsia="pt-BR"/>
              </w:rPr>
              <w:t>1 – INFORMAÇÕES BÁSICAS</w:t>
            </w:r>
          </w:p>
        </w:tc>
      </w:tr>
    </w:tbl>
    <w:p w14:paraId="28FD4146">
      <w:pPr>
        <w:spacing w:before="240"/>
        <w:jc w:val="both"/>
        <w:rPr>
          <w:rFonts w:ascii="Cambria" w:hAnsi="Cambria" w:cs="Times New Roman"/>
        </w:rPr>
      </w:pPr>
      <w:r>
        <w:rPr>
          <w:rFonts w:ascii="Cambria" w:hAnsi="Cambria" w:cs="Times New Roman"/>
        </w:rPr>
        <w:t>Processo Administrativo nº: 155796/2024</w:t>
      </w:r>
    </w:p>
    <w:p w14:paraId="16BDF399">
      <w:pPr>
        <w:spacing w:before="240"/>
        <w:jc w:val="both"/>
        <w:rPr>
          <w:rFonts w:ascii="Cambria" w:hAnsi="Cambria" w:cs="Times New Roman"/>
        </w:rPr>
      </w:pPr>
      <w:r>
        <w:rPr>
          <w:rFonts w:ascii="Cambria" w:hAnsi="Cambria" w:cs="Times New Roman"/>
        </w:rPr>
        <w:t>Área Requisitante: Fundo Municipal de Saúde</w:t>
      </w:r>
    </w:p>
    <w:p w14:paraId="103704E9">
      <w:pPr>
        <w:spacing w:before="240"/>
        <w:jc w:val="both"/>
        <w:rPr>
          <w:rFonts w:ascii="Cambria" w:hAnsi="Cambria" w:cs="Times New Roman"/>
        </w:rPr>
      </w:pPr>
      <w:r>
        <w:rPr>
          <w:rFonts w:ascii="Cambria" w:hAnsi="Cambria" w:cs="Times New Roman"/>
        </w:rPr>
        <w:t xml:space="preserve">Objeto da Contratação: Aquisição de </w:t>
      </w:r>
      <w:r>
        <w:rPr>
          <w:rFonts w:ascii="Cambria" w:hAnsi="Cambria" w:cs="Times New Roman"/>
          <w:b/>
          <w:u w:val="single"/>
        </w:rPr>
        <w:t>medicamentos, materiais médicos hospitalares e laboratoriais, que foram fracassados nos Pregões 010/2024, 018/2024, 031/2024 e 035/2024</w:t>
      </w:r>
      <w:r>
        <w:rPr>
          <w:rFonts w:ascii="Cambria" w:hAnsi="Cambria" w:cs="Times New Roman"/>
        </w:rPr>
        <w:t>.</w:t>
      </w:r>
    </w:p>
    <w:p w14:paraId="29C40755">
      <w:pPr>
        <w:spacing w:before="240"/>
        <w:jc w:val="both"/>
        <w:rPr>
          <w:rFonts w:ascii="Cambria" w:hAnsi="Cambria" w:cs="Times New Roman"/>
        </w:rPr>
      </w:pPr>
      <w:r>
        <w:rPr>
          <w:rFonts w:ascii="Cambria" w:hAnsi="Cambria" w:cs="Times New Roman"/>
        </w:rPr>
        <w:t>Vigência da Contratação: 12 meses (prorrogável por mais 12 meses)</w:t>
      </w:r>
    </w:p>
    <w:p w14:paraId="605A138E">
      <w:pPr>
        <w:spacing w:before="240"/>
        <w:jc w:val="both"/>
        <w:rPr>
          <w:rFonts w:ascii="Cambria" w:hAnsi="Cambria" w:cs="Times New Roman"/>
        </w:rPr>
      </w:pPr>
      <w:r>
        <w:rPr>
          <w:rFonts w:ascii="Cambria" w:hAnsi="Cambria" w:cs="Times New Roman"/>
        </w:rPr>
        <w:t>Modalidade: Pregão Eletrônico Registro de Preços</w:t>
      </w:r>
    </w:p>
    <w:tbl>
      <w:tblPr>
        <w:tblStyle w:val="18"/>
        <w:tblW w:w="93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1"/>
      </w:tblGrid>
      <w:tr w14:paraId="1D986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shd w:val="clear" w:color="auto" w:fill="8EAADB" w:themeFill="accent1" w:themeFillTint="99"/>
          </w:tcPr>
          <w:p w14:paraId="5DC9B101">
            <w:pPr>
              <w:spacing w:after="0" w:line="240" w:lineRule="auto"/>
              <w:jc w:val="both"/>
              <w:rPr>
                <w:rFonts w:ascii="Cambria" w:hAnsi="Cambria" w:eastAsia="Calibri" w:cs="Times New Roman"/>
                <w:b/>
                <w:sz w:val="22"/>
                <w:szCs w:val="22"/>
                <w:lang w:eastAsia="pt-BR"/>
              </w:rPr>
            </w:pPr>
            <w:r>
              <w:rPr>
                <w:rFonts w:ascii="Cambria" w:hAnsi="Cambria" w:eastAsia="Calibri" w:cs="Times New Roman"/>
                <w:b/>
                <w:sz w:val="22"/>
                <w:szCs w:val="22"/>
                <w:lang w:eastAsia="pt-BR"/>
              </w:rPr>
              <w:t>2 - ALINHAMENTO ENTRE A CONTRATAÇÃO E O PLANEJAMENTO</w:t>
            </w:r>
          </w:p>
        </w:tc>
      </w:tr>
    </w:tbl>
    <w:p w14:paraId="7120E707">
      <w:pPr>
        <w:spacing w:before="240"/>
        <w:jc w:val="both"/>
        <w:rPr>
          <w:rFonts w:ascii="Cambria" w:hAnsi="Cambria" w:cs="Times New Roman"/>
        </w:rPr>
      </w:pPr>
      <w:r>
        <w:rPr>
          <w:rFonts w:ascii="Cambria" w:hAnsi="Cambria" w:cs="Times New Roman"/>
        </w:rPr>
        <w:t>A contratação pretendida encontra amparo no planejamento de contratações do órgão, já que ocorrem todos os anos, sendo a quantificação vinculada a média utilizada nos últimos anos, assim como a qualificação dos itens a serem adquiridos.</w:t>
      </w:r>
    </w:p>
    <w:p w14:paraId="164BF61A">
      <w:pPr>
        <w:spacing w:before="240"/>
        <w:jc w:val="both"/>
        <w:rPr>
          <w:rFonts w:ascii="Cambria" w:hAnsi="Cambria" w:cs="Times New Roman"/>
        </w:rPr>
      </w:pPr>
      <w:r>
        <w:rPr>
          <w:rFonts w:ascii="Cambria" w:hAnsi="Cambria" w:cs="Times New Roman"/>
        </w:rPr>
        <w:t>Nesse sentido, como o Plano Anual de Contratações ainda não foi formalizado se utilizará o histórico das aquisições nos últimos 03 anos, com aumento da demanda em até 20%, para fins de reserva.</w:t>
      </w:r>
    </w:p>
    <w:tbl>
      <w:tblPr>
        <w:tblStyle w:val="18"/>
        <w:tblW w:w="93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1"/>
      </w:tblGrid>
      <w:tr w14:paraId="15E13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shd w:val="clear" w:color="auto" w:fill="8EAADB" w:themeFill="accent1" w:themeFillTint="99"/>
          </w:tcPr>
          <w:p w14:paraId="6B5ACFC2">
            <w:pPr>
              <w:spacing w:after="0" w:line="240" w:lineRule="auto"/>
              <w:jc w:val="both"/>
              <w:rPr>
                <w:rFonts w:ascii="Cambria" w:hAnsi="Cambria" w:eastAsia="Calibri" w:cs="Times New Roman"/>
                <w:b/>
                <w:sz w:val="22"/>
                <w:szCs w:val="22"/>
                <w:lang w:eastAsia="pt-BR"/>
              </w:rPr>
            </w:pPr>
            <w:r>
              <w:rPr>
                <w:rFonts w:ascii="Cambria" w:hAnsi="Cambria" w:eastAsia="Calibri" w:cs="Times New Roman"/>
                <w:b/>
                <w:sz w:val="22"/>
                <w:szCs w:val="22"/>
                <w:lang w:eastAsia="pt-BR"/>
              </w:rPr>
              <w:t xml:space="preserve">3 – DESCRIÇÃO DA NECESSIDADE </w:t>
            </w:r>
          </w:p>
        </w:tc>
      </w:tr>
    </w:tbl>
    <w:p w14:paraId="3167E926">
      <w:pPr>
        <w:spacing w:before="240"/>
        <w:jc w:val="both"/>
        <w:rPr>
          <w:rFonts w:ascii="Cambria" w:hAnsi="Cambria" w:cs="Times New Roman"/>
        </w:rPr>
      </w:pPr>
      <w:r>
        <w:rPr>
          <w:rFonts w:ascii="Cambria" w:hAnsi="Cambria" w:cs="Times New Roman"/>
        </w:rPr>
        <w:t>A contratação pretende solucionar o problema seguinte:</w:t>
      </w:r>
    </w:p>
    <w:p w14:paraId="08F40911">
      <w:pPr>
        <w:spacing w:before="240"/>
        <w:jc w:val="both"/>
        <w:rPr>
          <w:rFonts w:ascii="Cambria" w:hAnsi="Cambria" w:cs="Times New Roman"/>
        </w:rPr>
      </w:pPr>
      <w:r>
        <w:rPr>
          <w:rFonts w:ascii="Cambria" w:hAnsi="Cambria" w:cs="Times New Roman"/>
        </w:rPr>
        <w:t xml:space="preserve">A Secretaria Municipal de Saúde necessita adquirir </w:t>
      </w:r>
      <w:r>
        <w:rPr>
          <w:rFonts w:ascii="Cambria" w:hAnsi="Cambria" w:cs="Times New Roman"/>
          <w:b/>
          <w:u w:val="single"/>
        </w:rPr>
        <w:t>medicamentos, materiais médicos hospitalares e laboratoriais</w:t>
      </w:r>
      <w:r>
        <w:rPr>
          <w:rFonts w:ascii="Cambria" w:hAnsi="Cambria" w:cs="Times New Roman"/>
        </w:rPr>
        <w:t>, para atender os pacientes que fazem uso para tratamentos. As Unidades de Saúde são: Hospital Municipal de Piracanjuba Thuany Garcia Ribeiro, EMAD, e Farmácia Básica, SAMU, CENTRO CLÍNICO DE ESPECIALIDADES, CAPS, VISA.</w:t>
      </w:r>
    </w:p>
    <w:p w14:paraId="150C8AF3">
      <w:pPr>
        <w:spacing w:before="240"/>
        <w:jc w:val="both"/>
        <w:rPr>
          <w:rFonts w:ascii="Cambria" w:hAnsi="Cambria" w:cs="Times New Roman"/>
        </w:rPr>
      </w:pPr>
      <w:r>
        <w:rPr>
          <w:rFonts w:ascii="Cambria" w:hAnsi="Cambria" w:cs="Times New Roman"/>
        </w:rPr>
        <w:t>O município de Piracanjuba possui cinco Unidades Básicas de Saúde e um Centro de Saúde além da Unidade do ROCHEDO onde são realizadas consultas médicas, de enfermagem, coleta de exames citopatológico, curativos, campanhas de vacinação, reuniões de grupos com gestantes, hipertensos, diabéticos, idosos, programa do tabagismo e outras ações.</w:t>
      </w:r>
    </w:p>
    <w:p w14:paraId="1D3B417B">
      <w:pPr>
        <w:spacing w:before="240" w:line="276" w:lineRule="auto"/>
        <w:ind w:right="-1"/>
        <w:jc w:val="both"/>
        <w:rPr>
          <w:rFonts w:ascii="Cambria" w:hAnsi="Cambria" w:cs="Times New Roman"/>
        </w:rPr>
      </w:pPr>
      <w:r>
        <w:rPr>
          <w:rFonts w:ascii="Cambria" w:hAnsi="Cambria" w:cs="Times New Roman"/>
        </w:rPr>
        <w:t>Nas Unidades Básicas de Saúde e Centro de Saúde são realizadas em média 2.714 consultas/meses (estimativa, baseada nas produções mensais fornecidas por cada unidade), a Atenção Básica é o primeiro nível de atenção em saúde e se caracteriza por um conjunto de ações de saúde, no âmbito individual e coletivo, que abrange a promoção e a proteção da saúde, a prevenção de agravos, o diagnóstico, o tratamento, a reabilitação, a redução de danos e manutenção da saúde. Os procedimentos realizados nas mesmas são: curativos, aerossol, administração de medicamentos, consultas médicas, consultas de enfermagem, aferição de pressão arterial, dentro outros procedimentos preconizados pelo Ministério da Saúde.</w:t>
      </w:r>
    </w:p>
    <w:p w14:paraId="054BBDD1">
      <w:pPr>
        <w:spacing w:before="240"/>
        <w:jc w:val="both"/>
        <w:rPr>
          <w:rFonts w:ascii="Cambria" w:hAnsi="Cambria" w:cs="Times New Roman"/>
          <w:b/>
        </w:rPr>
      </w:pPr>
      <w:r>
        <w:rPr>
          <w:rFonts w:ascii="Cambria" w:hAnsi="Cambria" w:cs="Times New Roman"/>
        </w:rPr>
        <w:t xml:space="preserve">Centro Clínico de Especialidades são serviços de referência no Município para atendimento a pessoas que requerem cuidados de reabilitação motora, fonoaudiologia e psicológica. Também tem  atendimentos de especialidade que o município oferece: ortopedia, ginecologia, psiquiatria, pediatria cardiologia e urologia. </w:t>
      </w:r>
    </w:p>
    <w:p w14:paraId="45BD9BE5">
      <w:pPr>
        <w:spacing w:before="240"/>
        <w:jc w:val="both"/>
        <w:rPr>
          <w:rFonts w:ascii="Cambria" w:hAnsi="Cambria" w:cs="Times New Roman"/>
        </w:rPr>
      </w:pPr>
      <w:r>
        <w:rPr>
          <w:rFonts w:ascii="Cambria" w:hAnsi="Cambria" w:cs="Times New Roman"/>
        </w:rPr>
        <w:t>-O Hospital Municipal de Piracanjuba Thuany Garcia Ribeiro presta atendimento de urgência e emergência, eletivo, possuindo 34 (trinta e quatro) leitos para internação. O fluxo de pacientes nesse estabelecimento de Saúde é variável e destacamos a demanda por atendimento diante de casos de surtos de dengue, gripes. O atendimento é feito ininterruptamente (24 horas diárias) sendo fornecidos medicamentos orais e endovenosos.</w:t>
      </w:r>
    </w:p>
    <w:p w14:paraId="16127709">
      <w:pPr>
        <w:spacing w:before="240"/>
        <w:jc w:val="both"/>
        <w:rPr>
          <w:rFonts w:ascii="Cambria" w:hAnsi="Cambria" w:cs="Times New Roman"/>
        </w:rPr>
      </w:pPr>
      <w:r>
        <w:rPr>
          <w:rFonts w:ascii="Cambria" w:hAnsi="Cambria" w:cs="Times New Roman"/>
        </w:rPr>
        <w:t>O EMAD por sua vez, presta assistência domiciliar, durante 12 horas diárias a aproximadamente 40 pessoas/mês fornecendo medicamentos orais e endovenosos. Tendo em vista que no final de 2016, parte da equipe fora capacitada, e com isso haverá acréscimo de condutas clínicas e médicas incorporando novas técnicas de tratamento e de realização de curativo.</w:t>
      </w:r>
    </w:p>
    <w:p w14:paraId="5D6D5BC0">
      <w:pPr>
        <w:spacing w:before="240"/>
        <w:jc w:val="both"/>
        <w:rPr>
          <w:rFonts w:ascii="Cambria" w:hAnsi="Cambria" w:cs="Times New Roman"/>
        </w:rPr>
      </w:pPr>
      <w:r>
        <w:rPr>
          <w:rFonts w:ascii="Cambria" w:hAnsi="Cambria" w:cs="Times New Roman"/>
        </w:rPr>
        <w:t xml:space="preserve">Medicação Contínua: são fornecidos aos pacientes mediante avaliação pela Câmara Técnica em Saúde (CATS), mediante convênio entre Secretaria Municipal de Saúde e Promotoria de Justiça de Piracanjuba, além da distribuição de medicamentos por ordem judicial. </w:t>
      </w:r>
    </w:p>
    <w:p w14:paraId="4765B987">
      <w:pPr>
        <w:spacing w:before="240"/>
        <w:jc w:val="both"/>
        <w:rPr>
          <w:rFonts w:ascii="Cambria" w:hAnsi="Cambria" w:cs="Times New Roman"/>
        </w:rPr>
      </w:pPr>
      <w:r>
        <w:rPr>
          <w:rFonts w:ascii="Cambria" w:hAnsi="Cambria" w:cs="Times New Roman"/>
        </w:rPr>
        <w:t>Pacientes usuários de análogos de insulina.</w:t>
      </w:r>
    </w:p>
    <w:p w14:paraId="248B55A6">
      <w:pPr>
        <w:spacing w:before="240"/>
        <w:jc w:val="both"/>
        <w:rPr>
          <w:rFonts w:ascii="Cambria" w:hAnsi="Cambria" w:cs="Times New Roman"/>
        </w:rPr>
      </w:pPr>
      <w:r>
        <w:rPr>
          <w:rFonts w:ascii="Cambria" w:hAnsi="Cambria" w:cs="Times New Roman"/>
        </w:rPr>
        <w:t>Assim, os medicamentos que constituem este processo foram selecionados de acordo com as diretrizes da Relação Nacional de Medicamentos Essenciais (RENAME) de 2017 do Ministério da Saúde e as necessidades do Município de Piracanjuba.</w:t>
      </w:r>
    </w:p>
    <w:p w14:paraId="10618079">
      <w:pPr>
        <w:spacing w:before="240"/>
        <w:jc w:val="both"/>
        <w:rPr>
          <w:rFonts w:ascii="Cambria" w:hAnsi="Cambria" w:cs="Times New Roman"/>
        </w:rPr>
      </w:pPr>
      <w:r>
        <w:rPr>
          <w:rFonts w:ascii="Cambria" w:hAnsi="Cambria" w:cs="Times New Roman"/>
        </w:rPr>
        <w:t xml:space="preserve">Sendo assim, considerando que tais medicamentos são essenciais para que os princípios do Sistema Único de Saúde sejam garantidos, a aquisição do quantitativo estimado é de grande relevância a fim de evitar o desabastecimento das Unidades de Saúde sem causar prejuízo à saúde dos pacientes atendidos. Salientamos ainda que o estoque ora existente não será suficiente para atender as demandas de todas as Unidades de Saúde do Município pelo período de até 12 meses. </w:t>
      </w:r>
    </w:p>
    <w:p w14:paraId="078A5A28">
      <w:pPr>
        <w:spacing w:before="240"/>
        <w:jc w:val="both"/>
        <w:rPr>
          <w:rFonts w:ascii="Cambria" w:hAnsi="Cambria" w:cs="Times New Roman"/>
        </w:rPr>
      </w:pPr>
      <w:r>
        <w:rPr>
          <w:rFonts w:ascii="Cambria" w:hAnsi="Cambria" w:cs="Times New Roman"/>
        </w:rPr>
        <w:t>Sendo assim, considerando que tais medicamentos são essenciais para que os princípios do Sistema Único de Saúde sejam garantidos, a aquisição do quantitativo estimado é de grande relevância a fim de evitar o desabastecimento das Unidades de Saúde sem causar prejuízo à saúde dos pacientes atendidos.</w:t>
      </w:r>
    </w:p>
    <w:tbl>
      <w:tblPr>
        <w:tblStyle w:val="18"/>
        <w:tblW w:w="92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09"/>
      </w:tblGrid>
      <w:tr w14:paraId="7CE45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09" w:type="dxa"/>
            <w:shd w:val="clear" w:color="auto" w:fill="8EAADB" w:themeFill="accent1" w:themeFillTint="99"/>
          </w:tcPr>
          <w:p w14:paraId="6EA9A323">
            <w:pPr>
              <w:spacing w:after="0" w:line="240" w:lineRule="auto"/>
              <w:jc w:val="both"/>
              <w:rPr>
                <w:rFonts w:ascii="Cambria" w:hAnsi="Cambria" w:eastAsia="Calibri" w:cs="Times New Roman"/>
                <w:b/>
                <w:color w:val="C00000"/>
                <w:sz w:val="22"/>
                <w:szCs w:val="22"/>
                <w:lang w:eastAsia="pt-BR"/>
              </w:rPr>
            </w:pPr>
            <w:r>
              <w:rPr>
                <w:rFonts w:ascii="Cambria" w:hAnsi="Cambria" w:eastAsia="Calibri" w:cs="Times New Roman"/>
                <w:b/>
                <w:color w:val="C00000"/>
                <w:sz w:val="22"/>
                <w:szCs w:val="22"/>
                <w:lang w:eastAsia="pt-BR"/>
              </w:rPr>
              <w:t>4- DESCRIÇÃO DOS REQUISITOS DA CONTRATAÇÃO</w:t>
            </w:r>
          </w:p>
        </w:tc>
      </w:tr>
    </w:tbl>
    <w:p w14:paraId="00C9E7D2">
      <w:pPr>
        <w:spacing w:before="240"/>
        <w:jc w:val="both"/>
        <w:rPr>
          <w:rFonts w:ascii="Cambria" w:hAnsi="Cambria" w:cs="Times New Roman"/>
        </w:rPr>
      </w:pPr>
      <w:r>
        <w:rPr>
          <w:rFonts w:ascii="Cambria" w:hAnsi="Cambria" w:cs="Times New Roman"/>
        </w:rPr>
        <w:t>Para o problema indicado acima ser solucionado, entende-se necessário que a contratação apresente os seguintes requisitos:</w:t>
      </w:r>
    </w:p>
    <w:p w14:paraId="1194B8C4">
      <w:pPr>
        <w:spacing w:before="240"/>
        <w:jc w:val="both"/>
        <w:rPr>
          <w:rFonts w:ascii="Cambria" w:hAnsi="Cambria" w:cs="Times New Roman"/>
        </w:rPr>
      </w:pPr>
      <w:r>
        <w:rPr>
          <w:rFonts w:ascii="Cambria" w:hAnsi="Cambria" w:cs="Times New Roman"/>
        </w:rPr>
        <w:t xml:space="preserve">Os </w:t>
      </w:r>
      <w:r>
        <w:rPr>
          <w:rFonts w:ascii="Cambria" w:hAnsi="Cambria" w:cs="Times New Roman"/>
          <w:b/>
          <w:u w:val="single"/>
        </w:rPr>
        <w:t>medicamentos, materiais médicos hospitalares e laboratoriais</w:t>
      </w:r>
      <w:r>
        <w:rPr>
          <w:rFonts w:ascii="Cambria" w:hAnsi="Cambria"/>
          <w:b/>
        </w:rPr>
        <w:t xml:space="preserve">, </w:t>
      </w:r>
      <w:r>
        <w:rPr>
          <w:rFonts w:ascii="Cambria" w:hAnsi="Cambria" w:cs="Times New Roman"/>
        </w:rPr>
        <w:t>deverão possuir garantia contra não conformidades de fabricação, a contar do recebimento definitivo dos mesmos, sendo esta garantia de sua total responsabilidade, inclusive os custos no que tange o transporte da CONTRATANTE à CONTRATADA e seu devido retorno a CONTRATANTE.</w:t>
      </w:r>
    </w:p>
    <w:p w14:paraId="193F2C51">
      <w:pPr>
        <w:spacing w:before="240"/>
        <w:jc w:val="both"/>
        <w:rPr>
          <w:rFonts w:ascii="Cambria" w:hAnsi="Cambria" w:cs="Times New Roman"/>
        </w:rPr>
      </w:pPr>
      <w:r>
        <w:rPr>
          <w:rFonts w:ascii="Cambria" w:hAnsi="Cambria" w:cs="Times New Roman"/>
        </w:rPr>
        <w:t xml:space="preserve">O contratado deverá prestar todos os esclarecimentos técnicos que lhe forem solicitados, relacionados com as características dos </w:t>
      </w:r>
      <w:r>
        <w:rPr>
          <w:rFonts w:ascii="Cambria" w:hAnsi="Cambria" w:cs="Times New Roman"/>
          <w:b/>
          <w:u w:val="single"/>
        </w:rPr>
        <w:t>medicamentos, materiais médicos hospitalares e laboratoriais.</w:t>
      </w:r>
    </w:p>
    <w:p w14:paraId="6FEE987B">
      <w:pPr>
        <w:spacing w:before="240"/>
        <w:jc w:val="both"/>
        <w:rPr>
          <w:rFonts w:ascii="Cambria" w:hAnsi="Cambria" w:cs="Times New Roman"/>
        </w:rPr>
      </w:pPr>
      <w:r>
        <w:rPr>
          <w:rFonts w:ascii="Cambria" w:hAnsi="Cambria" w:cs="Times New Roman"/>
        </w:rPr>
        <w:t xml:space="preserve">O contratado deverá arcar com todas as despesas, diretas ou indiretas, decorrentes do fornecimento dos </w:t>
      </w:r>
      <w:r>
        <w:rPr>
          <w:rFonts w:ascii="Cambria" w:hAnsi="Cambria" w:cs="Times New Roman"/>
          <w:b/>
          <w:u w:val="single"/>
        </w:rPr>
        <w:t>medicamentos, materiais médicos hospitalares e laboratoriais</w:t>
      </w:r>
      <w:r>
        <w:rPr>
          <w:rFonts w:ascii="Cambria" w:hAnsi="Cambria" w:cs="Times New Roman"/>
        </w:rPr>
        <w:t>, sem qualquer ônus para a municipalidade.</w:t>
      </w:r>
    </w:p>
    <w:p w14:paraId="0D8A0619">
      <w:pPr>
        <w:spacing w:before="240"/>
        <w:jc w:val="both"/>
        <w:rPr>
          <w:rFonts w:ascii="Cambria" w:hAnsi="Cambria" w:cs="Times New Roman"/>
        </w:rPr>
      </w:pPr>
      <w:r>
        <w:rPr>
          <w:rFonts w:ascii="Cambria" w:hAnsi="Cambria" w:cs="Times New Roman"/>
        </w:rPr>
        <w:t>O contratado deverá repetir procedimentos às suas próprias custas para correção de falhas verificadas, principalmente na hipótese de aquisição do objeto em desacordo com as condições pactuadas.</w:t>
      </w:r>
    </w:p>
    <w:p w14:paraId="0318ACA0">
      <w:pPr>
        <w:spacing w:before="240"/>
        <w:jc w:val="both"/>
        <w:rPr>
          <w:rFonts w:ascii="Cambria" w:hAnsi="Cambria" w:cs="Times New Roman"/>
        </w:rPr>
      </w:pPr>
      <w:r>
        <w:rPr>
          <w:rFonts w:ascii="Cambria" w:hAnsi="Cambria" w:cs="Times New Roman"/>
        </w:rPr>
        <w:t>Os riscos de impactos ocasionados devido a produção nas indústrias, as empresas deverão atentar para as práticas de mitigação dos impactos na produção, em como as lei e Resoluções que orientam a produção sustentável dessas atividades.</w:t>
      </w:r>
    </w:p>
    <w:p w14:paraId="62ADC88C">
      <w:pPr>
        <w:spacing w:before="240"/>
        <w:jc w:val="both"/>
        <w:rPr>
          <w:rFonts w:ascii="Cambria" w:hAnsi="Cambria" w:cs="Times New Roman"/>
        </w:rPr>
      </w:pPr>
      <w:r>
        <w:rPr>
          <w:rFonts w:ascii="Cambria" w:hAnsi="Cambria" w:cs="Times New Roman"/>
        </w:rPr>
        <w:t>A aquisição deve considerar as consequências ambientais, sociais e econômicos de: projeto; uso de materiais não renováveis; fabricação e métodos de produção, logística, prestação de serviços; uso, operação, manutenção, reutilização; opções de reciclagem; disposição, e as capacidades dos fornecedores para resolver essas consequências em toda a cadeia de abastecimento.</w:t>
      </w:r>
    </w:p>
    <w:tbl>
      <w:tblPr>
        <w:tblStyle w:val="18"/>
        <w:tblW w:w="93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1"/>
      </w:tblGrid>
      <w:tr w14:paraId="0804AD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shd w:val="clear" w:color="auto" w:fill="8EAADB" w:themeFill="accent1" w:themeFillTint="99"/>
          </w:tcPr>
          <w:p w14:paraId="0002D727">
            <w:pPr>
              <w:spacing w:after="0" w:line="240" w:lineRule="auto"/>
              <w:jc w:val="both"/>
              <w:rPr>
                <w:rFonts w:ascii="Cambria" w:hAnsi="Cambria" w:eastAsia="Calibri" w:cs="Times New Roman"/>
                <w:b/>
                <w:sz w:val="22"/>
                <w:szCs w:val="22"/>
                <w:lang w:eastAsia="pt-BR"/>
              </w:rPr>
            </w:pPr>
            <w:r>
              <w:rPr>
                <w:rFonts w:ascii="Cambria" w:hAnsi="Cambria" w:eastAsia="Calibri" w:cs="Times New Roman"/>
                <w:b/>
                <w:sz w:val="22"/>
                <w:szCs w:val="22"/>
                <w:lang w:eastAsia="pt-BR"/>
              </w:rPr>
              <w:t>5 - LEVANTAMENTO DO MERCADO</w:t>
            </w:r>
          </w:p>
        </w:tc>
      </w:tr>
    </w:tbl>
    <w:p w14:paraId="0ABF8EE0">
      <w:pPr>
        <w:spacing w:before="240"/>
        <w:jc w:val="both"/>
        <w:rPr>
          <w:rFonts w:ascii="Cambria" w:hAnsi="Cambria" w:cs="Times New Roman"/>
        </w:rPr>
      </w:pPr>
      <w:r>
        <w:rPr>
          <w:rFonts w:ascii="Cambria" w:hAnsi="Cambria" w:cs="Times New Roman"/>
        </w:rPr>
        <w:t>Analisando o mercado, entendem-se viáveis as seguintes alternativas, abaixo indicadas com os seus pós e contras:</w:t>
      </w:r>
    </w:p>
    <w:p w14:paraId="27846C8B">
      <w:pPr>
        <w:spacing w:before="240"/>
        <w:jc w:val="both"/>
        <w:rPr>
          <w:rFonts w:ascii="Cambria" w:hAnsi="Cambria" w:cs="Times New Roman"/>
        </w:rPr>
      </w:pPr>
      <w:r>
        <w:rPr>
          <w:rFonts w:ascii="Cambria" w:hAnsi="Cambria" w:cs="Times New Roman"/>
        </w:rPr>
        <w:t xml:space="preserve">O contratado deverá fornecer diretamente os </w:t>
      </w:r>
      <w:r>
        <w:rPr>
          <w:rFonts w:ascii="Cambria" w:hAnsi="Cambria" w:cs="Times New Roman"/>
          <w:b/>
          <w:u w:val="single"/>
        </w:rPr>
        <w:t>medicamentos, materiais médicos hospitalares e laboratoriais</w:t>
      </w:r>
      <w:r>
        <w:rPr>
          <w:rFonts w:ascii="Cambria" w:hAnsi="Cambria" w:cs="Times New Roman"/>
        </w:rPr>
        <w:t>, não podendo transferir a responsabilidade pelo objeto demandado para nenhuma outra empresa ou instituição de qualquer natureza.</w:t>
      </w:r>
    </w:p>
    <w:p w14:paraId="4F6F7582">
      <w:pPr>
        <w:spacing w:before="240"/>
        <w:jc w:val="both"/>
        <w:rPr>
          <w:rFonts w:ascii="Cambria" w:hAnsi="Cambria" w:cs="Times New Roman"/>
        </w:rPr>
      </w:pPr>
      <w:r>
        <w:rPr>
          <w:rFonts w:ascii="Cambria" w:hAnsi="Cambria" w:cs="Times New Roman"/>
        </w:rPr>
        <w:t xml:space="preserve">O contratado deverá fornecer os </w:t>
      </w:r>
      <w:r>
        <w:rPr>
          <w:rFonts w:ascii="Cambria" w:hAnsi="Cambria" w:cs="Times New Roman"/>
          <w:b/>
          <w:u w:val="single"/>
        </w:rPr>
        <w:t>medicamentos, materiais médicos hospitalares e laboratoriais</w:t>
      </w:r>
      <w:r>
        <w:rPr>
          <w:rFonts w:ascii="Cambria" w:hAnsi="Cambria"/>
          <w:b/>
        </w:rPr>
        <w:t xml:space="preserve">, </w:t>
      </w:r>
      <w:r>
        <w:rPr>
          <w:rFonts w:ascii="Cambria" w:hAnsi="Cambria" w:cs="Times New Roman"/>
        </w:rPr>
        <w:t>produzidos de acordo com as normas vigentes, especialmente as sanitárias, de boa qualidade e de excelente aceitação no mercado.</w:t>
      </w:r>
    </w:p>
    <w:p w14:paraId="35335D24">
      <w:pPr>
        <w:spacing w:before="240"/>
        <w:jc w:val="both"/>
        <w:rPr>
          <w:rFonts w:ascii="Cambria" w:hAnsi="Cambria" w:cs="Times New Roman"/>
        </w:rPr>
      </w:pPr>
      <w:r>
        <w:rPr>
          <w:rFonts w:ascii="Cambria" w:hAnsi="Cambria" w:cs="Times New Roman"/>
        </w:rPr>
        <w:t>Diante das necessidades apontadas neste estudo, o atendimento à solução exige a contratação de empresa especializada cujo o ramo de atividade seja compatível com o objeto pretendido.</w:t>
      </w:r>
    </w:p>
    <w:p w14:paraId="3A5DA6E8">
      <w:pPr>
        <w:spacing w:before="240"/>
        <w:jc w:val="both"/>
        <w:rPr>
          <w:rFonts w:ascii="Cambria" w:hAnsi="Cambria" w:cs="Times New Roman"/>
        </w:rPr>
      </w:pPr>
      <w:r>
        <w:rPr>
          <w:rFonts w:ascii="Cambria" w:hAnsi="Cambria" w:cs="Times New Roman"/>
        </w:rPr>
        <w:t xml:space="preserve">Foram analisadas contratações similares feitas por outros órgãos e entidades, por meio de consultas a outros editais, com objetivo de identificar a existência de novas metodologias, tecnologias ou inovações que melhor atendessem às necessidades da municipalidade. Não se observou maiores variações quanto à execução do objeto no que se refere ao papel da empresa a qual se pretende contratar. Assim, a variação se dá pela modalidade de licitação aplicada a cada caso, a depender da permissibilidade normativa. </w:t>
      </w:r>
    </w:p>
    <w:p w14:paraId="5FB5FE1C">
      <w:pPr>
        <w:spacing w:before="240"/>
        <w:jc w:val="both"/>
        <w:rPr>
          <w:rFonts w:ascii="Cambria" w:hAnsi="Cambria" w:cs="Times New Roman"/>
        </w:rPr>
      </w:pPr>
      <w:r>
        <w:rPr>
          <w:rFonts w:ascii="Cambria" w:hAnsi="Cambria" w:cs="Times New Roman"/>
        </w:rPr>
        <w:t xml:space="preserve">Logo, a aquisição </w:t>
      </w:r>
      <w:r>
        <w:rPr>
          <w:rFonts w:ascii="Cambria" w:hAnsi="Cambria" w:cs="Times New Roman"/>
          <w:b/>
          <w:u w:val="single"/>
        </w:rPr>
        <w:t>medicamentos, materiais médicos hospitalares e laboratoriais</w:t>
      </w:r>
      <w:r>
        <w:rPr>
          <w:rFonts w:ascii="Cambria" w:hAnsi="Cambria"/>
          <w:b/>
        </w:rPr>
        <w:t>,</w:t>
      </w:r>
      <w:r>
        <w:rPr>
          <w:rFonts w:ascii="Cambria" w:hAnsi="Cambria" w:cs="Times New Roman"/>
        </w:rPr>
        <w:t xml:space="preserve"> objeto do presente Estudo Técnico Preliminar se constitui, no atual cenário, em objeto de frequente aquisição por órgãos públicos, em todas as suas esferas.</w:t>
      </w:r>
    </w:p>
    <w:tbl>
      <w:tblPr>
        <w:tblStyle w:val="18"/>
        <w:tblW w:w="93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1"/>
      </w:tblGrid>
      <w:tr w14:paraId="03F4F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shd w:val="clear" w:color="auto" w:fill="8EAADB" w:themeFill="accent1" w:themeFillTint="99"/>
          </w:tcPr>
          <w:p w14:paraId="006D80DB">
            <w:pPr>
              <w:spacing w:after="0" w:line="240" w:lineRule="auto"/>
              <w:jc w:val="both"/>
              <w:rPr>
                <w:rFonts w:ascii="Cambria" w:hAnsi="Cambria" w:eastAsia="Calibri" w:cs="Times New Roman"/>
                <w:b/>
                <w:sz w:val="22"/>
                <w:szCs w:val="22"/>
                <w:lang w:eastAsia="pt-BR"/>
              </w:rPr>
            </w:pPr>
            <w:r>
              <w:rPr>
                <w:rFonts w:ascii="Cambria" w:hAnsi="Cambria" w:eastAsia="Calibri" w:cs="Times New Roman"/>
                <w:b/>
                <w:sz w:val="22"/>
                <w:szCs w:val="22"/>
                <w:lang w:eastAsia="pt-BR"/>
              </w:rPr>
              <w:t>6 - DESCRIÇÃO DA SOLUÇÃO COMO UM TODO</w:t>
            </w:r>
          </w:p>
        </w:tc>
      </w:tr>
    </w:tbl>
    <w:p w14:paraId="76032BA2">
      <w:pPr>
        <w:spacing w:before="240"/>
        <w:jc w:val="both"/>
        <w:rPr>
          <w:rFonts w:ascii="Cambria" w:hAnsi="Cambria" w:cs="Times New Roman"/>
        </w:rPr>
      </w:pPr>
      <w:r>
        <w:rPr>
          <w:rFonts w:ascii="Cambria" w:hAnsi="Cambria" w:cs="Times New Roman"/>
        </w:rPr>
        <w:t xml:space="preserve">Diante das alternativas apresentadas pelo mercado, sopesando-se os pós e contras de cada uma delas, entende-se que a melhor solução para a satisfação do interesse público é: A solução proposta envolve a aquisição dos </w:t>
      </w:r>
      <w:r>
        <w:rPr>
          <w:rFonts w:ascii="Cambria" w:hAnsi="Cambria" w:cs="Times New Roman"/>
          <w:b/>
          <w:u w:val="single"/>
        </w:rPr>
        <w:t>medicamentos, materiais médicos hospitalares e laboratoriais</w:t>
      </w:r>
      <w:r>
        <w:rPr>
          <w:rFonts w:ascii="Cambria" w:hAnsi="Cambria"/>
          <w:b/>
        </w:rPr>
        <w:t xml:space="preserve">, </w:t>
      </w:r>
      <w:r>
        <w:rPr>
          <w:rFonts w:ascii="Cambria" w:hAnsi="Cambria" w:cs="Times New Roman"/>
        </w:rPr>
        <w:t>para fins de atendimento às necessidades institucionais.</w:t>
      </w:r>
    </w:p>
    <w:p w14:paraId="1539EF02">
      <w:pPr>
        <w:spacing w:before="240"/>
        <w:jc w:val="both"/>
        <w:rPr>
          <w:rFonts w:ascii="Cambria" w:hAnsi="Cambria" w:cs="Times New Roman"/>
        </w:rPr>
      </w:pPr>
      <w:r>
        <w:rPr>
          <w:rFonts w:ascii="Cambria" w:hAnsi="Cambria" w:cs="Times New Roman"/>
        </w:rPr>
        <w:t>Todos os demais elementos necessários ao atendimento à demanda da Administração estarão dispostos no Termo de Referência, entre eles as obrigações e responsabilidades da contratada e demais especificidades do objeto.</w:t>
      </w:r>
    </w:p>
    <w:tbl>
      <w:tblPr>
        <w:tblStyle w:val="18"/>
        <w:tblW w:w="92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09"/>
      </w:tblGrid>
      <w:tr w14:paraId="1DC8C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09" w:type="dxa"/>
            <w:shd w:val="clear" w:color="auto" w:fill="8EAADB" w:themeFill="accent1" w:themeFillTint="99"/>
          </w:tcPr>
          <w:p w14:paraId="6A92D380">
            <w:pPr>
              <w:spacing w:after="0" w:line="240" w:lineRule="auto"/>
              <w:jc w:val="both"/>
              <w:rPr>
                <w:rFonts w:ascii="Cambria" w:hAnsi="Cambria" w:eastAsia="Calibri" w:cs="Times New Roman"/>
                <w:b/>
                <w:sz w:val="22"/>
                <w:szCs w:val="22"/>
                <w:lang w:eastAsia="pt-BR"/>
              </w:rPr>
            </w:pPr>
            <w:r>
              <w:rPr>
                <w:rFonts w:ascii="Cambria" w:hAnsi="Cambria" w:eastAsia="Calibri" w:cs="Times New Roman"/>
                <w:b/>
                <w:sz w:val="22"/>
                <w:szCs w:val="22"/>
                <w:lang w:eastAsia="pt-BR"/>
              </w:rPr>
              <w:t>7- ESTIMATIVA DAS QUANTIDADES A SEREM CONTRATADAS</w:t>
            </w:r>
          </w:p>
        </w:tc>
      </w:tr>
    </w:tbl>
    <w:p w14:paraId="31193C6E">
      <w:pPr>
        <w:spacing w:before="240"/>
        <w:jc w:val="both"/>
        <w:rPr>
          <w:rFonts w:ascii="Cambria" w:hAnsi="Cambria" w:cs="Times New Roman"/>
        </w:rPr>
      </w:pPr>
      <w:r>
        <w:rPr>
          <w:rFonts w:ascii="Cambria" w:hAnsi="Cambria" w:cs="Times New Roman"/>
        </w:rPr>
        <w:t>Entende-se necessária a contratação dos seguintes itens e quantitativos:</w:t>
      </w:r>
    </w:p>
    <w:tbl>
      <w:tblPr>
        <w:tblStyle w:val="18"/>
        <w:tblW w:w="9356"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86"/>
        <w:gridCol w:w="6206"/>
        <w:gridCol w:w="1047"/>
        <w:gridCol w:w="1417"/>
      </w:tblGrid>
      <w:tr w14:paraId="65E9A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2422A233">
            <w:pPr>
              <w:spacing w:before="240" w:after="0" w:line="240" w:lineRule="auto"/>
              <w:jc w:val="center"/>
              <w:rPr>
                <w:rFonts w:ascii="Cambria" w:hAnsi="Cambria" w:eastAsia="Calibri" w:cs="Times New Roman"/>
                <w:b/>
                <w:bCs/>
                <w:sz w:val="22"/>
                <w:szCs w:val="22"/>
                <w:lang w:eastAsia="pt-BR"/>
              </w:rPr>
            </w:pPr>
            <w:r>
              <w:rPr>
                <w:rFonts w:ascii="Cambria" w:hAnsi="Cambria" w:eastAsia="Calibri" w:cs="Times New Roman"/>
                <w:b/>
                <w:bCs/>
                <w:sz w:val="22"/>
                <w:szCs w:val="22"/>
                <w:lang w:eastAsia="pt-BR"/>
              </w:rPr>
              <w:t>Item</w:t>
            </w:r>
          </w:p>
        </w:tc>
        <w:tc>
          <w:tcPr>
            <w:tcW w:w="6206" w:type="dxa"/>
            <w:vAlign w:val="center"/>
          </w:tcPr>
          <w:p w14:paraId="5FB5513F">
            <w:pPr>
              <w:spacing w:before="240" w:after="0" w:line="240" w:lineRule="auto"/>
              <w:jc w:val="center"/>
              <w:rPr>
                <w:rFonts w:ascii="Cambria" w:hAnsi="Cambria" w:eastAsia="Calibri" w:cs="Times New Roman"/>
                <w:b/>
                <w:bCs/>
                <w:sz w:val="22"/>
                <w:szCs w:val="22"/>
                <w:lang w:eastAsia="pt-BR"/>
              </w:rPr>
            </w:pPr>
            <w:r>
              <w:rPr>
                <w:rFonts w:ascii="Cambria" w:hAnsi="Cambria" w:eastAsia="Calibri" w:cs="Times New Roman"/>
                <w:b/>
                <w:bCs/>
                <w:sz w:val="22"/>
                <w:szCs w:val="22"/>
                <w:lang w:eastAsia="pt-BR"/>
              </w:rPr>
              <w:t>Descrição</w:t>
            </w:r>
          </w:p>
        </w:tc>
        <w:tc>
          <w:tcPr>
            <w:tcW w:w="1047" w:type="dxa"/>
            <w:vAlign w:val="center"/>
          </w:tcPr>
          <w:p w14:paraId="49FACC1B">
            <w:pPr>
              <w:spacing w:before="240" w:after="0" w:line="240" w:lineRule="auto"/>
              <w:jc w:val="center"/>
              <w:rPr>
                <w:rFonts w:ascii="Cambria" w:hAnsi="Cambria" w:eastAsia="Calibri" w:cs="Times New Roman"/>
                <w:b/>
                <w:bCs/>
                <w:sz w:val="22"/>
                <w:szCs w:val="22"/>
                <w:lang w:eastAsia="pt-BR"/>
              </w:rPr>
            </w:pPr>
            <w:r>
              <w:rPr>
                <w:rFonts w:ascii="Cambria" w:hAnsi="Cambria" w:eastAsia="Calibri" w:cs="Times New Roman"/>
                <w:b/>
                <w:bCs/>
                <w:sz w:val="22"/>
                <w:szCs w:val="22"/>
                <w:lang w:eastAsia="pt-BR"/>
              </w:rPr>
              <w:t>Und</w:t>
            </w:r>
          </w:p>
        </w:tc>
        <w:tc>
          <w:tcPr>
            <w:tcW w:w="1417" w:type="dxa"/>
            <w:vAlign w:val="center"/>
          </w:tcPr>
          <w:p w14:paraId="35750911">
            <w:pPr>
              <w:spacing w:before="240" w:after="0" w:line="240" w:lineRule="auto"/>
              <w:jc w:val="center"/>
              <w:rPr>
                <w:rFonts w:ascii="Cambria" w:hAnsi="Cambria" w:eastAsia="Calibri" w:cs="Times New Roman"/>
                <w:b/>
                <w:bCs/>
                <w:sz w:val="22"/>
                <w:szCs w:val="22"/>
                <w:lang w:eastAsia="pt-BR"/>
              </w:rPr>
            </w:pPr>
            <w:r>
              <w:rPr>
                <w:rFonts w:ascii="Cambria" w:hAnsi="Cambria" w:eastAsia="Calibri" w:cs="Times New Roman"/>
                <w:b/>
                <w:bCs/>
                <w:sz w:val="22"/>
                <w:szCs w:val="22"/>
                <w:lang w:eastAsia="pt-BR"/>
              </w:rPr>
              <w:t>Qtd</w:t>
            </w:r>
          </w:p>
        </w:tc>
      </w:tr>
      <w:tr w14:paraId="31DB6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4EFF5963">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0</w:t>
            </w:r>
            <w:r>
              <w:rPr>
                <w:rFonts w:ascii="Cambria" w:hAnsi="Cambria" w:eastAsia="Calibri" w:cs="Times New Roman"/>
                <w:sz w:val="22"/>
                <w:szCs w:val="22"/>
                <w:lang w:eastAsia="pt-BR"/>
              </w:rPr>
              <w:t>1</w:t>
            </w:r>
          </w:p>
        </w:tc>
        <w:tc>
          <w:tcPr>
            <w:tcW w:w="6206" w:type="dxa"/>
            <w:vAlign w:val="center"/>
          </w:tcPr>
          <w:p w14:paraId="3514F7EB">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Clorafenicol</w:t>
            </w:r>
            <w:r>
              <w:rPr>
                <w:rFonts w:ascii="Cambria" w:hAnsi="Cambria" w:eastAsia="Calibri" w:cs="Times New Roman"/>
                <w:spacing w:val="-6"/>
                <w:sz w:val="22"/>
                <w:szCs w:val="22"/>
                <w:lang w:eastAsia="pt-BR"/>
              </w:rPr>
              <w:t xml:space="preserve"> </w:t>
            </w:r>
            <w:r>
              <w:rPr>
                <w:rFonts w:ascii="Cambria" w:hAnsi="Cambria" w:eastAsia="Calibri" w:cs="Times New Roman"/>
                <w:sz w:val="20"/>
                <w:szCs w:val="20"/>
                <w:lang w:eastAsia="pt-BR"/>
              </w:rPr>
              <w:t>1 g</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ampola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5 ml</w:t>
            </w:r>
            <w:r>
              <w:rPr>
                <w:rFonts w:ascii="Cambria" w:hAnsi="Cambria" w:eastAsia="Calibri" w:cs="Times New Roman"/>
                <w:spacing w:val="-6"/>
                <w:sz w:val="22"/>
                <w:szCs w:val="22"/>
                <w:lang w:eastAsia="pt-BR"/>
              </w:rPr>
              <w:t xml:space="preserve"> </w:t>
            </w:r>
            <w:r>
              <w:rPr>
                <w:rFonts w:ascii="Cambria" w:hAnsi="Cambria" w:eastAsia="Calibri" w:cs="Times New Roman"/>
                <w:sz w:val="20"/>
                <w:szCs w:val="20"/>
                <w:lang w:eastAsia="pt-BR"/>
              </w:rPr>
              <w:t>injetável</w:t>
            </w:r>
          </w:p>
        </w:tc>
        <w:tc>
          <w:tcPr>
            <w:tcW w:w="1047" w:type="dxa"/>
            <w:vAlign w:val="center"/>
          </w:tcPr>
          <w:p w14:paraId="0077BAC2">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0C44436D">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200</w:t>
            </w:r>
          </w:p>
        </w:tc>
      </w:tr>
      <w:tr w14:paraId="0DD22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481B74E9">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0</w:t>
            </w:r>
            <w:r>
              <w:rPr>
                <w:rFonts w:ascii="Cambria" w:hAnsi="Cambria" w:eastAsia="Calibri" w:cs="Times New Roman"/>
                <w:sz w:val="22"/>
                <w:szCs w:val="22"/>
                <w:lang w:eastAsia="pt-BR"/>
              </w:rPr>
              <w:t>2</w:t>
            </w:r>
          </w:p>
        </w:tc>
        <w:tc>
          <w:tcPr>
            <w:tcW w:w="6206" w:type="dxa"/>
            <w:vAlign w:val="center"/>
          </w:tcPr>
          <w:p w14:paraId="6060F7F4">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2"/>
                <w:szCs w:val="22"/>
                <w:lang w:eastAsia="pt-BR"/>
              </w:rPr>
              <w:t>Cloridrato de Clorpromazina solução 40 mg/ml (gotas)</w:t>
            </w:r>
            <w:r>
              <w:rPr>
                <w:rFonts w:ascii="Cambria" w:hAnsi="Cambria" w:eastAsia="Calibri" w:cs="Times New Roman"/>
                <w:spacing w:val="-37"/>
                <w:sz w:val="22"/>
                <w:szCs w:val="22"/>
                <w:lang w:eastAsia="pt-BR"/>
              </w:rPr>
              <w:t xml:space="preserve"> </w:t>
            </w:r>
            <w:r>
              <w:rPr>
                <w:rFonts w:ascii="Cambria" w:hAnsi="Cambria" w:eastAsia="Calibri" w:cs="Times New Roman"/>
                <w:sz w:val="22"/>
                <w:szCs w:val="22"/>
                <w:lang w:eastAsia="pt-BR"/>
              </w:rPr>
              <w:t>com 20 ml</w:t>
            </w:r>
          </w:p>
        </w:tc>
        <w:tc>
          <w:tcPr>
            <w:tcW w:w="1047" w:type="dxa"/>
            <w:vAlign w:val="center"/>
          </w:tcPr>
          <w:p w14:paraId="031543F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61DD9CB8">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w:t>
            </w:r>
          </w:p>
        </w:tc>
      </w:tr>
      <w:tr w14:paraId="5A8B6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193A888">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0</w:t>
            </w:r>
            <w:r>
              <w:rPr>
                <w:rFonts w:ascii="Cambria" w:hAnsi="Cambria" w:eastAsia="Calibri" w:cs="Times New Roman"/>
                <w:sz w:val="22"/>
                <w:szCs w:val="22"/>
                <w:lang w:eastAsia="pt-BR"/>
              </w:rPr>
              <w:t>3</w:t>
            </w:r>
          </w:p>
        </w:tc>
        <w:tc>
          <w:tcPr>
            <w:tcW w:w="6206" w:type="dxa"/>
            <w:vAlign w:val="center"/>
          </w:tcPr>
          <w:p w14:paraId="28B54499">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Halotano</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frasco</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com</w:t>
            </w:r>
            <w:r>
              <w:rPr>
                <w:rFonts w:ascii="Cambria" w:hAnsi="Cambria" w:eastAsia="Calibri" w:cs="Times New Roman"/>
                <w:spacing w:val="-2"/>
                <w:sz w:val="22"/>
                <w:szCs w:val="22"/>
                <w:lang w:eastAsia="pt-BR"/>
              </w:rPr>
              <w:t xml:space="preserve"> </w:t>
            </w:r>
            <w:r>
              <w:rPr>
                <w:rFonts w:ascii="Cambria" w:hAnsi="Cambria" w:eastAsia="Calibri" w:cs="Times New Roman"/>
                <w:sz w:val="22"/>
                <w:szCs w:val="22"/>
                <w:lang w:eastAsia="pt-BR"/>
              </w:rPr>
              <w:t>100</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ml</w:t>
            </w:r>
          </w:p>
        </w:tc>
        <w:tc>
          <w:tcPr>
            <w:tcW w:w="1047" w:type="dxa"/>
            <w:vAlign w:val="center"/>
          </w:tcPr>
          <w:p w14:paraId="4D15573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46C04E5F">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w:t>
            </w:r>
          </w:p>
        </w:tc>
      </w:tr>
      <w:tr w14:paraId="31393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310DB2C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0</w:t>
            </w:r>
            <w:r>
              <w:rPr>
                <w:rFonts w:ascii="Cambria" w:hAnsi="Cambria" w:eastAsia="Calibri" w:cs="Times New Roman"/>
                <w:sz w:val="22"/>
                <w:szCs w:val="22"/>
                <w:lang w:eastAsia="pt-BR"/>
              </w:rPr>
              <w:t>4</w:t>
            </w:r>
          </w:p>
        </w:tc>
        <w:tc>
          <w:tcPr>
            <w:tcW w:w="6206" w:type="dxa"/>
            <w:vAlign w:val="center"/>
          </w:tcPr>
          <w:p w14:paraId="75902EA4">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Hidralazina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20mg</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amp</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1ml</w:t>
            </w:r>
          </w:p>
        </w:tc>
        <w:tc>
          <w:tcPr>
            <w:tcW w:w="1047" w:type="dxa"/>
            <w:vAlign w:val="center"/>
          </w:tcPr>
          <w:p w14:paraId="375A4C2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1E294B44">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400</w:t>
            </w:r>
          </w:p>
        </w:tc>
      </w:tr>
      <w:tr w14:paraId="0A275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7C3D5CE2">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0</w:t>
            </w:r>
            <w:r>
              <w:rPr>
                <w:rFonts w:ascii="Cambria" w:hAnsi="Cambria" w:eastAsia="Calibri" w:cs="Times New Roman"/>
                <w:sz w:val="22"/>
                <w:szCs w:val="22"/>
                <w:lang w:eastAsia="pt-BR"/>
              </w:rPr>
              <w:t>5</w:t>
            </w:r>
          </w:p>
        </w:tc>
        <w:tc>
          <w:tcPr>
            <w:tcW w:w="6206" w:type="dxa"/>
            <w:vAlign w:val="center"/>
          </w:tcPr>
          <w:p w14:paraId="59213EFD">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2"/>
                <w:szCs w:val="22"/>
                <w:lang w:eastAsia="pt-BR"/>
              </w:rPr>
              <w:t>Mononitrato de isassorbida com 40 mg</w:t>
            </w:r>
          </w:p>
        </w:tc>
        <w:tc>
          <w:tcPr>
            <w:tcW w:w="1047" w:type="dxa"/>
            <w:vAlign w:val="center"/>
          </w:tcPr>
          <w:p w14:paraId="6B7A5789">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4F7D04A0">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2.500</w:t>
            </w:r>
          </w:p>
        </w:tc>
      </w:tr>
      <w:tr w14:paraId="0BCB4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214E116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0</w:t>
            </w:r>
            <w:r>
              <w:rPr>
                <w:rFonts w:ascii="Cambria" w:hAnsi="Cambria" w:eastAsia="Calibri" w:cs="Times New Roman"/>
                <w:sz w:val="22"/>
                <w:szCs w:val="22"/>
                <w:lang w:eastAsia="pt-BR"/>
              </w:rPr>
              <w:t>6</w:t>
            </w:r>
          </w:p>
        </w:tc>
        <w:tc>
          <w:tcPr>
            <w:tcW w:w="6206" w:type="dxa"/>
            <w:vAlign w:val="center"/>
          </w:tcPr>
          <w:p w14:paraId="4AFE6420">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Bromidrato</w:t>
            </w:r>
            <w:r>
              <w:rPr>
                <w:rFonts w:ascii="Cambria" w:hAnsi="Cambria" w:eastAsia="Calibri" w:cs="Times New Roman"/>
                <w:spacing w:val="-4"/>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fenoterol</w:t>
            </w:r>
            <w:r>
              <w:rPr>
                <w:rFonts w:ascii="Cambria" w:hAnsi="Cambria" w:eastAsia="Calibri" w:cs="Times New Roman"/>
                <w:spacing w:val="-8"/>
                <w:sz w:val="22"/>
                <w:szCs w:val="22"/>
                <w:lang w:eastAsia="pt-BR"/>
              </w:rPr>
              <w:t xml:space="preserve"> </w:t>
            </w:r>
            <w:r>
              <w:rPr>
                <w:rFonts w:ascii="Cambria" w:hAnsi="Cambria" w:eastAsia="Calibri" w:cs="Times New Roman"/>
                <w:sz w:val="22"/>
                <w:szCs w:val="22"/>
                <w:lang w:eastAsia="pt-BR"/>
              </w:rPr>
              <w:t>5</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mg/ml</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gts</w:t>
            </w:r>
            <w:r>
              <w:rPr>
                <w:rFonts w:ascii="Cambria" w:hAnsi="Cambria" w:eastAsia="Calibri" w:cs="Times New Roman"/>
                <w:spacing w:val="-3"/>
                <w:sz w:val="22"/>
                <w:szCs w:val="22"/>
                <w:lang w:eastAsia="pt-BR"/>
              </w:rPr>
              <w:t xml:space="preserve"> </w:t>
            </w:r>
            <w:r>
              <w:rPr>
                <w:rFonts w:ascii="Cambria" w:hAnsi="Cambria" w:eastAsia="Calibri" w:cs="Times New Roman"/>
                <w:sz w:val="22"/>
                <w:szCs w:val="22"/>
                <w:lang w:eastAsia="pt-BR"/>
              </w:rPr>
              <w:t>20</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ml</w:t>
            </w:r>
          </w:p>
        </w:tc>
        <w:tc>
          <w:tcPr>
            <w:tcW w:w="1047" w:type="dxa"/>
            <w:vAlign w:val="center"/>
          </w:tcPr>
          <w:p w14:paraId="1C53F2F3">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5B9C072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650</w:t>
            </w:r>
          </w:p>
        </w:tc>
      </w:tr>
      <w:tr w14:paraId="5EFB9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10DBD149">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0</w:t>
            </w:r>
            <w:r>
              <w:rPr>
                <w:rFonts w:ascii="Cambria" w:hAnsi="Cambria" w:eastAsia="Calibri" w:cs="Times New Roman"/>
                <w:sz w:val="22"/>
                <w:szCs w:val="22"/>
                <w:lang w:eastAsia="pt-BR"/>
              </w:rPr>
              <w:t>7</w:t>
            </w:r>
          </w:p>
        </w:tc>
        <w:tc>
          <w:tcPr>
            <w:tcW w:w="6206" w:type="dxa"/>
            <w:vAlign w:val="center"/>
          </w:tcPr>
          <w:p w14:paraId="5BF8A8BF">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2"/>
                <w:szCs w:val="22"/>
                <w:lang w:eastAsia="pt-BR"/>
              </w:rPr>
              <w:t>Gel de silicone para cicatrização, prevenção de</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quelóides ou hipertrofia tipo kelo cote tubo 15 g ou</w:t>
            </w:r>
            <w:r>
              <w:rPr>
                <w:rFonts w:ascii="Cambria" w:hAnsi="Cambria" w:eastAsia="Calibri" w:cs="Times New Roman"/>
                <w:spacing w:val="-37"/>
                <w:sz w:val="22"/>
                <w:szCs w:val="22"/>
                <w:lang w:eastAsia="pt-BR"/>
              </w:rPr>
              <w:t xml:space="preserve"> </w:t>
            </w:r>
            <w:r>
              <w:rPr>
                <w:rFonts w:ascii="Cambria" w:hAnsi="Cambria" w:eastAsia="Calibri" w:cs="Times New Roman"/>
                <w:sz w:val="22"/>
                <w:szCs w:val="22"/>
                <w:lang w:eastAsia="pt-BR"/>
              </w:rPr>
              <w:t>similar ou melhor qualidade.</w:t>
            </w:r>
          </w:p>
        </w:tc>
        <w:tc>
          <w:tcPr>
            <w:tcW w:w="1047" w:type="dxa"/>
            <w:vAlign w:val="center"/>
          </w:tcPr>
          <w:p w14:paraId="6D6E8F4F">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457CC76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0</w:t>
            </w:r>
            <w:r>
              <w:rPr>
                <w:rFonts w:ascii="Cambria" w:hAnsi="Cambria" w:eastAsia="Calibri" w:cs="Times New Roman"/>
                <w:sz w:val="22"/>
                <w:szCs w:val="22"/>
                <w:lang w:eastAsia="pt-BR"/>
              </w:rPr>
              <w:t>6</w:t>
            </w:r>
          </w:p>
        </w:tc>
      </w:tr>
      <w:tr w14:paraId="73779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7529B79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0</w:t>
            </w:r>
            <w:r>
              <w:rPr>
                <w:rFonts w:ascii="Cambria" w:hAnsi="Cambria" w:eastAsia="Calibri" w:cs="Times New Roman"/>
                <w:sz w:val="22"/>
                <w:szCs w:val="22"/>
                <w:lang w:eastAsia="pt-BR"/>
              </w:rPr>
              <w:t>8</w:t>
            </w:r>
          </w:p>
        </w:tc>
        <w:tc>
          <w:tcPr>
            <w:tcW w:w="6206" w:type="dxa"/>
            <w:vAlign w:val="center"/>
          </w:tcPr>
          <w:p w14:paraId="5C752233">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Hidróxido</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alumínio</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61,5</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mg/ml</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frasco</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240 ml</w:t>
            </w:r>
          </w:p>
        </w:tc>
        <w:tc>
          <w:tcPr>
            <w:tcW w:w="1047" w:type="dxa"/>
            <w:vAlign w:val="center"/>
          </w:tcPr>
          <w:p w14:paraId="14ADF298">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7040728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3.000</w:t>
            </w:r>
          </w:p>
        </w:tc>
      </w:tr>
      <w:tr w14:paraId="18538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4E6B8C7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0</w:t>
            </w:r>
            <w:r>
              <w:rPr>
                <w:rFonts w:ascii="Cambria" w:hAnsi="Cambria" w:eastAsia="Calibri" w:cs="Times New Roman"/>
                <w:sz w:val="22"/>
                <w:szCs w:val="22"/>
                <w:lang w:eastAsia="pt-BR"/>
              </w:rPr>
              <w:t>9</w:t>
            </w:r>
          </w:p>
        </w:tc>
        <w:tc>
          <w:tcPr>
            <w:tcW w:w="6206" w:type="dxa"/>
            <w:vAlign w:val="center"/>
          </w:tcPr>
          <w:p w14:paraId="0EF9188A">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Insulina</w:t>
            </w:r>
            <w:r>
              <w:rPr>
                <w:rFonts w:ascii="Cambria" w:hAnsi="Cambria" w:eastAsia="Calibri" w:cs="Times New Roman"/>
                <w:spacing w:val="-8"/>
                <w:sz w:val="22"/>
                <w:szCs w:val="22"/>
                <w:lang w:eastAsia="pt-BR"/>
              </w:rPr>
              <w:t xml:space="preserve"> </w:t>
            </w:r>
            <w:r>
              <w:rPr>
                <w:rFonts w:ascii="Cambria" w:hAnsi="Cambria" w:eastAsia="Calibri" w:cs="Times New Roman"/>
                <w:spacing w:val="-1"/>
                <w:sz w:val="20"/>
                <w:szCs w:val="20"/>
                <w:lang w:eastAsia="pt-BR"/>
              </w:rPr>
              <w:t>degludeca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100 u/ml</w:t>
            </w:r>
            <w:r>
              <w:rPr>
                <w:rFonts w:ascii="Cambria" w:hAnsi="Cambria" w:eastAsia="Calibri" w:cs="Times New Roman"/>
                <w:spacing w:val="-5"/>
                <w:sz w:val="22"/>
                <w:szCs w:val="22"/>
                <w:lang w:eastAsia="pt-BR"/>
              </w:rPr>
              <w:t xml:space="preserve"> </w:t>
            </w:r>
            <w:r>
              <w:rPr>
                <w:rFonts w:ascii="Cambria" w:hAnsi="Cambria" w:eastAsia="Calibri" w:cs="Times New Roman"/>
                <w:sz w:val="20"/>
                <w:szCs w:val="20"/>
                <w:lang w:eastAsia="pt-BR"/>
              </w:rPr>
              <w:t>caixa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contendo 5 refis de 3 ml</w:t>
            </w:r>
            <w:r>
              <w:rPr>
                <w:rFonts w:ascii="Cambria" w:hAnsi="Cambria" w:eastAsia="Calibri" w:cs="Times New Roman"/>
                <w:spacing w:val="-6"/>
                <w:sz w:val="22"/>
                <w:szCs w:val="22"/>
                <w:lang w:eastAsia="pt-BR"/>
              </w:rPr>
              <w:t xml:space="preserve"> </w:t>
            </w:r>
            <w:r>
              <w:rPr>
                <w:rFonts w:ascii="Cambria" w:hAnsi="Cambria" w:eastAsia="Calibri" w:cs="Times New Roman"/>
                <w:sz w:val="20"/>
                <w:szCs w:val="20"/>
                <w:lang w:eastAsia="pt-BR"/>
              </w:rPr>
              <w:t>cada</w:t>
            </w:r>
          </w:p>
        </w:tc>
        <w:tc>
          <w:tcPr>
            <w:tcW w:w="1047" w:type="dxa"/>
            <w:vAlign w:val="center"/>
          </w:tcPr>
          <w:p w14:paraId="052F0F0C">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7960F993">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48</w:t>
            </w:r>
          </w:p>
        </w:tc>
      </w:tr>
      <w:tr w14:paraId="42122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6A66F0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w:t>
            </w:r>
          </w:p>
        </w:tc>
        <w:tc>
          <w:tcPr>
            <w:tcW w:w="6206" w:type="dxa"/>
            <w:vAlign w:val="center"/>
          </w:tcPr>
          <w:p w14:paraId="49FF5C07">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2"/>
                <w:szCs w:val="22"/>
                <w:lang w:eastAsia="pt-BR"/>
              </w:rPr>
              <w:t>Insulina lispro refil 3ml</w:t>
            </w:r>
          </w:p>
        </w:tc>
        <w:tc>
          <w:tcPr>
            <w:tcW w:w="1047" w:type="dxa"/>
            <w:vAlign w:val="center"/>
          </w:tcPr>
          <w:p w14:paraId="647A609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45D972B4">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400</w:t>
            </w:r>
          </w:p>
        </w:tc>
      </w:tr>
      <w:tr w14:paraId="70078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4E56EE0A">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11</w:t>
            </w:r>
          </w:p>
        </w:tc>
        <w:tc>
          <w:tcPr>
            <w:tcW w:w="6206" w:type="dxa"/>
            <w:vAlign w:val="center"/>
          </w:tcPr>
          <w:p w14:paraId="77F6D6D0">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2"/>
                <w:szCs w:val="22"/>
                <w:lang w:eastAsia="pt-BR"/>
              </w:rPr>
              <w:t xml:space="preserve">Metilfenidato </w:t>
            </w:r>
            <w:r>
              <w:rPr>
                <w:rFonts w:ascii="Cambria" w:hAnsi="Cambria" w:eastAsia="Calibri" w:cs="Times New Roman"/>
                <w:sz w:val="22"/>
                <w:szCs w:val="22"/>
                <w:lang w:eastAsia="pt-BR"/>
              </w:rPr>
              <w:t>LA 10 mg cápsula gelatinosa dura com</w:t>
            </w:r>
            <w:r>
              <w:rPr>
                <w:rFonts w:ascii="Cambria" w:hAnsi="Cambria" w:eastAsia="Calibri" w:cs="Times New Roman"/>
                <w:spacing w:val="-36"/>
                <w:sz w:val="22"/>
                <w:szCs w:val="22"/>
                <w:lang w:eastAsia="pt-BR"/>
              </w:rPr>
              <w:t xml:space="preserve"> </w:t>
            </w:r>
            <w:r>
              <w:rPr>
                <w:rFonts w:ascii="Cambria" w:hAnsi="Cambria" w:eastAsia="Calibri" w:cs="Times New Roman"/>
                <w:sz w:val="22"/>
                <w:szCs w:val="22"/>
                <w:lang w:eastAsia="pt-BR"/>
              </w:rPr>
              <w:t>microgranulos de liberação controlada.</w:t>
            </w:r>
          </w:p>
        </w:tc>
        <w:tc>
          <w:tcPr>
            <w:tcW w:w="1047" w:type="dxa"/>
            <w:vAlign w:val="center"/>
          </w:tcPr>
          <w:p w14:paraId="539BD9F4">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1D05512A">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1.440</w:t>
            </w:r>
          </w:p>
        </w:tc>
      </w:tr>
      <w:tr w14:paraId="2C850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6B7FD1A4">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12</w:t>
            </w:r>
          </w:p>
        </w:tc>
        <w:tc>
          <w:tcPr>
            <w:tcW w:w="6206" w:type="dxa"/>
            <w:vAlign w:val="center"/>
          </w:tcPr>
          <w:p w14:paraId="219A80EF">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Dimenidrinato</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50mg+</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cloridrato</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piridoxina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50mg,</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ampola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de 1ml</w:t>
            </w:r>
          </w:p>
        </w:tc>
        <w:tc>
          <w:tcPr>
            <w:tcW w:w="1047" w:type="dxa"/>
            <w:vAlign w:val="center"/>
          </w:tcPr>
          <w:p w14:paraId="3F510A25">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22FF058F">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2.000</w:t>
            </w:r>
          </w:p>
        </w:tc>
      </w:tr>
      <w:tr w14:paraId="662FF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06D5E8EC">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13</w:t>
            </w:r>
          </w:p>
        </w:tc>
        <w:tc>
          <w:tcPr>
            <w:tcW w:w="6206" w:type="dxa"/>
            <w:vAlign w:val="center"/>
          </w:tcPr>
          <w:p w14:paraId="57556B57">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2"/>
                <w:szCs w:val="22"/>
                <w:lang w:eastAsia="pt-BR"/>
              </w:rPr>
              <w:t>Vitelinato</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de prata</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0,1% fr</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5 ml</w:t>
            </w:r>
          </w:p>
        </w:tc>
        <w:tc>
          <w:tcPr>
            <w:tcW w:w="1047" w:type="dxa"/>
            <w:vAlign w:val="center"/>
          </w:tcPr>
          <w:p w14:paraId="0303DEFF">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468E8FD0">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w:t>
            </w:r>
          </w:p>
        </w:tc>
      </w:tr>
      <w:tr w14:paraId="6676F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9B28C15">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14</w:t>
            </w:r>
          </w:p>
        </w:tc>
        <w:tc>
          <w:tcPr>
            <w:tcW w:w="6206" w:type="dxa"/>
            <w:vAlign w:val="center"/>
          </w:tcPr>
          <w:p w14:paraId="31B4EBA7">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Alteplase</w:t>
            </w:r>
            <w:r>
              <w:rPr>
                <w:rFonts w:ascii="Cambria" w:hAnsi="Cambria" w:eastAsia="Calibri" w:cs="Times New Roman"/>
                <w:spacing w:val="-4"/>
                <w:sz w:val="22"/>
                <w:szCs w:val="22"/>
                <w:lang w:eastAsia="pt-BR"/>
              </w:rPr>
              <w:t xml:space="preserve"> </w:t>
            </w:r>
            <w:r>
              <w:rPr>
                <w:rFonts w:ascii="Cambria" w:hAnsi="Cambria" w:eastAsia="Calibri" w:cs="Times New Roman"/>
                <w:sz w:val="20"/>
                <w:szCs w:val="20"/>
                <w:lang w:eastAsia="pt-BR"/>
              </w:rPr>
              <w:t>10mg/10ml,</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frasco-ampola</w:t>
            </w:r>
          </w:p>
        </w:tc>
        <w:tc>
          <w:tcPr>
            <w:tcW w:w="1047" w:type="dxa"/>
            <w:vAlign w:val="center"/>
          </w:tcPr>
          <w:p w14:paraId="04C1405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04CDCE7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200</w:t>
            </w:r>
          </w:p>
        </w:tc>
      </w:tr>
      <w:tr w14:paraId="099FA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7BFE7B5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15</w:t>
            </w:r>
          </w:p>
        </w:tc>
        <w:tc>
          <w:tcPr>
            <w:tcW w:w="6206" w:type="dxa"/>
            <w:vAlign w:val="center"/>
          </w:tcPr>
          <w:p w14:paraId="6CCFB6E3">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Alteplase</w:t>
            </w:r>
            <w:r>
              <w:rPr>
                <w:rFonts w:ascii="Cambria" w:hAnsi="Cambria" w:eastAsia="Calibri" w:cs="Times New Roman"/>
                <w:spacing w:val="-4"/>
                <w:sz w:val="22"/>
                <w:szCs w:val="22"/>
                <w:lang w:eastAsia="pt-BR"/>
              </w:rPr>
              <w:t xml:space="preserve"> </w:t>
            </w:r>
            <w:r>
              <w:rPr>
                <w:rFonts w:ascii="Cambria" w:hAnsi="Cambria" w:eastAsia="Calibri" w:cs="Times New Roman"/>
                <w:sz w:val="20"/>
                <w:szCs w:val="20"/>
                <w:lang w:eastAsia="pt-BR"/>
              </w:rPr>
              <w:t>20mg/20ml,</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frasco-ampola</w:t>
            </w:r>
          </w:p>
        </w:tc>
        <w:tc>
          <w:tcPr>
            <w:tcW w:w="1047" w:type="dxa"/>
            <w:vAlign w:val="center"/>
          </w:tcPr>
          <w:p w14:paraId="77A81879">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06BFDD7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200</w:t>
            </w:r>
          </w:p>
        </w:tc>
      </w:tr>
      <w:tr w14:paraId="2914E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4C3B2F20">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16</w:t>
            </w:r>
          </w:p>
        </w:tc>
        <w:tc>
          <w:tcPr>
            <w:tcW w:w="6206" w:type="dxa"/>
            <w:vAlign w:val="center"/>
          </w:tcPr>
          <w:p w14:paraId="158BB937">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Loção hidratante corporal fps 60- com</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nictinamida e manteiga de karité para</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pele</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seca</w:t>
            </w:r>
            <w:r>
              <w:rPr>
                <w:rFonts w:ascii="Cambria" w:hAnsi="Cambria" w:eastAsia="Calibri" w:cs="Times New Roman"/>
                <w:spacing w:val="-10"/>
                <w:sz w:val="22"/>
                <w:szCs w:val="22"/>
                <w:lang w:eastAsia="pt-BR"/>
              </w:rPr>
              <w:t xml:space="preserve"> </w:t>
            </w:r>
            <w:r>
              <w:rPr>
                <w:rFonts w:ascii="Cambria" w:hAnsi="Cambria" w:eastAsia="Calibri" w:cs="Times New Roman"/>
                <w:sz w:val="20"/>
                <w:szCs w:val="20"/>
                <w:lang w:eastAsia="pt-BR"/>
              </w:rPr>
              <w:t>e</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sensível,</w:t>
            </w:r>
            <w:r>
              <w:rPr>
                <w:rFonts w:ascii="Cambria" w:hAnsi="Cambria" w:eastAsia="Calibri" w:cs="Times New Roman"/>
                <w:spacing w:val="-5"/>
                <w:sz w:val="22"/>
                <w:szCs w:val="22"/>
                <w:lang w:eastAsia="pt-BR"/>
              </w:rPr>
              <w:t xml:space="preserve"> </w:t>
            </w:r>
            <w:r>
              <w:rPr>
                <w:rFonts w:ascii="Cambria" w:hAnsi="Cambria" w:eastAsia="Calibri" w:cs="Times New Roman"/>
                <w:sz w:val="20"/>
                <w:szCs w:val="20"/>
                <w:lang w:eastAsia="pt-BR"/>
              </w:rPr>
              <w:t>tubo</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contendo</w:t>
            </w:r>
            <w:r>
              <w:rPr>
                <w:rFonts w:ascii="Cambria" w:hAnsi="Cambria" w:eastAsia="Calibri" w:cs="Times New Roman"/>
                <w:spacing w:val="-2"/>
                <w:sz w:val="22"/>
                <w:szCs w:val="22"/>
                <w:lang w:eastAsia="pt-BR"/>
              </w:rPr>
              <w:t xml:space="preserve"> </w:t>
            </w:r>
            <w:r>
              <w:rPr>
                <w:rFonts w:ascii="Cambria" w:hAnsi="Cambria" w:eastAsia="Calibri" w:cs="Times New Roman"/>
                <w:sz w:val="22"/>
                <w:szCs w:val="22"/>
                <w:lang w:eastAsia="pt-BR"/>
              </w:rPr>
              <w:t>200</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ml tipo lipikaraox 60 ou melhor</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qualidade. Protetor solar contendo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antioxidantes</w:t>
            </w:r>
          </w:p>
        </w:tc>
        <w:tc>
          <w:tcPr>
            <w:tcW w:w="1047" w:type="dxa"/>
            <w:vAlign w:val="center"/>
          </w:tcPr>
          <w:p w14:paraId="2C4D3D9C">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2A41603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12</w:t>
            </w:r>
          </w:p>
        </w:tc>
      </w:tr>
      <w:tr w14:paraId="5C8E2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2346328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17</w:t>
            </w:r>
          </w:p>
        </w:tc>
        <w:tc>
          <w:tcPr>
            <w:tcW w:w="6206" w:type="dxa"/>
            <w:vAlign w:val="center"/>
          </w:tcPr>
          <w:p w14:paraId="570DBC3C">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Divalproato</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sódio</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250mg/5ml,</w:t>
            </w:r>
            <w:r>
              <w:rPr>
                <w:rFonts w:ascii="Cambria" w:hAnsi="Cambria" w:eastAsia="Calibri" w:cs="Times New Roman"/>
                <w:spacing w:val="-35"/>
                <w:sz w:val="22"/>
                <w:szCs w:val="22"/>
                <w:lang w:eastAsia="pt-BR"/>
              </w:rPr>
              <w:t xml:space="preserve"> </w:t>
            </w:r>
            <w:r>
              <w:rPr>
                <w:rFonts w:ascii="Cambria" w:hAnsi="Cambria" w:eastAsia="Calibri" w:cs="Times New Roman"/>
                <w:sz w:val="20"/>
                <w:szCs w:val="20"/>
                <w:lang w:eastAsia="pt-BR"/>
              </w:rPr>
              <w:t>suspensão oral</w:t>
            </w:r>
          </w:p>
        </w:tc>
        <w:tc>
          <w:tcPr>
            <w:tcW w:w="1047" w:type="dxa"/>
            <w:vAlign w:val="center"/>
          </w:tcPr>
          <w:p w14:paraId="44FB3D69">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756FC965">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100</w:t>
            </w:r>
          </w:p>
        </w:tc>
      </w:tr>
      <w:tr w14:paraId="52BD7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4D10B9C">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18</w:t>
            </w:r>
          </w:p>
        </w:tc>
        <w:tc>
          <w:tcPr>
            <w:tcW w:w="6206" w:type="dxa"/>
            <w:vAlign w:val="center"/>
          </w:tcPr>
          <w:p w14:paraId="72B74293">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Cloridrato de oxibuprocaína, solução</w:t>
            </w:r>
            <w:r>
              <w:rPr>
                <w:rFonts w:ascii="Cambria" w:hAnsi="Cambria" w:eastAsia="Calibri" w:cs="Times New Roman"/>
                <w:spacing w:val="-36"/>
                <w:sz w:val="22"/>
                <w:szCs w:val="22"/>
                <w:lang w:eastAsia="pt-BR"/>
              </w:rPr>
              <w:t xml:space="preserve"> </w:t>
            </w:r>
            <w:r>
              <w:rPr>
                <w:rFonts w:ascii="Cambria" w:hAnsi="Cambria" w:eastAsia="Calibri" w:cs="Times New Roman"/>
                <w:spacing w:val="-1"/>
                <w:sz w:val="20"/>
                <w:szCs w:val="20"/>
                <w:lang w:eastAsia="pt-BR"/>
              </w:rPr>
              <w:t xml:space="preserve">oftálmica estéril, </w:t>
            </w:r>
            <w:r>
              <w:rPr>
                <w:rFonts w:ascii="Cambria" w:hAnsi="Cambria" w:eastAsia="Calibri" w:cs="Times New Roman"/>
                <w:sz w:val="20"/>
                <w:szCs w:val="20"/>
                <w:lang w:eastAsia="pt-BR"/>
              </w:rPr>
              <w:t>4mg/ml (0,4%), frasco</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de 10ml</w:t>
            </w:r>
          </w:p>
        </w:tc>
        <w:tc>
          <w:tcPr>
            <w:tcW w:w="1047" w:type="dxa"/>
            <w:vAlign w:val="center"/>
          </w:tcPr>
          <w:p w14:paraId="7B81F89C">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442B7893">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w:t>
            </w:r>
          </w:p>
        </w:tc>
      </w:tr>
      <w:tr w14:paraId="4EBB1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4A3D0D0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19</w:t>
            </w:r>
          </w:p>
        </w:tc>
        <w:tc>
          <w:tcPr>
            <w:tcW w:w="6206" w:type="dxa"/>
            <w:vAlign w:val="center"/>
          </w:tcPr>
          <w:p w14:paraId="232AC10F">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Hidroxiuréia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500 mg comprimidos</w:t>
            </w:r>
          </w:p>
        </w:tc>
        <w:tc>
          <w:tcPr>
            <w:tcW w:w="1047" w:type="dxa"/>
            <w:vAlign w:val="center"/>
          </w:tcPr>
          <w:p w14:paraId="3A3D104D">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53A7281F">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1.000</w:t>
            </w:r>
          </w:p>
        </w:tc>
      </w:tr>
      <w:tr w14:paraId="5BAAF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7AA4443D">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w:t>
            </w:r>
          </w:p>
        </w:tc>
        <w:tc>
          <w:tcPr>
            <w:tcW w:w="6206" w:type="dxa"/>
            <w:vAlign w:val="center"/>
          </w:tcPr>
          <w:p w14:paraId="0ADADF09">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Semaglutida 1,5 ml com 01 sistema de</w:t>
            </w:r>
            <w:r>
              <w:rPr>
                <w:rFonts w:ascii="Cambria" w:hAnsi="Cambria" w:eastAsia="Calibri" w:cs="Times New Roman"/>
                <w:spacing w:val="-36"/>
                <w:sz w:val="22"/>
                <w:szCs w:val="22"/>
                <w:lang w:eastAsia="pt-BR"/>
              </w:rPr>
              <w:t xml:space="preserve"> </w:t>
            </w:r>
            <w:r>
              <w:rPr>
                <w:rFonts w:ascii="Cambria" w:hAnsi="Cambria" w:eastAsia="Calibri" w:cs="Times New Roman"/>
                <w:spacing w:val="-1"/>
                <w:sz w:val="20"/>
                <w:szCs w:val="20"/>
                <w:lang w:eastAsia="pt-BR"/>
              </w:rPr>
              <w:t>aplicação e</w:t>
            </w:r>
            <w:r>
              <w:rPr>
                <w:rFonts w:ascii="Cambria" w:hAnsi="Cambria" w:eastAsia="Calibri" w:cs="Times New Roman"/>
                <w:sz w:val="22"/>
                <w:szCs w:val="22"/>
                <w:lang w:eastAsia="pt-BR"/>
              </w:rPr>
              <w:t xml:space="preserve"> </w:t>
            </w:r>
            <w:r>
              <w:rPr>
                <w:rFonts w:ascii="Cambria" w:hAnsi="Cambria" w:eastAsia="Calibri" w:cs="Times New Roman"/>
                <w:spacing w:val="-1"/>
                <w:sz w:val="22"/>
                <w:szCs w:val="22"/>
                <w:lang w:eastAsia="pt-BR"/>
              </w:rPr>
              <w:t>06</w:t>
            </w:r>
            <w:r>
              <w:rPr>
                <w:rFonts w:ascii="Cambria" w:hAnsi="Cambria" w:eastAsia="Calibri" w:cs="Times New Roman"/>
                <w:spacing w:val="-8"/>
                <w:sz w:val="22"/>
                <w:szCs w:val="22"/>
                <w:lang w:eastAsia="pt-BR"/>
              </w:rPr>
              <w:t xml:space="preserve"> </w:t>
            </w:r>
            <w:r>
              <w:rPr>
                <w:rFonts w:ascii="Cambria" w:hAnsi="Cambria" w:eastAsia="Calibri" w:cs="Times New Roman"/>
                <w:spacing w:val="-1"/>
                <w:sz w:val="20"/>
                <w:szCs w:val="20"/>
                <w:lang w:eastAsia="pt-BR"/>
              </w:rPr>
              <w:t>agulhas</w:t>
            </w:r>
            <w:r>
              <w:rPr>
                <w:rFonts w:ascii="Cambria" w:hAnsi="Cambria" w:eastAsia="Calibri" w:cs="Times New Roman"/>
                <w:sz w:val="20"/>
                <w:szCs w:val="20"/>
                <w:lang w:eastAsia="pt-BR"/>
              </w:rPr>
              <w:t xml:space="preserve"> descartáveis</w:t>
            </w:r>
          </w:p>
        </w:tc>
        <w:tc>
          <w:tcPr>
            <w:tcW w:w="1047" w:type="dxa"/>
            <w:vAlign w:val="center"/>
          </w:tcPr>
          <w:p w14:paraId="09AB0DF3">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0242E72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60</w:t>
            </w:r>
          </w:p>
        </w:tc>
      </w:tr>
      <w:tr w14:paraId="50634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4A173D7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21</w:t>
            </w:r>
          </w:p>
        </w:tc>
        <w:tc>
          <w:tcPr>
            <w:tcW w:w="6206" w:type="dxa"/>
            <w:vAlign w:val="center"/>
          </w:tcPr>
          <w:p w14:paraId="789DE8C6">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Fórmula infantil extensamente</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hidrolisada</w:t>
            </w:r>
            <w:r>
              <w:rPr>
                <w:rFonts w:ascii="Cambria" w:hAnsi="Cambria" w:eastAsia="Calibri" w:cs="Times New Roman"/>
                <w:spacing w:val="-9"/>
                <w:sz w:val="22"/>
                <w:szCs w:val="22"/>
                <w:lang w:eastAsia="pt-BR"/>
              </w:rPr>
              <w:t xml:space="preserve"> </w:t>
            </w:r>
            <w:r>
              <w:rPr>
                <w:rFonts w:ascii="Cambria" w:hAnsi="Cambria" w:eastAsia="Calibri" w:cs="Times New Roman"/>
                <w:spacing w:val="-1"/>
                <w:sz w:val="20"/>
                <w:szCs w:val="20"/>
                <w:lang w:eastAsia="pt-BR"/>
              </w:rPr>
              <w:t>de</w:t>
            </w:r>
            <w:r>
              <w:rPr>
                <w:rFonts w:ascii="Cambria" w:hAnsi="Cambria" w:eastAsia="Calibri" w:cs="Times New Roman"/>
                <w:spacing w:val="-8"/>
                <w:sz w:val="22"/>
                <w:szCs w:val="22"/>
                <w:lang w:eastAsia="pt-BR"/>
              </w:rPr>
              <w:t xml:space="preserve"> </w:t>
            </w:r>
            <w:r>
              <w:rPr>
                <w:rFonts w:ascii="Cambria" w:hAnsi="Cambria" w:eastAsia="Calibri" w:cs="Times New Roman"/>
                <w:spacing w:val="-1"/>
                <w:sz w:val="20"/>
                <w:szCs w:val="20"/>
                <w:lang w:eastAsia="pt-BR"/>
              </w:rPr>
              <w:t>arroz</w:t>
            </w:r>
            <w:r>
              <w:rPr>
                <w:rFonts w:ascii="Cambria" w:hAnsi="Cambria" w:eastAsia="Calibri" w:cs="Times New Roman"/>
                <w:sz w:val="22"/>
                <w:szCs w:val="22"/>
                <w:lang w:eastAsia="pt-BR"/>
              </w:rPr>
              <w:t xml:space="preserve"> </w:t>
            </w:r>
            <w:r>
              <w:rPr>
                <w:rFonts w:ascii="Cambria" w:hAnsi="Cambria" w:eastAsia="Calibri" w:cs="Times New Roman"/>
                <w:spacing w:val="-1"/>
                <w:sz w:val="20"/>
                <w:szCs w:val="20"/>
                <w:lang w:eastAsia="pt-BR"/>
              </w:rPr>
              <w:t>(novamil</w:t>
            </w:r>
            <w:r>
              <w:rPr>
                <w:rFonts w:ascii="Cambria" w:hAnsi="Cambria" w:eastAsia="Calibri" w:cs="Times New Roman"/>
                <w:spacing w:val="-6"/>
                <w:sz w:val="22"/>
                <w:szCs w:val="22"/>
                <w:lang w:eastAsia="pt-BR"/>
              </w:rPr>
              <w:t xml:space="preserve"> </w:t>
            </w:r>
            <w:r>
              <w:rPr>
                <w:rFonts w:ascii="Cambria" w:hAnsi="Cambria" w:eastAsia="Calibri" w:cs="Times New Roman"/>
                <w:sz w:val="20"/>
                <w:szCs w:val="20"/>
                <w:lang w:eastAsia="pt-BR"/>
              </w:rPr>
              <w:t>rice ou</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similar)</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lata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400g</w:t>
            </w:r>
          </w:p>
        </w:tc>
        <w:tc>
          <w:tcPr>
            <w:tcW w:w="1047" w:type="dxa"/>
            <w:vAlign w:val="center"/>
          </w:tcPr>
          <w:p w14:paraId="5CF7FF5F">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310CBAB3">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180</w:t>
            </w:r>
          </w:p>
        </w:tc>
      </w:tr>
      <w:tr w14:paraId="77E4A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0AC2F893">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22</w:t>
            </w:r>
          </w:p>
        </w:tc>
        <w:tc>
          <w:tcPr>
            <w:tcW w:w="6206" w:type="dxa"/>
            <w:vAlign w:val="center"/>
          </w:tcPr>
          <w:p w14:paraId="74C6CE01">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Aminofilina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injetável</w:t>
            </w:r>
            <w:r>
              <w:rPr>
                <w:rFonts w:ascii="Cambria" w:hAnsi="Cambria" w:eastAsia="Calibri" w:cs="Times New Roman"/>
                <w:spacing w:val="-6"/>
                <w:sz w:val="22"/>
                <w:szCs w:val="22"/>
                <w:lang w:eastAsia="pt-BR"/>
              </w:rPr>
              <w:t xml:space="preserve"> </w:t>
            </w:r>
            <w:r>
              <w:rPr>
                <w:rFonts w:ascii="Cambria" w:hAnsi="Cambria" w:eastAsia="Calibri" w:cs="Times New Roman"/>
                <w:sz w:val="20"/>
                <w:szCs w:val="20"/>
                <w:lang w:eastAsia="pt-BR"/>
              </w:rPr>
              <w:t>10 ml</w:t>
            </w:r>
          </w:p>
        </w:tc>
        <w:tc>
          <w:tcPr>
            <w:tcW w:w="1047" w:type="dxa"/>
            <w:vAlign w:val="center"/>
          </w:tcPr>
          <w:p w14:paraId="09D9FBD2">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0A9E59B8">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500</w:t>
            </w:r>
          </w:p>
        </w:tc>
      </w:tr>
      <w:tr w14:paraId="7F06F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198EBA4C">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23</w:t>
            </w:r>
          </w:p>
        </w:tc>
        <w:tc>
          <w:tcPr>
            <w:tcW w:w="6206" w:type="dxa"/>
            <w:vAlign w:val="center"/>
          </w:tcPr>
          <w:p w14:paraId="138DBEAB">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2"/>
                <w:szCs w:val="22"/>
                <w:lang w:eastAsia="pt-BR"/>
              </w:rPr>
              <w:t>Bissulfato de Clopidogrel 75 mg comprimidos</w:t>
            </w:r>
          </w:p>
        </w:tc>
        <w:tc>
          <w:tcPr>
            <w:tcW w:w="1047" w:type="dxa"/>
            <w:vAlign w:val="center"/>
          </w:tcPr>
          <w:p w14:paraId="3FD85D6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6A84ADA8">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3.000</w:t>
            </w:r>
          </w:p>
        </w:tc>
      </w:tr>
      <w:tr w14:paraId="1F474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48B57DE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24</w:t>
            </w:r>
          </w:p>
        </w:tc>
        <w:tc>
          <w:tcPr>
            <w:tcW w:w="6206" w:type="dxa"/>
            <w:vAlign w:val="center"/>
          </w:tcPr>
          <w:p w14:paraId="75ACEB80">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2"/>
                <w:szCs w:val="22"/>
                <w:lang w:eastAsia="pt-BR"/>
              </w:rPr>
              <w:t>Sulfato de gentamicina inj. 40 mg</w:t>
            </w:r>
          </w:p>
        </w:tc>
        <w:tc>
          <w:tcPr>
            <w:tcW w:w="1047" w:type="dxa"/>
            <w:vAlign w:val="center"/>
          </w:tcPr>
          <w:p w14:paraId="05D377C1">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1CA5CA1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1.000</w:t>
            </w:r>
          </w:p>
        </w:tc>
      </w:tr>
      <w:tr w14:paraId="583DE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0B94A87D">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25</w:t>
            </w:r>
          </w:p>
        </w:tc>
        <w:tc>
          <w:tcPr>
            <w:tcW w:w="6206" w:type="dxa"/>
            <w:vAlign w:val="center"/>
          </w:tcPr>
          <w:p w14:paraId="61108BF0">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2"/>
                <w:szCs w:val="22"/>
                <w:lang w:eastAsia="pt-BR"/>
              </w:rPr>
              <w:t>Besilato de atracúrio 10 mg/ml ampola 5 ml</w:t>
            </w:r>
          </w:p>
        </w:tc>
        <w:tc>
          <w:tcPr>
            <w:tcW w:w="1047" w:type="dxa"/>
            <w:vAlign w:val="center"/>
          </w:tcPr>
          <w:p w14:paraId="52D56FCC">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612EB761">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300</w:t>
            </w:r>
          </w:p>
        </w:tc>
      </w:tr>
      <w:tr w14:paraId="6D984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B0719B5">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26</w:t>
            </w:r>
          </w:p>
        </w:tc>
        <w:tc>
          <w:tcPr>
            <w:tcW w:w="6206" w:type="dxa"/>
            <w:vAlign w:val="center"/>
          </w:tcPr>
          <w:p w14:paraId="3A7229DE">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 xml:space="preserve">Brometo de pancuronio 2 mg/ml ampola </w:t>
            </w:r>
            <w:r>
              <w:rPr>
                <w:rFonts w:ascii="Cambria" w:hAnsi="Cambria" w:eastAsia="Calibri" w:cs="Times New Roman"/>
                <w:sz w:val="22"/>
                <w:szCs w:val="22"/>
                <w:lang w:eastAsia="pt-BR"/>
              </w:rPr>
              <w:t>2</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ml</w:t>
            </w:r>
          </w:p>
        </w:tc>
        <w:tc>
          <w:tcPr>
            <w:tcW w:w="1047" w:type="dxa"/>
            <w:vAlign w:val="center"/>
          </w:tcPr>
          <w:p w14:paraId="48BCFFD1">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15AECA6C">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300</w:t>
            </w:r>
          </w:p>
        </w:tc>
      </w:tr>
      <w:tr w14:paraId="0E514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07039B1C">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27</w:t>
            </w:r>
          </w:p>
        </w:tc>
        <w:tc>
          <w:tcPr>
            <w:tcW w:w="6206" w:type="dxa"/>
            <w:vAlign w:val="center"/>
          </w:tcPr>
          <w:p w14:paraId="306239BE">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2"/>
                <w:szCs w:val="22"/>
                <w:lang w:eastAsia="pt-BR"/>
              </w:rPr>
              <w:t>Lidocaína spray 10% 50 ml</w:t>
            </w:r>
          </w:p>
        </w:tc>
        <w:tc>
          <w:tcPr>
            <w:tcW w:w="1047" w:type="dxa"/>
            <w:vAlign w:val="center"/>
          </w:tcPr>
          <w:p w14:paraId="434E0D2F">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245C91C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w:t>
            </w:r>
          </w:p>
        </w:tc>
      </w:tr>
      <w:tr w14:paraId="189FD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E294950">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28</w:t>
            </w:r>
          </w:p>
        </w:tc>
        <w:tc>
          <w:tcPr>
            <w:tcW w:w="6206" w:type="dxa"/>
            <w:vAlign w:val="center"/>
          </w:tcPr>
          <w:p w14:paraId="70EE6052">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2"/>
                <w:szCs w:val="22"/>
                <w:lang w:eastAsia="pt-BR"/>
              </w:rPr>
              <w:t>Isoflurano frasco 100 ml</w:t>
            </w:r>
          </w:p>
        </w:tc>
        <w:tc>
          <w:tcPr>
            <w:tcW w:w="1047" w:type="dxa"/>
            <w:vAlign w:val="center"/>
          </w:tcPr>
          <w:p w14:paraId="03F216F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7967A7D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100</w:t>
            </w:r>
          </w:p>
        </w:tc>
      </w:tr>
      <w:tr w14:paraId="164A2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479F53F3">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29</w:t>
            </w:r>
          </w:p>
        </w:tc>
        <w:tc>
          <w:tcPr>
            <w:tcW w:w="6206" w:type="dxa"/>
            <w:vAlign w:val="center"/>
          </w:tcPr>
          <w:p w14:paraId="4664698B">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2"/>
                <w:szCs w:val="22"/>
                <w:lang w:eastAsia="pt-BR"/>
              </w:rPr>
              <w:t>Betaístina dicloridrato 8 mg comprimido</w:t>
            </w:r>
          </w:p>
        </w:tc>
        <w:tc>
          <w:tcPr>
            <w:tcW w:w="1047" w:type="dxa"/>
            <w:vAlign w:val="center"/>
          </w:tcPr>
          <w:p w14:paraId="1531D24A">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335D1DBA">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1.500</w:t>
            </w:r>
          </w:p>
        </w:tc>
      </w:tr>
      <w:tr w14:paraId="4D629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36F72971">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30</w:t>
            </w:r>
          </w:p>
        </w:tc>
        <w:tc>
          <w:tcPr>
            <w:tcW w:w="6206" w:type="dxa"/>
            <w:vAlign w:val="center"/>
          </w:tcPr>
          <w:p w14:paraId="42FDAABE">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w w:val="95"/>
                <w:sz w:val="20"/>
                <w:szCs w:val="20"/>
                <w:lang w:eastAsia="pt-BR"/>
              </w:rPr>
              <w:t>Furosemida</w:t>
            </w:r>
            <w:r>
              <w:rPr>
                <w:rFonts w:ascii="Cambria" w:hAnsi="Cambria" w:eastAsia="Calibri" w:cs="Times New Roman"/>
                <w:spacing w:val="23"/>
                <w:w w:val="95"/>
                <w:sz w:val="22"/>
                <w:szCs w:val="22"/>
                <w:lang w:eastAsia="pt-BR"/>
              </w:rPr>
              <w:t xml:space="preserve"> </w:t>
            </w:r>
            <w:r>
              <w:rPr>
                <w:rFonts w:ascii="Cambria" w:hAnsi="Cambria" w:eastAsia="Calibri" w:cs="Times New Roman"/>
                <w:w w:val="95"/>
                <w:sz w:val="20"/>
                <w:szCs w:val="20"/>
                <w:lang w:eastAsia="pt-BR"/>
              </w:rPr>
              <w:t>injetável</w:t>
            </w:r>
            <w:r>
              <w:rPr>
                <w:rFonts w:ascii="Cambria" w:hAnsi="Cambria" w:eastAsia="Calibri" w:cs="Times New Roman"/>
                <w:spacing w:val="26"/>
                <w:w w:val="95"/>
                <w:sz w:val="22"/>
                <w:szCs w:val="22"/>
                <w:lang w:eastAsia="pt-BR"/>
              </w:rPr>
              <w:t xml:space="preserve"> </w:t>
            </w:r>
            <w:r>
              <w:rPr>
                <w:rFonts w:ascii="Cambria" w:hAnsi="Cambria" w:eastAsia="Calibri" w:cs="Times New Roman"/>
                <w:w w:val="95"/>
                <w:sz w:val="20"/>
                <w:szCs w:val="20"/>
                <w:lang w:eastAsia="pt-BR"/>
              </w:rPr>
              <w:t>10mg/ml</w:t>
            </w:r>
            <w:r>
              <w:rPr>
                <w:rFonts w:ascii="Cambria" w:hAnsi="Cambria" w:eastAsia="Calibri" w:cs="Times New Roman"/>
                <w:spacing w:val="14"/>
                <w:w w:val="95"/>
                <w:sz w:val="22"/>
                <w:szCs w:val="22"/>
                <w:lang w:eastAsia="pt-BR"/>
              </w:rPr>
              <w:t xml:space="preserve"> </w:t>
            </w:r>
            <w:r>
              <w:rPr>
                <w:rFonts w:ascii="Cambria" w:hAnsi="Cambria" w:eastAsia="Calibri" w:cs="Times New Roman"/>
                <w:w w:val="95"/>
                <w:sz w:val="20"/>
                <w:szCs w:val="20"/>
                <w:lang w:eastAsia="pt-BR"/>
              </w:rPr>
              <w:t>ampola</w:t>
            </w:r>
            <w:r>
              <w:rPr>
                <w:rFonts w:ascii="Cambria" w:hAnsi="Cambria" w:eastAsia="Calibri" w:cs="Times New Roman"/>
                <w:spacing w:val="23"/>
                <w:w w:val="95"/>
                <w:sz w:val="22"/>
                <w:szCs w:val="22"/>
                <w:lang w:eastAsia="pt-BR"/>
              </w:rPr>
              <w:t xml:space="preserve"> </w:t>
            </w:r>
            <w:r>
              <w:rPr>
                <w:rFonts w:ascii="Cambria" w:hAnsi="Cambria" w:eastAsia="Calibri" w:cs="Times New Roman"/>
                <w:w w:val="95"/>
                <w:sz w:val="20"/>
                <w:szCs w:val="20"/>
                <w:lang w:eastAsia="pt-BR"/>
              </w:rPr>
              <w:t>2ml</w:t>
            </w:r>
          </w:p>
        </w:tc>
        <w:tc>
          <w:tcPr>
            <w:tcW w:w="1047" w:type="dxa"/>
            <w:vAlign w:val="center"/>
          </w:tcPr>
          <w:p w14:paraId="188C1AEF">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51F2097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15.000</w:t>
            </w:r>
          </w:p>
        </w:tc>
      </w:tr>
      <w:tr w14:paraId="2B53C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A82AC5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31</w:t>
            </w:r>
          </w:p>
        </w:tc>
        <w:tc>
          <w:tcPr>
            <w:tcW w:w="6206" w:type="dxa"/>
            <w:vAlign w:val="center"/>
          </w:tcPr>
          <w:p w14:paraId="621A6703">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Ocitocina</w:t>
            </w:r>
            <w:r>
              <w:rPr>
                <w:rFonts w:ascii="Cambria" w:hAnsi="Cambria" w:eastAsia="Calibri" w:cs="Times New Roman"/>
                <w:spacing w:val="-9"/>
                <w:sz w:val="22"/>
                <w:szCs w:val="22"/>
                <w:lang w:eastAsia="pt-BR"/>
              </w:rPr>
              <w:t xml:space="preserve"> </w:t>
            </w:r>
            <w:r>
              <w:rPr>
                <w:rFonts w:ascii="Cambria" w:hAnsi="Cambria" w:eastAsia="Calibri" w:cs="Times New Roman"/>
                <w:sz w:val="22"/>
                <w:szCs w:val="22"/>
                <w:lang w:eastAsia="pt-BR"/>
              </w:rPr>
              <w:t>5</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ui/ml</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injetável</w:t>
            </w:r>
          </w:p>
        </w:tc>
        <w:tc>
          <w:tcPr>
            <w:tcW w:w="1047" w:type="dxa"/>
            <w:vAlign w:val="center"/>
          </w:tcPr>
          <w:p w14:paraId="29EEBD0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46D66E5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1.000</w:t>
            </w:r>
          </w:p>
        </w:tc>
      </w:tr>
      <w:tr w14:paraId="7A776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48F81109">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32</w:t>
            </w:r>
          </w:p>
        </w:tc>
        <w:tc>
          <w:tcPr>
            <w:tcW w:w="6206" w:type="dxa"/>
            <w:vAlign w:val="center"/>
          </w:tcPr>
          <w:p w14:paraId="6FB26F17">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Formula</w:t>
            </w:r>
            <w:r>
              <w:rPr>
                <w:rFonts w:ascii="Cambria" w:hAnsi="Cambria" w:eastAsia="Calibri" w:cs="Times New Roman"/>
                <w:spacing w:val="-9"/>
                <w:sz w:val="22"/>
                <w:szCs w:val="22"/>
                <w:lang w:eastAsia="pt-BR"/>
              </w:rPr>
              <w:t xml:space="preserve"> </w:t>
            </w:r>
            <w:r>
              <w:rPr>
                <w:rFonts w:ascii="Cambria" w:hAnsi="Cambria" w:eastAsia="Calibri" w:cs="Times New Roman"/>
                <w:spacing w:val="-1"/>
                <w:sz w:val="20"/>
                <w:szCs w:val="20"/>
                <w:lang w:eastAsia="pt-BR"/>
              </w:rPr>
              <w:t>pregomin plus</w:t>
            </w:r>
            <w:r>
              <w:rPr>
                <w:rFonts w:ascii="Cambria" w:hAnsi="Cambria" w:eastAsia="Calibri" w:cs="Times New Roman"/>
                <w:sz w:val="20"/>
                <w:szCs w:val="20"/>
                <w:lang w:eastAsia="pt-BR"/>
              </w:rPr>
              <w:t xml:space="preserve"> lata</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400gramas</w:t>
            </w:r>
          </w:p>
        </w:tc>
        <w:tc>
          <w:tcPr>
            <w:tcW w:w="1047" w:type="dxa"/>
            <w:vAlign w:val="center"/>
          </w:tcPr>
          <w:p w14:paraId="2B5CC9F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21BD6925">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80</w:t>
            </w:r>
          </w:p>
        </w:tc>
      </w:tr>
      <w:tr w14:paraId="7E162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1551F23">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33</w:t>
            </w:r>
          </w:p>
        </w:tc>
        <w:tc>
          <w:tcPr>
            <w:tcW w:w="6206" w:type="dxa"/>
            <w:vAlign w:val="center"/>
          </w:tcPr>
          <w:p w14:paraId="499864B2">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 xml:space="preserve">Coletor fecal com formalina </w:t>
            </w:r>
            <w:r>
              <w:rPr>
                <w:rFonts w:ascii="Cambria" w:hAnsi="Cambria" w:eastAsia="Calibri" w:cs="Times New Roman"/>
                <w:sz w:val="20"/>
                <w:szCs w:val="20"/>
                <w:lang w:eastAsia="pt-BR"/>
              </w:rPr>
              <w:t>5% - para</w:t>
            </w:r>
            <w:r>
              <w:rPr>
                <w:rFonts w:ascii="Cambria" w:hAnsi="Cambria" w:eastAsia="Calibri" w:cs="Times New Roman"/>
                <w:spacing w:val="-36"/>
                <w:sz w:val="22"/>
                <w:szCs w:val="22"/>
                <w:lang w:eastAsia="pt-BR"/>
              </w:rPr>
              <w:t xml:space="preserve"> </w:t>
            </w:r>
            <w:r>
              <w:rPr>
                <w:rFonts w:ascii="Cambria" w:hAnsi="Cambria" w:eastAsia="Calibri" w:cs="Times New Roman"/>
                <w:spacing w:val="-1"/>
                <w:sz w:val="20"/>
                <w:szCs w:val="20"/>
                <w:lang w:eastAsia="pt-BR"/>
              </w:rPr>
              <w:t xml:space="preserve">amostra de fezes com tampa </w:t>
            </w:r>
            <w:r>
              <w:rPr>
                <w:rFonts w:ascii="Cambria" w:hAnsi="Cambria" w:eastAsia="Calibri" w:cs="Times New Roman"/>
                <w:sz w:val="20"/>
                <w:szCs w:val="20"/>
                <w:lang w:eastAsia="pt-BR"/>
              </w:rPr>
              <w:t>afunilada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caixa com 200 unidades – referência: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coproplus, paratest, parasitest ou</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melhor qualidade</w:t>
            </w:r>
          </w:p>
        </w:tc>
        <w:tc>
          <w:tcPr>
            <w:tcW w:w="1047" w:type="dxa"/>
            <w:vAlign w:val="center"/>
          </w:tcPr>
          <w:p w14:paraId="765BD87A">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3C8CBC0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12</w:t>
            </w:r>
          </w:p>
        </w:tc>
      </w:tr>
      <w:tr w14:paraId="35BE8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33F6B284">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34</w:t>
            </w:r>
          </w:p>
        </w:tc>
        <w:tc>
          <w:tcPr>
            <w:tcW w:w="6206" w:type="dxa"/>
            <w:vAlign w:val="center"/>
          </w:tcPr>
          <w:p w14:paraId="1A2B4C18">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Sangue</w:t>
            </w:r>
            <w:r>
              <w:rPr>
                <w:rFonts w:ascii="Cambria" w:hAnsi="Cambria" w:eastAsia="Calibri" w:cs="Times New Roman"/>
                <w:spacing w:val="-5"/>
                <w:sz w:val="22"/>
                <w:szCs w:val="22"/>
                <w:lang w:eastAsia="pt-BR"/>
              </w:rPr>
              <w:t xml:space="preserve"> </w:t>
            </w:r>
            <w:r>
              <w:rPr>
                <w:rFonts w:ascii="Cambria" w:hAnsi="Cambria" w:eastAsia="Calibri" w:cs="Times New Roman"/>
                <w:spacing w:val="-1"/>
                <w:sz w:val="20"/>
                <w:szCs w:val="20"/>
                <w:lang w:eastAsia="pt-BR"/>
              </w:rPr>
              <w:t>total</w:t>
            </w:r>
            <w:r>
              <w:rPr>
                <w:rFonts w:ascii="Cambria" w:hAnsi="Cambria" w:eastAsia="Calibri" w:cs="Times New Roman"/>
                <w:spacing w:val="-8"/>
                <w:sz w:val="22"/>
                <w:szCs w:val="22"/>
                <w:lang w:eastAsia="pt-BR"/>
              </w:rPr>
              <w:t xml:space="preserve"> </w:t>
            </w:r>
            <w:r>
              <w:rPr>
                <w:rFonts w:ascii="Cambria" w:hAnsi="Cambria" w:eastAsia="Calibri" w:cs="Times New Roman"/>
                <w:spacing w:val="-1"/>
                <w:sz w:val="20"/>
                <w:szCs w:val="20"/>
                <w:lang w:eastAsia="pt-BR"/>
              </w:rPr>
              <w:t>de</w:t>
            </w:r>
            <w:r>
              <w:rPr>
                <w:rFonts w:ascii="Cambria" w:hAnsi="Cambria" w:eastAsia="Calibri" w:cs="Times New Roman"/>
                <w:spacing w:val="-2"/>
                <w:sz w:val="22"/>
                <w:szCs w:val="22"/>
                <w:lang w:eastAsia="pt-BR"/>
              </w:rPr>
              <w:t xml:space="preserve"> </w:t>
            </w:r>
            <w:r>
              <w:rPr>
                <w:rFonts w:ascii="Cambria" w:hAnsi="Cambria" w:eastAsia="Calibri" w:cs="Times New Roman"/>
                <w:spacing w:val="-1"/>
                <w:sz w:val="20"/>
                <w:szCs w:val="20"/>
                <w:lang w:eastAsia="pt-BR"/>
              </w:rPr>
              <w:t xml:space="preserve">controle </w:t>
            </w:r>
            <w:r>
              <w:rPr>
                <w:rFonts w:ascii="Cambria" w:hAnsi="Cambria" w:eastAsia="Calibri" w:cs="Times New Roman"/>
                <w:sz w:val="20"/>
                <w:szCs w:val="20"/>
                <w:lang w:eastAsia="pt-BR"/>
              </w:rPr>
              <w:t>hematológico</w:t>
            </w:r>
            <w:r>
              <w:rPr>
                <w:rFonts w:ascii="Cambria" w:hAnsi="Cambria" w:eastAsia="Calibri" w:cs="Times New Roman"/>
                <w:sz w:val="22"/>
                <w:szCs w:val="22"/>
                <w:lang w:eastAsia="pt-BR"/>
              </w:rPr>
              <w:t xml:space="preserve"> </w:t>
            </w:r>
            <w:r>
              <w:rPr>
                <w:rFonts w:ascii="Cambria" w:hAnsi="Cambria" w:eastAsia="Calibri" w:cs="Times New Roman"/>
                <w:sz w:val="20"/>
                <w:szCs w:val="20"/>
                <w:lang w:eastAsia="pt-BR"/>
              </w:rPr>
              <w:t>– 3 parâmetros – referência: mindray,</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control</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lab,</w:t>
            </w:r>
            <w:r>
              <w:rPr>
                <w:rFonts w:ascii="Cambria" w:hAnsi="Cambria" w:eastAsia="Calibri" w:cs="Times New Roman"/>
                <w:spacing w:val="-4"/>
                <w:sz w:val="22"/>
                <w:szCs w:val="22"/>
                <w:lang w:eastAsia="pt-BR"/>
              </w:rPr>
              <w:t xml:space="preserve"> </w:t>
            </w:r>
            <w:r>
              <w:rPr>
                <w:rFonts w:ascii="Cambria" w:hAnsi="Cambria" w:eastAsia="Calibri" w:cs="Times New Roman"/>
                <w:sz w:val="20"/>
                <w:szCs w:val="20"/>
                <w:lang w:eastAsia="pt-BR"/>
              </w:rPr>
              <w:t>ebram</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ou</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melhor</w:t>
            </w:r>
            <w:r>
              <w:rPr>
                <w:rFonts w:ascii="Cambria" w:hAnsi="Cambria" w:eastAsia="Calibri" w:cs="Times New Roman"/>
                <w:spacing w:val="-4"/>
                <w:sz w:val="22"/>
                <w:szCs w:val="22"/>
                <w:lang w:eastAsia="pt-BR"/>
              </w:rPr>
              <w:t xml:space="preserve"> </w:t>
            </w:r>
            <w:r>
              <w:rPr>
                <w:rFonts w:ascii="Cambria" w:hAnsi="Cambria" w:eastAsia="Calibri" w:cs="Times New Roman"/>
                <w:sz w:val="20"/>
                <w:szCs w:val="20"/>
                <w:lang w:eastAsia="pt-BR"/>
              </w:rPr>
              <w:t>qualidade</w:t>
            </w:r>
          </w:p>
        </w:tc>
        <w:tc>
          <w:tcPr>
            <w:tcW w:w="1047" w:type="dxa"/>
            <w:vAlign w:val="center"/>
          </w:tcPr>
          <w:p w14:paraId="0A12FBE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155695D3">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15</w:t>
            </w:r>
          </w:p>
        </w:tc>
      </w:tr>
      <w:tr w14:paraId="3B3F4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6A8F39E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35</w:t>
            </w:r>
          </w:p>
        </w:tc>
        <w:tc>
          <w:tcPr>
            <w:tcW w:w="6206" w:type="dxa"/>
            <w:vAlign w:val="center"/>
          </w:tcPr>
          <w:p w14:paraId="13AD3F91">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Colesterol hdl direto- capacidade de</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80ml</w:t>
            </w:r>
            <w:r>
              <w:rPr>
                <w:rFonts w:ascii="Cambria" w:hAnsi="Cambria" w:eastAsia="Calibri" w:cs="Times New Roman"/>
                <w:spacing w:val="-7"/>
                <w:sz w:val="22"/>
                <w:szCs w:val="22"/>
                <w:lang w:eastAsia="pt-BR"/>
              </w:rPr>
              <w:t xml:space="preserve"> </w:t>
            </w:r>
            <w:r>
              <w:rPr>
                <w:rFonts w:ascii="Cambria" w:hAnsi="Cambria" w:eastAsia="Calibri" w:cs="Times New Roman"/>
                <w:spacing w:val="-1"/>
                <w:sz w:val="22"/>
                <w:szCs w:val="22"/>
                <w:lang w:eastAsia="pt-BR"/>
              </w:rPr>
              <w:t>-</w:t>
            </w:r>
            <w:r>
              <w:rPr>
                <w:rFonts w:ascii="Cambria" w:hAnsi="Cambria" w:eastAsia="Calibri" w:cs="Times New Roman"/>
                <w:sz w:val="22"/>
                <w:szCs w:val="22"/>
                <w:lang w:eastAsia="pt-BR"/>
              </w:rPr>
              <w:t xml:space="preserve"> </w:t>
            </w:r>
            <w:r>
              <w:rPr>
                <w:rFonts w:ascii="Cambria" w:hAnsi="Cambria" w:eastAsia="Calibri" w:cs="Times New Roman"/>
                <w:spacing w:val="-1"/>
                <w:sz w:val="20"/>
                <w:szCs w:val="20"/>
                <w:lang w:eastAsia="pt-BR"/>
              </w:rPr>
              <w:t>para</w:t>
            </w:r>
            <w:r>
              <w:rPr>
                <w:rFonts w:ascii="Cambria" w:hAnsi="Cambria" w:eastAsia="Calibri" w:cs="Times New Roman"/>
                <w:spacing w:val="-8"/>
                <w:sz w:val="22"/>
                <w:szCs w:val="22"/>
                <w:lang w:eastAsia="pt-BR"/>
              </w:rPr>
              <w:t xml:space="preserve"> </w:t>
            </w:r>
            <w:r>
              <w:rPr>
                <w:rFonts w:ascii="Cambria" w:hAnsi="Cambria" w:eastAsia="Calibri" w:cs="Times New Roman"/>
                <w:spacing w:val="-1"/>
                <w:sz w:val="20"/>
                <w:szCs w:val="20"/>
                <w:lang w:eastAsia="pt-BR"/>
              </w:rPr>
              <w:t>realização</w:t>
            </w:r>
            <w:r>
              <w:rPr>
                <w:rFonts w:ascii="Cambria" w:hAnsi="Cambria" w:eastAsia="Calibri" w:cs="Times New Roman"/>
                <w:sz w:val="22"/>
                <w:szCs w:val="22"/>
                <w:lang w:eastAsia="pt-BR"/>
              </w:rPr>
              <w:t xml:space="preserve"> </w:t>
            </w:r>
            <w:r>
              <w:rPr>
                <w:rFonts w:ascii="Cambria" w:hAnsi="Cambria" w:eastAsia="Calibri" w:cs="Times New Roman"/>
                <w:spacing w:val="-1"/>
                <w:sz w:val="20"/>
                <w:szCs w:val="20"/>
                <w:lang w:eastAsia="pt-BR"/>
              </w:rPr>
              <w:t>mínima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de 25</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testes</w:t>
            </w:r>
          </w:p>
        </w:tc>
        <w:tc>
          <w:tcPr>
            <w:tcW w:w="1047" w:type="dxa"/>
            <w:vAlign w:val="center"/>
          </w:tcPr>
          <w:p w14:paraId="786C5FAF">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Kit</w:t>
            </w:r>
          </w:p>
        </w:tc>
        <w:tc>
          <w:tcPr>
            <w:tcW w:w="1417" w:type="dxa"/>
            <w:vAlign w:val="center"/>
          </w:tcPr>
          <w:p w14:paraId="709FBDBF">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13</w:t>
            </w:r>
          </w:p>
        </w:tc>
      </w:tr>
      <w:tr w14:paraId="62E2A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06AB10C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36</w:t>
            </w:r>
          </w:p>
        </w:tc>
        <w:tc>
          <w:tcPr>
            <w:tcW w:w="6206" w:type="dxa"/>
            <w:vAlign w:val="center"/>
          </w:tcPr>
          <w:p w14:paraId="6BAF55FE">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2"/>
                <w:sz w:val="20"/>
                <w:szCs w:val="20"/>
                <w:lang w:eastAsia="pt-BR"/>
              </w:rPr>
              <w:t xml:space="preserve">Caixa de </w:t>
            </w:r>
            <w:r>
              <w:rPr>
                <w:rFonts w:ascii="Cambria" w:hAnsi="Cambria" w:eastAsia="Calibri" w:cs="Times New Roman"/>
                <w:spacing w:val="-1"/>
                <w:sz w:val="20"/>
                <w:szCs w:val="20"/>
                <w:lang w:eastAsia="pt-BR"/>
              </w:rPr>
              <w:t>curativo para coleta infantil de</w:t>
            </w:r>
            <w:r>
              <w:rPr>
                <w:rFonts w:ascii="Cambria" w:hAnsi="Cambria" w:eastAsia="Calibri" w:cs="Times New Roman"/>
                <w:spacing w:val="-36"/>
                <w:sz w:val="22"/>
                <w:szCs w:val="22"/>
                <w:lang w:eastAsia="pt-BR"/>
              </w:rPr>
              <w:t xml:space="preserve"> </w:t>
            </w:r>
            <w:r>
              <w:rPr>
                <w:rFonts w:ascii="Cambria" w:hAnsi="Cambria" w:eastAsia="Calibri" w:cs="Times New Roman"/>
                <w:spacing w:val="-1"/>
                <w:sz w:val="20"/>
                <w:szCs w:val="20"/>
                <w:lang w:eastAsia="pt-BR"/>
              </w:rPr>
              <w:t xml:space="preserve">sangue </w:t>
            </w:r>
            <w:r>
              <w:rPr>
                <w:rFonts w:ascii="Cambria" w:hAnsi="Cambria" w:eastAsia="Calibri" w:cs="Times New Roman"/>
                <w:sz w:val="20"/>
                <w:szCs w:val="20"/>
                <w:lang w:eastAsia="pt-BR"/>
              </w:rPr>
              <w:t>redondo ou quadrado. Caixa com</w:t>
            </w:r>
            <w:r>
              <w:rPr>
                <w:rFonts w:ascii="Cambria" w:hAnsi="Cambria" w:eastAsia="Calibri" w:cs="Times New Roman"/>
                <w:spacing w:val="-37"/>
                <w:sz w:val="22"/>
                <w:szCs w:val="22"/>
                <w:lang w:eastAsia="pt-BR"/>
              </w:rPr>
              <w:t xml:space="preserve"> </w:t>
            </w:r>
            <w:r>
              <w:rPr>
                <w:rFonts w:ascii="Cambria" w:hAnsi="Cambria" w:eastAsia="Calibri" w:cs="Times New Roman"/>
                <w:sz w:val="20"/>
                <w:szCs w:val="20"/>
                <w:lang w:eastAsia="pt-BR"/>
              </w:rPr>
              <w:t>no mínimo 500 unidades</w:t>
            </w:r>
          </w:p>
        </w:tc>
        <w:tc>
          <w:tcPr>
            <w:tcW w:w="1047" w:type="dxa"/>
            <w:vAlign w:val="center"/>
          </w:tcPr>
          <w:p w14:paraId="4082D7DA">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769F934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0</w:t>
            </w:r>
            <w:r>
              <w:rPr>
                <w:rFonts w:ascii="Cambria" w:hAnsi="Cambria" w:eastAsia="Calibri" w:cs="Times New Roman"/>
                <w:sz w:val="22"/>
                <w:szCs w:val="22"/>
                <w:lang w:eastAsia="pt-BR"/>
              </w:rPr>
              <w:t>8</w:t>
            </w:r>
          </w:p>
        </w:tc>
      </w:tr>
      <w:tr w14:paraId="08593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2B44878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37</w:t>
            </w:r>
          </w:p>
        </w:tc>
        <w:tc>
          <w:tcPr>
            <w:tcW w:w="6206" w:type="dxa"/>
            <w:vAlign w:val="center"/>
          </w:tcPr>
          <w:p w14:paraId="7F10214D">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Kit</w:t>
            </w:r>
            <w:r>
              <w:rPr>
                <w:rFonts w:ascii="Cambria" w:hAnsi="Cambria" w:eastAsia="Calibri" w:cs="Times New Roman"/>
                <w:spacing w:val="-5"/>
                <w:sz w:val="22"/>
                <w:szCs w:val="22"/>
                <w:lang w:eastAsia="pt-BR"/>
              </w:rPr>
              <w:t xml:space="preserve"> </w:t>
            </w:r>
            <w:r>
              <w:rPr>
                <w:rFonts w:ascii="Cambria" w:hAnsi="Cambria" w:eastAsia="Calibri" w:cs="Times New Roman"/>
                <w:spacing w:val="-1"/>
                <w:sz w:val="20"/>
                <w:szCs w:val="20"/>
                <w:lang w:eastAsia="pt-BR"/>
              </w:rPr>
              <w:t>de</w:t>
            </w:r>
            <w:r>
              <w:rPr>
                <w:rFonts w:ascii="Cambria" w:hAnsi="Cambria" w:eastAsia="Calibri" w:cs="Times New Roman"/>
                <w:spacing w:val="-3"/>
                <w:sz w:val="22"/>
                <w:szCs w:val="22"/>
                <w:lang w:eastAsia="pt-BR"/>
              </w:rPr>
              <w:t xml:space="preserve"> </w:t>
            </w:r>
            <w:r>
              <w:rPr>
                <w:rFonts w:ascii="Cambria" w:hAnsi="Cambria" w:eastAsia="Calibri" w:cs="Times New Roman"/>
                <w:spacing w:val="-1"/>
                <w:sz w:val="20"/>
                <w:szCs w:val="20"/>
                <w:lang w:eastAsia="pt-BR"/>
              </w:rPr>
              <w:t>imunoensaio</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fluorescência</w:t>
            </w:r>
            <w:r>
              <w:rPr>
                <w:rFonts w:ascii="Cambria" w:hAnsi="Cambria" w:eastAsia="Calibri" w:cs="Times New Roman"/>
                <w:spacing w:val="-10"/>
                <w:sz w:val="22"/>
                <w:szCs w:val="22"/>
                <w:lang w:eastAsia="pt-BR"/>
              </w:rPr>
              <w:t xml:space="preserve"> </w:t>
            </w:r>
            <w:r>
              <w:rPr>
                <w:rFonts w:ascii="Cambria" w:hAnsi="Cambria" w:eastAsia="Calibri" w:cs="Times New Roman"/>
                <w:sz w:val="20"/>
                <w:szCs w:val="20"/>
                <w:lang w:eastAsia="pt-BR"/>
              </w:rPr>
              <w:t>para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detecção de tsh com 20 dispositivos</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teste no analisador eco f reader – esse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teste deve ser da referência exclusiva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eco diagnóstica, pois é um dispositivo</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teste programada </w:t>
            </w:r>
            <w:r>
              <w:rPr>
                <w:rFonts w:ascii="Cambria" w:hAnsi="Cambria" w:eastAsia="Calibri" w:cs="Times New Roman"/>
                <w:sz w:val="20"/>
                <w:szCs w:val="20"/>
                <w:lang w:eastAsia="pt-BR"/>
              </w:rPr>
              <w:t>apenas para 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aparelho específico analisador eco f</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reader – marca aceitável: eco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diagnóstica</w:t>
            </w:r>
          </w:p>
        </w:tc>
        <w:tc>
          <w:tcPr>
            <w:tcW w:w="1047" w:type="dxa"/>
            <w:vAlign w:val="center"/>
          </w:tcPr>
          <w:p w14:paraId="28DA9051">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Kit</w:t>
            </w:r>
          </w:p>
        </w:tc>
        <w:tc>
          <w:tcPr>
            <w:tcW w:w="1417" w:type="dxa"/>
            <w:vAlign w:val="center"/>
          </w:tcPr>
          <w:p w14:paraId="63DF4B51">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40</w:t>
            </w:r>
          </w:p>
        </w:tc>
      </w:tr>
      <w:tr w14:paraId="2FA14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62C8AA1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38</w:t>
            </w:r>
          </w:p>
        </w:tc>
        <w:tc>
          <w:tcPr>
            <w:tcW w:w="6206" w:type="dxa"/>
            <w:vAlign w:val="center"/>
          </w:tcPr>
          <w:p w14:paraId="4732B8A8">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Kit</w:t>
            </w:r>
            <w:r>
              <w:rPr>
                <w:rFonts w:ascii="Cambria" w:hAnsi="Cambria" w:eastAsia="Calibri" w:cs="Times New Roman"/>
                <w:spacing w:val="-5"/>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imunoensaio</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fluorescência</w:t>
            </w:r>
            <w:r>
              <w:rPr>
                <w:rFonts w:ascii="Cambria" w:hAnsi="Cambria" w:eastAsia="Calibri" w:cs="Times New Roman"/>
                <w:spacing w:val="-10"/>
                <w:sz w:val="22"/>
                <w:szCs w:val="22"/>
                <w:lang w:eastAsia="pt-BR"/>
              </w:rPr>
              <w:t xml:space="preserve"> </w:t>
            </w:r>
            <w:r>
              <w:rPr>
                <w:rFonts w:ascii="Cambria" w:hAnsi="Cambria" w:eastAsia="Calibri" w:cs="Times New Roman"/>
                <w:sz w:val="20"/>
                <w:szCs w:val="20"/>
                <w:lang w:eastAsia="pt-BR"/>
              </w:rPr>
              <w:t>para</w:t>
            </w:r>
            <w:r>
              <w:rPr>
                <w:rFonts w:ascii="Cambria" w:hAnsi="Cambria" w:eastAsia="Calibri" w:cs="Times New Roman"/>
                <w:spacing w:val="-36"/>
                <w:sz w:val="22"/>
                <w:szCs w:val="22"/>
                <w:lang w:eastAsia="pt-BR"/>
              </w:rPr>
              <w:t xml:space="preserve"> </w:t>
            </w:r>
            <w:r>
              <w:rPr>
                <w:rFonts w:ascii="Cambria" w:hAnsi="Cambria" w:eastAsia="Calibri" w:cs="Times New Roman"/>
                <w:spacing w:val="-1"/>
                <w:sz w:val="20"/>
                <w:szCs w:val="20"/>
                <w:lang w:eastAsia="pt-BR"/>
              </w:rPr>
              <w:t>detecção de troponina i quantitativa com</w:t>
            </w:r>
            <w:r>
              <w:rPr>
                <w:rFonts w:ascii="Cambria" w:hAnsi="Cambria" w:eastAsia="Calibri" w:cs="Times New Roman"/>
                <w:sz w:val="22"/>
                <w:szCs w:val="22"/>
                <w:lang w:eastAsia="pt-BR"/>
              </w:rPr>
              <w:t xml:space="preserve"> </w:t>
            </w:r>
            <w:r>
              <w:rPr>
                <w:rFonts w:ascii="Cambria" w:hAnsi="Cambria" w:eastAsia="Calibri" w:cs="Times New Roman"/>
                <w:spacing w:val="-1"/>
                <w:sz w:val="22"/>
                <w:szCs w:val="22"/>
                <w:lang w:eastAsia="pt-BR"/>
              </w:rPr>
              <w:t>20</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dispositivos</w:t>
            </w:r>
            <w:r>
              <w:rPr>
                <w:rFonts w:ascii="Cambria" w:hAnsi="Cambria" w:eastAsia="Calibri" w:cs="Times New Roman"/>
                <w:spacing w:val="-4"/>
                <w:sz w:val="22"/>
                <w:szCs w:val="22"/>
                <w:lang w:eastAsia="pt-BR"/>
              </w:rPr>
              <w:t xml:space="preserve"> </w:t>
            </w:r>
            <w:r>
              <w:rPr>
                <w:rFonts w:ascii="Cambria" w:hAnsi="Cambria" w:eastAsia="Calibri" w:cs="Times New Roman"/>
                <w:sz w:val="20"/>
                <w:szCs w:val="20"/>
                <w:lang w:eastAsia="pt-BR"/>
              </w:rPr>
              <w:t>teste</w:t>
            </w:r>
            <w:r>
              <w:rPr>
                <w:rFonts w:ascii="Cambria" w:hAnsi="Cambria" w:eastAsia="Calibri" w:cs="Times New Roman"/>
                <w:spacing w:val="35"/>
                <w:sz w:val="22"/>
                <w:szCs w:val="22"/>
                <w:lang w:eastAsia="pt-BR"/>
              </w:rPr>
              <w:t xml:space="preserve"> </w:t>
            </w:r>
            <w:r>
              <w:rPr>
                <w:rFonts w:ascii="Cambria" w:hAnsi="Cambria" w:eastAsia="Calibri" w:cs="Times New Roman"/>
                <w:sz w:val="20"/>
                <w:szCs w:val="20"/>
                <w:lang w:eastAsia="pt-BR"/>
              </w:rPr>
              <w:t>no</w:t>
            </w:r>
            <w:r>
              <w:rPr>
                <w:rFonts w:ascii="Cambria" w:hAnsi="Cambria" w:eastAsia="Calibri" w:cs="Times New Roman"/>
                <w:spacing w:val="-10"/>
                <w:sz w:val="22"/>
                <w:szCs w:val="22"/>
                <w:lang w:eastAsia="pt-BR"/>
              </w:rPr>
              <w:t xml:space="preserve"> </w:t>
            </w:r>
            <w:r>
              <w:rPr>
                <w:rFonts w:ascii="Cambria" w:hAnsi="Cambria" w:eastAsia="Calibri" w:cs="Times New Roman"/>
                <w:sz w:val="20"/>
                <w:szCs w:val="20"/>
                <w:lang w:eastAsia="pt-BR"/>
              </w:rPr>
              <w:t>analisador</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eco</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freader – esse teste deve ser da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referência exclusiva eco diagnóstica,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pois é um dispositivo teste programada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apenas para o aparelho específico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analisador eco freader – marca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aceitável: eco diagnóstica</w:t>
            </w:r>
          </w:p>
        </w:tc>
        <w:tc>
          <w:tcPr>
            <w:tcW w:w="1047" w:type="dxa"/>
            <w:vAlign w:val="center"/>
          </w:tcPr>
          <w:p w14:paraId="7FE2DF9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Kit</w:t>
            </w:r>
          </w:p>
        </w:tc>
        <w:tc>
          <w:tcPr>
            <w:tcW w:w="1417" w:type="dxa"/>
            <w:vAlign w:val="center"/>
          </w:tcPr>
          <w:p w14:paraId="3DA9A164">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40</w:t>
            </w:r>
          </w:p>
        </w:tc>
      </w:tr>
      <w:tr w14:paraId="6F700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A81EFF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39</w:t>
            </w:r>
          </w:p>
        </w:tc>
        <w:tc>
          <w:tcPr>
            <w:tcW w:w="6206" w:type="dxa"/>
            <w:vAlign w:val="center"/>
          </w:tcPr>
          <w:p w14:paraId="45E06572">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Kit</w:t>
            </w:r>
            <w:r>
              <w:rPr>
                <w:rFonts w:ascii="Cambria" w:hAnsi="Cambria" w:eastAsia="Calibri" w:cs="Times New Roman"/>
                <w:spacing w:val="-5"/>
                <w:sz w:val="22"/>
                <w:szCs w:val="22"/>
                <w:lang w:eastAsia="pt-BR"/>
              </w:rPr>
              <w:t xml:space="preserve"> </w:t>
            </w:r>
            <w:r>
              <w:rPr>
                <w:rFonts w:ascii="Cambria" w:hAnsi="Cambria" w:eastAsia="Calibri" w:cs="Times New Roman"/>
                <w:spacing w:val="-1"/>
                <w:sz w:val="20"/>
                <w:szCs w:val="20"/>
                <w:lang w:eastAsia="pt-BR"/>
              </w:rPr>
              <w:t>de</w:t>
            </w:r>
            <w:r>
              <w:rPr>
                <w:rFonts w:ascii="Cambria" w:hAnsi="Cambria" w:eastAsia="Calibri" w:cs="Times New Roman"/>
                <w:spacing w:val="-3"/>
                <w:sz w:val="22"/>
                <w:szCs w:val="22"/>
                <w:lang w:eastAsia="pt-BR"/>
              </w:rPr>
              <w:t xml:space="preserve"> </w:t>
            </w:r>
            <w:r>
              <w:rPr>
                <w:rFonts w:ascii="Cambria" w:hAnsi="Cambria" w:eastAsia="Calibri" w:cs="Times New Roman"/>
                <w:spacing w:val="-1"/>
                <w:sz w:val="20"/>
                <w:szCs w:val="20"/>
                <w:lang w:eastAsia="pt-BR"/>
              </w:rPr>
              <w:t>imunoensaio</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fluorescência</w:t>
            </w:r>
            <w:r>
              <w:rPr>
                <w:rFonts w:ascii="Cambria" w:hAnsi="Cambria" w:eastAsia="Calibri" w:cs="Times New Roman"/>
                <w:spacing w:val="-10"/>
                <w:sz w:val="22"/>
                <w:szCs w:val="22"/>
                <w:lang w:eastAsia="pt-BR"/>
              </w:rPr>
              <w:t xml:space="preserve"> </w:t>
            </w:r>
            <w:r>
              <w:rPr>
                <w:rFonts w:ascii="Cambria" w:hAnsi="Cambria" w:eastAsia="Calibri" w:cs="Times New Roman"/>
                <w:sz w:val="20"/>
                <w:szCs w:val="20"/>
                <w:lang w:eastAsia="pt-BR"/>
              </w:rPr>
              <w:t>para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detecção de hba1c com 20 dispositivos</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teste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no analisador eco f reader – esse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teste deve ser da referência exclusiva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eco diagnóstica, pois é um dispositivo</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teste programada </w:t>
            </w:r>
            <w:r>
              <w:rPr>
                <w:rFonts w:ascii="Cambria" w:hAnsi="Cambria" w:eastAsia="Calibri" w:cs="Times New Roman"/>
                <w:sz w:val="20"/>
                <w:szCs w:val="20"/>
                <w:lang w:eastAsia="pt-BR"/>
              </w:rPr>
              <w:t>apenas para 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aparelho específico analisador eco f</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reader – marca aceitável: eco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diagnóstica</w:t>
            </w:r>
          </w:p>
        </w:tc>
        <w:tc>
          <w:tcPr>
            <w:tcW w:w="1047" w:type="dxa"/>
            <w:vAlign w:val="center"/>
          </w:tcPr>
          <w:p w14:paraId="4CA0AA85">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Kit</w:t>
            </w:r>
          </w:p>
        </w:tc>
        <w:tc>
          <w:tcPr>
            <w:tcW w:w="1417" w:type="dxa"/>
            <w:vAlign w:val="center"/>
          </w:tcPr>
          <w:p w14:paraId="4ABA7D91">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50</w:t>
            </w:r>
          </w:p>
        </w:tc>
      </w:tr>
      <w:tr w14:paraId="6CC13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37ED10A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40</w:t>
            </w:r>
          </w:p>
        </w:tc>
        <w:tc>
          <w:tcPr>
            <w:tcW w:w="6206" w:type="dxa"/>
            <w:vAlign w:val="center"/>
          </w:tcPr>
          <w:p w14:paraId="1CA48C65">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Kit</w:t>
            </w:r>
            <w:r>
              <w:rPr>
                <w:rFonts w:ascii="Cambria" w:hAnsi="Cambria" w:eastAsia="Calibri" w:cs="Times New Roman"/>
                <w:spacing w:val="-5"/>
                <w:sz w:val="22"/>
                <w:szCs w:val="22"/>
                <w:lang w:eastAsia="pt-BR"/>
              </w:rPr>
              <w:t xml:space="preserve"> </w:t>
            </w:r>
            <w:r>
              <w:rPr>
                <w:rFonts w:ascii="Cambria" w:hAnsi="Cambria" w:eastAsia="Calibri" w:cs="Times New Roman"/>
                <w:spacing w:val="-1"/>
                <w:sz w:val="20"/>
                <w:szCs w:val="20"/>
                <w:lang w:eastAsia="pt-BR"/>
              </w:rPr>
              <w:t>de</w:t>
            </w:r>
            <w:r>
              <w:rPr>
                <w:rFonts w:ascii="Cambria" w:hAnsi="Cambria" w:eastAsia="Calibri" w:cs="Times New Roman"/>
                <w:spacing w:val="-3"/>
                <w:sz w:val="22"/>
                <w:szCs w:val="22"/>
                <w:lang w:eastAsia="pt-BR"/>
              </w:rPr>
              <w:t xml:space="preserve"> </w:t>
            </w:r>
            <w:r>
              <w:rPr>
                <w:rFonts w:ascii="Cambria" w:hAnsi="Cambria" w:eastAsia="Calibri" w:cs="Times New Roman"/>
                <w:spacing w:val="-1"/>
                <w:sz w:val="20"/>
                <w:szCs w:val="20"/>
                <w:lang w:eastAsia="pt-BR"/>
              </w:rPr>
              <w:t>imunoensaio</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fluorescência</w:t>
            </w:r>
            <w:r>
              <w:rPr>
                <w:rFonts w:ascii="Cambria" w:hAnsi="Cambria" w:eastAsia="Calibri" w:cs="Times New Roman"/>
                <w:spacing w:val="-10"/>
                <w:sz w:val="22"/>
                <w:szCs w:val="22"/>
                <w:lang w:eastAsia="pt-BR"/>
              </w:rPr>
              <w:t xml:space="preserve"> </w:t>
            </w:r>
            <w:r>
              <w:rPr>
                <w:rFonts w:ascii="Cambria" w:hAnsi="Cambria" w:eastAsia="Calibri" w:cs="Times New Roman"/>
                <w:sz w:val="20"/>
                <w:szCs w:val="20"/>
                <w:lang w:eastAsia="pt-BR"/>
              </w:rPr>
              <w:t>para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detecção de hcg com 20 dispositivos</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teste no analisador eco f reader – esse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teste deve ser da referência exclusiva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eco diagnóstica, pois é um dispositivo</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teste programada </w:t>
            </w:r>
            <w:r>
              <w:rPr>
                <w:rFonts w:ascii="Cambria" w:hAnsi="Cambria" w:eastAsia="Calibri" w:cs="Times New Roman"/>
                <w:sz w:val="20"/>
                <w:szCs w:val="20"/>
                <w:lang w:eastAsia="pt-BR"/>
              </w:rPr>
              <w:t>apenas para 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aparelho específico analisador eco f</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reader – marca aceitável: eco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diagnóstica</w:t>
            </w:r>
          </w:p>
        </w:tc>
        <w:tc>
          <w:tcPr>
            <w:tcW w:w="1047" w:type="dxa"/>
            <w:vAlign w:val="center"/>
          </w:tcPr>
          <w:p w14:paraId="6FAABB3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Kit</w:t>
            </w:r>
          </w:p>
        </w:tc>
        <w:tc>
          <w:tcPr>
            <w:tcW w:w="1417" w:type="dxa"/>
            <w:vAlign w:val="center"/>
          </w:tcPr>
          <w:p w14:paraId="03DDBDA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30</w:t>
            </w:r>
          </w:p>
        </w:tc>
      </w:tr>
      <w:tr w14:paraId="71D96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4C3A16D8">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41</w:t>
            </w:r>
          </w:p>
        </w:tc>
        <w:tc>
          <w:tcPr>
            <w:tcW w:w="6206" w:type="dxa"/>
            <w:vAlign w:val="center"/>
          </w:tcPr>
          <w:p w14:paraId="6B8B467D">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 xml:space="preserve">15 calibrador cp (50t) </w:t>
            </w:r>
            <w:r>
              <w:rPr>
                <w:rFonts w:ascii="Cambria" w:hAnsi="Cambria" w:eastAsia="Calibri" w:cs="Times New Roman"/>
                <w:sz w:val="20"/>
                <w:szCs w:val="20"/>
                <w:lang w:eastAsia="pt-BR"/>
              </w:rPr>
              <w:t>- marca aceitável:</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labtest</w:t>
            </w:r>
          </w:p>
        </w:tc>
        <w:tc>
          <w:tcPr>
            <w:tcW w:w="1047" w:type="dxa"/>
            <w:vAlign w:val="center"/>
          </w:tcPr>
          <w:p w14:paraId="591C2A6F">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Kit</w:t>
            </w:r>
          </w:p>
        </w:tc>
        <w:tc>
          <w:tcPr>
            <w:tcW w:w="1417" w:type="dxa"/>
            <w:vAlign w:val="center"/>
          </w:tcPr>
          <w:p w14:paraId="2894DC70">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15</w:t>
            </w:r>
          </w:p>
        </w:tc>
      </w:tr>
      <w:tr w14:paraId="00B94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3D77F9A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42</w:t>
            </w:r>
          </w:p>
        </w:tc>
        <w:tc>
          <w:tcPr>
            <w:tcW w:w="6206" w:type="dxa"/>
            <w:vAlign w:val="center"/>
          </w:tcPr>
          <w:p w14:paraId="3EB2546A">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Controle</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nível</w:t>
            </w:r>
            <w:r>
              <w:rPr>
                <w:rFonts w:ascii="Cambria" w:hAnsi="Cambria" w:eastAsia="Calibri" w:cs="Times New Roman"/>
                <w:spacing w:val="-8"/>
                <w:sz w:val="22"/>
                <w:szCs w:val="22"/>
                <w:lang w:eastAsia="pt-BR"/>
              </w:rPr>
              <w:t xml:space="preserve"> </w:t>
            </w:r>
            <w:r>
              <w:rPr>
                <w:rFonts w:ascii="Cambria" w:hAnsi="Cambria" w:eastAsia="Calibri" w:cs="Times New Roman"/>
                <w:sz w:val="22"/>
                <w:szCs w:val="22"/>
                <w:lang w:eastAsia="pt-BR"/>
              </w:rPr>
              <w:t>01</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(5x2,5ml)</w:t>
            </w:r>
            <w:r>
              <w:rPr>
                <w:rFonts w:ascii="Cambria" w:hAnsi="Cambria" w:eastAsia="Calibri" w:cs="Times New Roman"/>
                <w:spacing w:val="-2"/>
                <w:sz w:val="22"/>
                <w:szCs w:val="22"/>
                <w:lang w:eastAsia="pt-BR"/>
              </w:rPr>
              <w:t xml:space="preserve"> </w:t>
            </w:r>
            <w:r>
              <w:rPr>
                <w:rFonts w:ascii="Cambria" w:hAnsi="Cambria" w:eastAsia="Calibri" w:cs="Times New Roman"/>
                <w:sz w:val="22"/>
                <w:szCs w:val="22"/>
                <w:lang w:eastAsia="pt-BR"/>
              </w:rPr>
              <w:t>-</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marca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aceitável: labtest</w:t>
            </w:r>
          </w:p>
        </w:tc>
        <w:tc>
          <w:tcPr>
            <w:tcW w:w="1047" w:type="dxa"/>
            <w:vAlign w:val="center"/>
          </w:tcPr>
          <w:p w14:paraId="5A5D35E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Kit</w:t>
            </w:r>
          </w:p>
        </w:tc>
        <w:tc>
          <w:tcPr>
            <w:tcW w:w="1417" w:type="dxa"/>
            <w:vAlign w:val="center"/>
          </w:tcPr>
          <w:p w14:paraId="44EAD9F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0</w:t>
            </w:r>
            <w:r>
              <w:rPr>
                <w:rFonts w:ascii="Cambria" w:hAnsi="Cambria" w:eastAsia="Calibri" w:cs="Times New Roman"/>
                <w:sz w:val="22"/>
                <w:szCs w:val="22"/>
                <w:lang w:eastAsia="pt-BR"/>
              </w:rPr>
              <w:t>3</w:t>
            </w:r>
          </w:p>
        </w:tc>
      </w:tr>
      <w:tr w14:paraId="1E845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F30792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43</w:t>
            </w:r>
          </w:p>
        </w:tc>
        <w:tc>
          <w:tcPr>
            <w:tcW w:w="6206" w:type="dxa"/>
            <w:vAlign w:val="center"/>
          </w:tcPr>
          <w:p w14:paraId="61A4B611">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Controle</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nível</w:t>
            </w:r>
            <w:r>
              <w:rPr>
                <w:rFonts w:ascii="Cambria" w:hAnsi="Cambria" w:eastAsia="Calibri" w:cs="Times New Roman"/>
                <w:spacing w:val="-8"/>
                <w:sz w:val="22"/>
                <w:szCs w:val="22"/>
                <w:lang w:eastAsia="pt-BR"/>
              </w:rPr>
              <w:t xml:space="preserve"> </w:t>
            </w:r>
            <w:r>
              <w:rPr>
                <w:rFonts w:ascii="Cambria" w:hAnsi="Cambria" w:eastAsia="Calibri" w:cs="Times New Roman"/>
                <w:sz w:val="22"/>
                <w:szCs w:val="22"/>
                <w:lang w:eastAsia="pt-BR"/>
              </w:rPr>
              <w:t>02</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(5x2,5ml)</w:t>
            </w:r>
            <w:r>
              <w:rPr>
                <w:rFonts w:ascii="Cambria" w:hAnsi="Cambria" w:eastAsia="Calibri" w:cs="Times New Roman"/>
                <w:spacing w:val="-2"/>
                <w:sz w:val="22"/>
                <w:szCs w:val="22"/>
                <w:lang w:eastAsia="pt-BR"/>
              </w:rPr>
              <w:t xml:space="preserve"> </w:t>
            </w:r>
            <w:r>
              <w:rPr>
                <w:rFonts w:ascii="Cambria" w:hAnsi="Cambria" w:eastAsia="Calibri" w:cs="Times New Roman"/>
                <w:sz w:val="22"/>
                <w:szCs w:val="22"/>
                <w:lang w:eastAsia="pt-BR"/>
              </w:rPr>
              <w:t>-</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marca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aceitável: labtest</w:t>
            </w:r>
          </w:p>
        </w:tc>
        <w:tc>
          <w:tcPr>
            <w:tcW w:w="1047" w:type="dxa"/>
            <w:vAlign w:val="center"/>
          </w:tcPr>
          <w:p w14:paraId="06E99ADF">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Kit</w:t>
            </w:r>
          </w:p>
        </w:tc>
        <w:tc>
          <w:tcPr>
            <w:tcW w:w="1417" w:type="dxa"/>
            <w:vAlign w:val="center"/>
          </w:tcPr>
          <w:p w14:paraId="4AE717A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0</w:t>
            </w:r>
            <w:r>
              <w:rPr>
                <w:rFonts w:ascii="Cambria" w:hAnsi="Cambria" w:eastAsia="Calibri" w:cs="Times New Roman"/>
                <w:sz w:val="22"/>
                <w:szCs w:val="22"/>
                <w:lang w:eastAsia="pt-BR"/>
              </w:rPr>
              <w:t>3</w:t>
            </w:r>
          </w:p>
        </w:tc>
      </w:tr>
      <w:tr w14:paraId="0E824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5177D85">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44</w:t>
            </w:r>
          </w:p>
        </w:tc>
        <w:tc>
          <w:tcPr>
            <w:tcW w:w="6206" w:type="dxa"/>
            <w:vAlign w:val="center"/>
          </w:tcPr>
          <w:p w14:paraId="01374983">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Controle</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nível</w:t>
            </w:r>
            <w:r>
              <w:rPr>
                <w:rFonts w:ascii="Cambria" w:hAnsi="Cambria" w:eastAsia="Calibri" w:cs="Times New Roman"/>
                <w:spacing w:val="-8"/>
                <w:sz w:val="22"/>
                <w:szCs w:val="22"/>
                <w:lang w:eastAsia="pt-BR"/>
              </w:rPr>
              <w:t xml:space="preserve"> </w:t>
            </w:r>
            <w:r>
              <w:rPr>
                <w:rFonts w:ascii="Cambria" w:hAnsi="Cambria" w:eastAsia="Calibri" w:cs="Times New Roman"/>
                <w:sz w:val="22"/>
                <w:szCs w:val="22"/>
                <w:lang w:eastAsia="pt-BR"/>
              </w:rPr>
              <w:t>03</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(5x2,5ml)</w:t>
            </w:r>
            <w:r>
              <w:rPr>
                <w:rFonts w:ascii="Cambria" w:hAnsi="Cambria" w:eastAsia="Calibri" w:cs="Times New Roman"/>
                <w:spacing w:val="-2"/>
                <w:sz w:val="22"/>
                <w:szCs w:val="22"/>
                <w:lang w:eastAsia="pt-BR"/>
              </w:rPr>
              <w:t xml:space="preserve"> </w:t>
            </w:r>
            <w:r>
              <w:rPr>
                <w:rFonts w:ascii="Cambria" w:hAnsi="Cambria" w:eastAsia="Calibri" w:cs="Times New Roman"/>
                <w:sz w:val="22"/>
                <w:szCs w:val="22"/>
                <w:lang w:eastAsia="pt-BR"/>
              </w:rPr>
              <w:t>-</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marca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aceitável: labtest</w:t>
            </w:r>
          </w:p>
        </w:tc>
        <w:tc>
          <w:tcPr>
            <w:tcW w:w="1047" w:type="dxa"/>
            <w:vAlign w:val="center"/>
          </w:tcPr>
          <w:p w14:paraId="410BD32C">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Kit</w:t>
            </w:r>
          </w:p>
        </w:tc>
        <w:tc>
          <w:tcPr>
            <w:tcW w:w="1417" w:type="dxa"/>
            <w:vAlign w:val="center"/>
          </w:tcPr>
          <w:p w14:paraId="7DB11BB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0</w:t>
            </w:r>
            <w:r>
              <w:rPr>
                <w:rFonts w:ascii="Cambria" w:hAnsi="Cambria" w:eastAsia="Calibri" w:cs="Times New Roman"/>
                <w:sz w:val="22"/>
                <w:szCs w:val="22"/>
                <w:lang w:eastAsia="pt-BR"/>
              </w:rPr>
              <w:t>3</w:t>
            </w:r>
          </w:p>
        </w:tc>
      </w:tr>
      <w:tr w14:paraId="7271D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3813BFA4">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45</w:t>
            </w:r>
          </w:p>
        </w:tc>
        <w:tc>
          <w:tcPr>
            <w:tcW w:w="6206" w:type="dxa"/>
            <w:vAlign w:val="center"/>
          </w:tcPr>
          <w:p w14:paraId="68ABD0A4">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2"/>
                <w:szCs w:val="22"/>
                <w:lang w:eastAsia="pt-BR"/>
              </w:rPr>
              <w:t>PCR látex reagente frasco com reagente capacidade</w:t>
            </w:r>
            <w:r>
              <w:rPr>
                <w:rFonts w:ascii="Cambria" w:hAnsi="Cambria" w:eastAsia="Calibri" w:cs="Times New Roman"/>
                <w:spacing w:val="-36"/>
                <w:sz w:val="22"/>
                <w:szCs w:val="22"/>
                <w:lang w:eastAsia="pt-BR"/>
              </w:rPr>
              <w:t xml:space="preserve"> </w:t>
            </w:r>
            <w:r>
              <w:rPr>
                <w:rFonts w:ascii="Cambria" w:hAnsi="Cambria" w:eastAsia="Calibri" w:cs="Times New Roman"/>
                <w:sz w:val="22"/>
                <w:szCs w:val="22"/>
                <w:lang w:eastAsia="pt-BR"/>
              </w:rPr>
              <w:t>mínima para 100 testes (2,5ml) WAMA,</w:t>
            </w:r>
            <w:r>
              <w:rPr>
                <w:rFonts w:ascii="Cambria" w:hAnsi="Cambria" w:eastAsia="Calibri" w:cs="Times New Roman"/>
                <w:sz w:val="20"/>
                <w:szCs w:val="20"/>
                <w:lang w:eastAsia="pt-BR"/>
              </w:rPr>
              <w:t xml:space="preserve"> </w:t>
            </w:r>
            <w:r>
              <w:rPr>
                <w:rFonts w:ascii="Cambria" w:hAnsi="Cambria" w:eastAsia="Calibri" w:cs="Times New Roman"/>
                <w:sz w:val="22"/>
                <w:szCs w:val="22"/>
                <w:lang w:eastAsia="pt-BR"/>
              </w:rPr>
              <w:t>Dolles, Ebran</w:t>
            </w:r>
            <w:r>
              <w:rPr>
                <w:rFonts w:ascii="Cambria" w:hAnsi="Cambria" w:eastAsia="Calibri" w:cs="Times New Roman"/>
                <w:spacing w:val="-36"/>
                <w:sz w:val="22"/>
                <w:szCs w:val="22"/>
                <w:lang w:eastAsia="pt-BR"/>
              </w:rPr>
              <w:t xml:space="preserve"> </w:t>
            </w:r>
            <w:r>
              <w:rPr>
                <w:rFonts w:ascii="Cambria" w:hAnsi="Cambria" w:eastAsia="Calibri" w:cs="Times New Roman"/>
                <w:sz w:val="22"/>
                <w:szCs w:val="22"/>
                <w:lang w:eastAsia="pt-BR"/>
              </w:rPr>
              <w:t>ou melhor qualidade</w:t>
            </w:r>
          </w:p>
        </w:tc>
        <w:tc>
          <w:tcPr>
            <w:tcW w:w="1047" w:type="dxa"/>
            <w:vAlign w:val="center"/>
          </w:tcPr>
          <w:p w14:paraId="22700A28">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3F426D8F">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250</w:t>
            </w:r>
          </w:p>
        </w:tc>
      </w:tr>
      <w:tr w14:paraId="73D57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1437092A">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46</w:t>
            </w:r>
          </w:p>
        </w:tc>
        <w:tc>
          <w:tcPr>
            <w:tcW w:w="6206" w:type="dxa"/>
            <w:vAlign w:val="center"/>
          </w:tcPr>
          <w:p w14:paraId="1E6744EF">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Atadura de crepom 10cmx1,80 m (peso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mínimo conforme abnt/ nbr 14056: 21,8g</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por unidade. Caso tenha comprimento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maior o peso deverá ser proporcional</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para garantir a qualidade do tecido)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pacote c/ 12 unidades – confeccionadas</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em tecido 100% algodão ou tecido misto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com no mínimo 90% de algodão, fios de</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alta torção ou crochê com no máximo</w:t>
            </w:r>
            <w:r>
              <w:rPr>
                <w:rFonts w:ascii="Cambria" w:hAnsi="Cambria" w:eastAsia="Calibri" w:cs="Times New Roman"/>
                <w:sz w:val="20"/>
                <w:szCs w:val="20"/>
                <w:lang w:eastAsia="pt-BR"/>
              </w:rPr>
              <w:t xml:space="preserve"> 1mm de distância entre os fios</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garantindo maior</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economia no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fechamento da bandagem, que confere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elasticidade suficiente para maior</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firmeza, possuindo percentual de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formação não superior à 50% conforme</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nbr. Marcas aceitáveis: cremer ou</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supercotton (conforme art. 41, inc. Ii, </w:t>
            </w:r>
            <w:r>
              <w:rPr>
                <w:rFonts w:ascii="Cambria" w:hAnsi="Cambria" w:eastAsia="Calibri" w:cs="Times New Roman"/>
                <w:sz w:val="20"/>
                <w:szCs w:val="20"/>
                <w:lang w:eastAsia="pt-BR"/>
              </w:rPr>
              <w:t>lei</w:t>
            </w:r>
            <w:r>
              <w:rPr>
                <w:rFonts w:ascii="Cambria" w:hAnsi="Cambria" w:eastAsia="Calibri" w:cs="Times New Roman"/>
                <w:spacing w:val="-36"/>
                <w:sz w:val="22"/>
                <w:szCs w:val="22"/>
                <w:lang w:eastAsia="pt-BR"/>
              </w:rPr>
              <w:t xml:space="preserve"> </w:t>
            </w:r>
            <w:r>
              <w:rPr>
                <w:rFonts w:ascii="Cambria" w:hAnsi="Cambria" w:eastAsia="Calibri" w:cs="Times New Roman"/>
                <w:sz w:val="22"/>
                <w:szCs w:val="22"/>
                <w:lang w:eastAsia="pt-BR"/>
              </w:rPr>
              <w:t>14.133).</w:t>
            </w:r>
          </w:p>
        </w:tc>
        <w:tc>
          <w:tcPr>
            <w:tcW w:w="1047" w:type="dxa"/>
            <w:vAlign w:val="center"/>
          </w:tcPr>
          <w:p w14:paraId="7ACC52E5">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Pct</w:t>
            </w:r>
          </w:p>
        </w:tc>
        <w:tc>
          <w:tcPr>
            <w:tcW w:w="1417" w:type="dxa"/>
            <w:vAlign w:val="center"/>
          </w:tcPr>
          <w:p w14:paraId="0B9525BD">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2.000</w:t>
            </w:r>
          </w:p>
        </w:tc>
      </w:tr>
      <w:tr w14:paraId="4CB39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E7394F5">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47</w:t>
            </w:r>
          </w:p>
        </w:tc>
        <w:tc>
          <w:tcPr>
            <w:tcW w:w="6206" w:type="dxa"/>
            <w:vAlign w:val="center"/>
          </w:tcPr>
          <w:p w14:paraId="13265273">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Atadura de crepom 15cmx1,80 m (peso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mínimo conforme abnt/ nbr 14056: 32,7g</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por unidade. Caso tenha comprimento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maior o peso deverá ser proporcional</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para garantir a qualidade do tecido)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pacote c/ 12 unidades – confeccionadas</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em tecido 100% algodão ou tecido misto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com no mínimo 90% de algodão, fios de</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alta torção ou crochê com no máximo</w:t>
            </w:r>
            <w:r>
              <w:rPr>
                <w:rFonts w:ascii="Cambria" w:hAnsi="Cambria" w:eastAsia="Calibri" w:cs="Times New Roman"/>
                <w:sz w:val="20"/>
                <w:szCs w:val="20"/>
                <w:lang w:eastAsia="pt-BR"/>
              </w:rPr>
              <w:t xml:space="preserve"> 1mm de distância entre os fios</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garantindo maior</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economia no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fechamento da bandagem, que confere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elasticidade suficiente para maior</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firmeza, possuindo percentual de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formação não superior à 50% conforme</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nbr. Marcas aceitáveis: cremer ou</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supercotton (conforme art. 41, inc. Ii, </w:t>
            </w:r>
            <w:r>
              <w:rPr>
                <w:rFonts w:ascii="Cambria" w:hAnsi="Cambria" w:eastAsia="Calibri" w:cs="Times New Roman"/>
                <w:sz w:val="20"/>
                <w:szCs w:val="20"/>
                <w:lang w:eastAsia="pt-BR"/>
              </w:rPr>
              <w:t>lei</w:t>
            </w:r>
            <w:r>
              <w:rPr>
                <w:rFonts w:ascii="Cambria" w:hAnsi="Cambria" w:eastAsia="Calibri" w:cs="Times New Roman"/>
                <w:spacing w:val="-36"/>
                <w:sz w:val="22"/>
                <w:szCs w:val="22"/>
                <w:lang w:eastAsia="pt-BR"/>
              </w:rPr>
              <w:t xml:space="preserve"> </w:t>
            </w:r>
            <w:r>
              <w:rPr>
                <w:rFonts w:ascii="Cambria" w:hAnsi="Cambria" w:eastAsia="Calibri" w:cs="Times New Roman"/>
                <w:sz w:val="22"/>
                <w:szCs w:val="22"/>
                <w:lang w:eastAsia="pt-BR"/>
              </w:rPr>
              <w:t>14.133).</w:t>
            </w:r>
          </w:p>
        </w:tc>
        <w:tc>
          <w:tcPr>
            <w:tcW w:w="1047" w:type="dxa"/>
            <w:vAlign w:val="center"/>
          </w:tcPr>
          <w:p w14:paraId="4035B848">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P</w:t>
            </w:r>
            <w:r>
              <w:rPr>
                <w:rFonts w:ascii="Cambria" w:hAnsi="Cambria" w:eastAsia="Calibri" w:cs="Times New Roman"/>
                <w:sz w:val="20"/>
                <w:szCs w:val="20"/>
                <w:lang w:eastAsia="pt-BR"/>
              </w:rPr>
              <w:t>ct</w:t>
            </w:r>
          </w:p>
        </w:tc>
        <w:tc>
          <w:tcPr>
            <w:tcW w:w="1417" w:type="dxa"/>
            <w:vAlign w:val="center"/>
          </w:tcPr>
          <w:p w14:paraId="67EB65F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2.000</w:t>
            </w:r>
          </w:p>
        </w:tc>
      </w:tr>
      <w:tr w14:paraId="6C37A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21A78F3C">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48</w:t>
            </w:r>
          </w:p>
        </w:tc>
        <w:tc>
          <w:tcPr>
            <w:tcW w:w="6206" w:type="dxa"/>
            <w:vAlign w:val="center"/>
          </w:tcPr>
          <w:p w14:paraId="342EC3F8">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Atadura de crepom 20cmx1,80 m (peso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mínimo conforme abnt/ nbr 14056: 42,8g</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por unidade. Caso tenha comprimento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maior o peso deverá ser proporcional</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para garantir a qualidade do tecido)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pacote c/ 12 unidades – confeccionadas</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em tecido 100% algodão ou tecido misto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com no mínimo 90% de algodão, fios de</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alta torção ou crochê com no máximo</w:t>
            </w:r>
            <w:r>
              <w:rPr>
                <w:rFonts w:ascii="Cambria" w:hAnsi="Cambria" w:eastAsia="Calibri" w:cs="Times New Roman"/>
                <w:sz w:val="20"/>
                <w:szCs w:val="20"/>
                <w:lang w:eastAsia="pt-BR"/>
              </w:rPr>
              <w:t xml:space="preserve"> 1mm de distância entre os fios</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garantindo maior</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economia no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fechamento da bandagem, que confere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elasticidade suficiente para maior</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firmeza, possuindo percentual de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formação não superior à 50% conforme</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nbr.. Marcas aceitáveis: cremer ou</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supercotton (conforme art. 41, inc. Ii, </w:t>
            </w:r>
            <w:r>
              <w:rPr>
                <w:rFonts w:ascii="Cambria" w:hAnsi="Cambria" w:eastAsia="Calibri" w:cs="Times New Roman"/>
                <w:sz w:val="20"/>
                <w:szCs w:val="20"/>
                <w:lang w:eastAsia="pt-BR"/>
              </w:rPr>
              <w:t>lei</w:t>
            </w:r>
            <w:r>
              <w:rPr>
                <w:rFonts w:ascii="Cambria" w:hAnsi="Cambria" w:eastAsia="Calibri" w:cs="Times New Roman"/>
                <w:spacing w:val="-36"/>
                <w:sz w:val="22"/>
                <w:szCs w:val="22"/>
                <w:lang w:eastAsia="pt-BR"/>
              </w:rPr>
              <w:t xml:space="preserve"> </w:t>
            </w:r>
            <w:r>
              <w:rPr>
                <w:rFonts w:ascii="Cambria" w:hAnsi="Cambria" w:eastAsia="Calibri" w:cs="Times New Roman"/>
                <w:sz w:val="22"/>
                <w:szCs w:val="22"/>
                <w:lang w:eastAsia="pt-BR"/>
              </w:rPr>
              <w:t>14.133).</w:t>
            </w:r>
          </w:p>
        </w:tc>
        <w:tc>
          <w:tcPr>
            <w:tcW w:w="1047" w:type="dxa"/>
            <w:vAlign w:val="center"/>
          </w:tcPr>
          <w:p w14:paraId="0120CC6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P</w:t>
            </w:r>
            <w:r>
              <w:rPr>
                <w:rFonts w:ascii="Cambria" w:hAnsi="Cambria" w:eastAsia="Calibri" w:cs="Times New Roman"/>
                <w:sz w:val="20"/>
                <w:szCs w:val="20"/>
                <w:lang w:eastAsia="pt-BR"/>
              </w:rPr>
              <w:t>ct</w:t>
            </w:r>
          </w:p>
        </w:tc>
        <w:tc>
          <w:tcPr>
            <w:tcW w:w="1417" w:type="dxa"/>
            <w:vAlign w:val="center"/>
          </w:tcPr>
          <w:p w14:paraId="624E2D95">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2.000</w:t>
            </w:r>
          </w:p>
        </w:tc>
      </w:tr>
      <w:tr w14:paraId="6B43A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2E047E6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49</w:t>
            </w:r>
          </w:p>
        </w:tc>
        <w:tc>
          <w:tcPr>
            <w:tcW w:w="6206" w:type="dxa"/>
            <w:vAlign w:val="center"/>
          </w:tcPr>
          <w:p w14:paraId="7D71CB85">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Kit sondagem vesical de demora estéril</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descartável - contendo 1 cúpula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plástica; 1 pinça pean; 1 par de luvas cir.</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Látex; 10 gaze estéril; 1 campo cir. 60x60; 1</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campo cir. Fenestrado 40x40cm; 1 seringa</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20ml; 3 amp. Plast. Água destilada; </w:t>
            </w:r>
            <w:r>
              <w:rPr>
                <w:rFonts w:ascii="Cambria" w:hAnsi="Cambria" w:eastAsia="Calibri" w:cs="Times New Roman"/>
                <w:sz w:val="20"/>
                <w:szCs w:val="20"/>
                <w:lang w:eastAsia="pt-BR"/>
              </w:rPr>
              <w:t>1 sache</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gel</w:t>
            </w:r>
            <w:r>
              <w:rPr>
                <w:rFonts w:ascii="Cambria" w:hAnsi="Cambria" w:eastAsia="Calibri" w:cs="Times New Roman"/>
                <w:spacing w:val="-6"/>
                <w:sz w:val="22"/>
                <w:szCs w:val="22"/>
                <w:lang w:eastAsia="pt-BR"/>
              </w:rPr>
              <w:t xml:space="preserve"> </w:t>
            </w:r>
            <w:r>
              <w:rPr>
                <w:rFonts w:ascii="Cambria" w:hAnsi="Cambria" w:eastAsia="Calibri" w:cs="Times New Roman"/>
                <w:spacing w:val="-1"/>
                <w:sz w:val="20"/>
                <w:szCs w:val="20"/>
                <w:lang w:eastAsia="pt-BR"/>
              </w:rPr>
              <w:t>lubrificante;</w:t>
            </w:r>
            <w:r>
              <w:rPr>
                <w:rFonts w:ascii="Cambria" w:hAnsi="Cambria" w:eastAsia="Calibri" w:cs="Times New Roman"/>
                <w:sz w:val="22"/>
                <w:szCs w:val="22"/>
                <w:lang w:eastAsia="pt-BR"/>
              </w:rPr>
              <w:t xml:space="preserve"> </w:t>
            </w:r>
            <w:r>
              <w:rPr>
                <w:rFonts w:ascii="Cambria" w:hAnsi="Cambria" w:eastAsia="Calibri" w:cs="Times New Roman"/>
                <w:spacing w:val="-1"/>
                <w:sz w:val="22"/>
                <w:szCs w:val="22"/>
                <w:lang w:eastAsia="pt-BR"/>
              </w:rPr>
              <w:t>1</w:t>
            </w:r>
            <w:r>
              <w:rPr>
                <w:rFonts w:ascii="Cambria" w:hAnsi="Cambria" w:eastAsia="Calibri" w:cs="Times New Roman"/>
                <w:sz w:val="20"/>
                <w:szCs w:val="20"/>
                <w:lang w:eastAsia="pt-BR"/>
              </w:rPr>
              <w:t xml:space="preserve"> fr. Clorexidina</w:t>
            </w:r>
            <w:r>
              <w:rPr>
                <w:rFonts w:ascii="Cambria" w:hAnsi="Cambria" w:eastAsia="Calibri" w:cs="Times New Roman"/>
                <w:spacing w:val="-16"/>
                <w:sz w:val="22"/>
                <w:szCs w:val="22"/>
                <w:lang w:eastAsia="pt-BR"/>
              </w:rPr>
              <w:t xml:space="preserve"> </w:t>
            </w:r>
            <w:r>
              <w:rPr>
                <w:rFonts w:ascii="Cambria" w:hAnsi="Cambria" w:eastAsia="Calibri" w:cs="Times New Roman"/>
                <w:sz w:val="20"/>
                <w:szCs w:val="20"/>
                <w:lang w:eastAsia="pt-BR"/>
              </w:rPr>
              <w:t>aquosa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30ml</w:t>
            </w:r>
          </w:p>
        </w:tc>
        <w:tc>
          <w:tcPr>
            <w:tcW w:w="1047" w:type="dxa"/>
            <w:vAlign w:val="center"/>
          </w:tcPr>
          <w:p w14:paraId="11999D90">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K</w:t>
            </w:r>
            <w:r>
              <w:rPr>
                <w:rFonts w:ascii="Cambria" w:hAnsi="Cambria" w:eastAsia="Calibri" w:cs="Times New Roman"/>
                <w:sz w:val="20"/>
                <w:szCs w:val="20"/>
                <w:lang w:eastAsia="pt-BR"/>
              </w:rPr>
              <w:t>it</w:t>
            </w:r>
          </w:p>
        </w:tc>
        <w:tc>
          <w:tcPr>
            <w:tcW w:w="1417" w:type="dxa"/>
            <w:vAlign w:val="center"/>
          </w:tcPr>
          <w:p w14:paraId="4D3E54AF">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200</w:t>
            </w:r>
          </w:p>
        </w:tc>
      </w:tr>
      <w:tr w14:paraId="4D026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1C6A9FC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50</w:t>
            </w:r>
          </w:p>
        </w:tc>
        <w:tc>
          <w:tcPr>
            <w:tcW w:w="6206" w:type="dxa"/>
            <w:vAlign w:val="center"/>
          </w:tcPr>
          <w:p w14:paraId="4180EA2A">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Kit sutura metal descartável estéril -</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contendo 1 pinça dente de rato; 1</w:t>
            </w:r>
            <w:r>
              <w:rPr>
                <w:rFonts w:ascii="Cambria" w:hAnsi="Cambria" w:eastAsia="Calibri" w:cs="Times New Roman"/>
                <w:spacing w:val="1"/>
                <w:sz w:val="22"/>
                <w:szCs w:val="22"/>
                <w:lang w:eastAsia="pt-BR"/>
              </w:rPr>
              <w:t xml:space="preserve"> </w:t>
            </w:r>
            <w:r>
              <w:rPr>
                <w:rFonts w:ascii="Cambria" w:hAnsi="Cambria" w:eastAsia="Calibri" w:cs="Times New Roman"/>
                <w:spacing w:val="-2"/>
                <w:sz w:val="20"/>
                <w:szCs w:val="20"/>
                <w:lang w:eastAsia="pt-BR"/>
              </w:rPr>
              <w:t xml:space="preserve">tesoura </w:t>
            </w:r>
            <w:r>
              <w:rPr>
                <w:rFonts w:ascii="Cambria" w:hAnsi="Cambria" w:eastAsia="Calibri" w:cs="Times New Roman"/>
                <w:spacing w:val="-1"/>
                <w:sz w:val="20"/>
                <w:szCs w:val="20"/>
                <w:lang w:eastAsia="pt-BR"/>
              </w:rPr>
              <w:t>íris; 1 porta agulhas mayo-hegar;</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1 campo cirúrgico mesa; 1 campo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fenestrado sms; 5 compressas de gaze; 1</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fio cir. Nylon 5-0 c/agulha.</w:t>
            </w:r>
          </w:p>
        </w:tc>
        <w:tc>
          <w:tcPr>
            <w:tcW w:w="1047" w:type="dxa"/>
            <w:vAlign w:val="center"/>
          </w:tcPr>
          <w:p w14:paraId="09A428AD">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Kit</w:t>
            </w:r>
          </w:p>
        </w:tc>
        <w:tc>
          <w:tcPr>
            <w:tcW w:w="1417" w:type="dxa"/>
            <w:vAlign w:val="center"/>
          </w:tcPr>
          <w:p w14:paraId="79B91909">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200</w:t>
            </w:r>
          </w:p>
        </w:tc>
      </w:tr>
      <w:tr w14:paraId="6C0FC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6FCB1B7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51</w:t>
            </w:r>
          </w:p>
        </w:tc>
        <w:tc>
          <w:tcPr>
            <w:tcW w:w="6206" w:type="dxa"/>
            <w:vAlign w:val="center"/>
          </w:tcPr>
          <w:p w14:paraId="5DEAB399">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Kit para implante de diu - contendo 1</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espéculo vaginal descartável; 1 pinça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cheron; 1 pinça pozzi; 1 histerômetro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haste centimetrada c/stopper 25cm; 1</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tesoura longa (25cm) curva metálica; </w:t>
            </w:r>
            <w:r>
              <w:rPr>
                <w:rFonts w:ascii="Cambria" w:hAnsi="Cambria" w:eastAsia="Calibri" w:cs="Times New Roman"/>
                <w:sz w:val="22"/>
                <w:szCs w:val="22"/>
                <w:lang w:eastAsia="pt-BR"/>
              </w:rPr>
              <w:t>1</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par luvas estéril; 10 gazes; 1 campo de</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mesa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impermeável</w:t>
            </w:r>
            <w:r>
              <w:rPr>
                <w:rFonts w:ascii="Cambria" w:hAnsi="Cambria" w:eastAsia="Calibri" w:cs="Times New Roman"/>
                <w:spacing w:val="-6"/>
                <w:sz w:val="22"/>
                <w:szCs w:val="22"/>
                <w:lang w:eastAsia="pt-BR"/>
              </w:rPr>
              <w:t xml:space="preserve"> </w:t>
            </w:r>
            <w:r>
              <w:rPr>
                <w:rFonts w:ascii="Cambria" w:hAnsi="Cambria" w:eastAsia="Calibri" w:cs="Times New Roman"/>
                <w:sz w:val="20"/>
                <w:szCs w:val="20"/>
                <w:lang w:eastAsia="pt-BR"/>
              </w:rPr>
              <w:t>60x60cm.</w:t>
            </w:r>
          </w:p>
        </w:tc>
        <w:tc>
          <w:tcPr>
            <w:tcW w:w="1047" w:type="dxa"/>
            <w:vAlign w:val="center"/>
          </w:tcPr>
          <w:p w14:paraId="0FF8D41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Kit</w:t>
            </w:r>
          </w:p>
        </w:tc>
        <w:tc>
          <w:tcPr>
            <w:tcW w:w="1417" w:type="dxa"/>
            <w:vAlign w:val="center"/>
          </w:tcPr>
          <w:p w14:paraId="57EE4D14">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200</w:t>
            </w:r>
          </w:p>
        </w:tc>
      </w:tr>
      <w:tr w14:paraId="3BB3C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34F9731F">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52</w:t>
            </w:r>
          </w:p>
        </w:tc>
        <w:tc>
          <w:tcPr>
            <w:tcW w:w="6206" w:type="dxa"/>
            <w:vAlign w:val="center"/>
          </w:tcPr>
          <w:p w14:paraId="60C238E9">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 xml:space="preserve">Dispositivo </w:t>
            </w:r>
            <w:r>
              <w:rPr>
                <w:rFonts w:ascii="Cambria" w:hAnsi="Cambria" w:eastAsia="Calibri" w:cs="Times New Roman"/>
                <w:sz w:val="20"/>
                <w:szCs w:val="20"/>
                <w:lang w:eastAsia="pt-BR"/>
              </w:rPr>
              <w:t>intra uterino (diu) hormonal</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de levonorgestrel</w:t>
            </w:r>
            <w:r>
              <w:rPr>
                <w:rFonts w:ascii="Cambria" w:hAnsi="Cambria" w:eastAsia="Calibri" w:cs="Times New Roman"/>
                <w:spacing w:val="-6"/>
                <w:sz w:val="22"/>
                <w:szCs w:val="22"/>
                <w:lang w:eastAsia="pt-BR"/>
              </w:rPr>
              <w:t xml:space="preserve"> </w:t>
            </w:r>
            <w:r>
              <w:rPr>
                <w:rFonts w:ascii="Cambria" w:hAnsi="Cambria" w:eastAsia="Calibri" w:cs="Times New Roman"/>
                <w:sz w:val="20"/>
                <w:szCs w:val="20"/>
                <w:lang w:eastAsia="pt-BR"/>
              </w:rPr>
              <w:t>52mg</w:t>
            </w:r>
          </w:p>
        </w:tc>
        <w:tc>
          <w:tcPr>
            <w:tcW w:w="1047" w:type="dxa"/>
            <w:vAlign w:val="center"/>
          </w:tcPr>
          <w:p w14:paraId="160E3BE2">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3B1BFC88">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100</w:t>
            </w:r>
          </w:p>
        </w:tc>
      </w:tr>
      <w:tr w14:paraId="5517A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7ACFEEFA">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53</w:t>
            </w:r>
          </w:p>
        </w:tc>
        <w:tc>
          <w:tcPr>
            <w:tcW w:w="6206" w:type="dxa"/>
            <w:vAlign w:val="center"/>
          </w:tcPr>
          <w:p w14:paraId="160FF38B">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Dispositivo</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intra</w:t>
            </w:r>
            <w:r>
              <w:rPr>
                <w:rFonts w:ascii="Cambria" w:hAnsi="Cambria" w:eastAsia="Calibri" w:cs="Times New Roman"/>
                <w:spacing w:val="-6"/>
                <w:sz w:val="22"/>
                <w:szCs w:val="22"/>
                <w:lang w:eastAsia="pt-BR"/>
              </w:rPr>
              <w:t xml:space="preserve"> </w:t>
            </w:r>
            <w:r>
              <w:rPr>
                <w:rFonts w:ascii="Cambria" w:hAnsi="Cambria" w:eastAsia="Calibri" w:cs="Times New Roman"/>
                <w:sz w:val="20"/>
                <w:szCs w:val="20"/>
                <w:lang w:eastAsia="pt-BR"/>
              </w:rPr>
              <w:t>uterino</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(diu)</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cobre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 prata. Confeccionado em polietileno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estéril radiopaco, em forma de t com</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superfície total de cobre ativo de 380 mm²</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e aplicação de prata que reduz 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processo de oxidação do cobre.</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Acompanha tubo </w:t>
            </w:r>
            <w:r>
              <w:rPr>
                <w:rFonts w:ascii="Cambria" w:hAnsi="Cambria" w:eastAsia="Calibri" w:cs="Times New Roman"/>
                <w:sz w:val="20"/>
                <w:szCs w:val="20"/>
                <w:lang w:eastAsia="pt-BR"/>
              </w:rPr>
              <w:t>aplicador com escala</w:t>
            </w:r>
            <w:r>
              <w:rPr>
                <w:rFonts w:ascii="Cambria" w:hAnsi="Cambria" w:eastAsia="Calibri" w:cs="Times New Roman"/>
                <w:spacing w:val="1"/>
                <w:sz w:val="22"/>
                <w:szCs w:val="22"/>
                <w:lang w:eastAsia="pt-BR"/>
              </w:rPr>
              <w:t xml:space="preserve"> </w:t>
            </w:r>
            <w:r>
              <w:rPr>
                <w:rFonts w:ascii="Cambria" w:hAnsi="Cambria" w:eastAsia="Calibri" w:cs="Times New Roman"/>
                <w:w w:val="95"/>
                <w:sz w:val="20"/>
                <w:szCs w:val="20"/>
                <w:lang w:eastAsia="pt-BR"/>
              </w:rPr>
              <w:t>centimetrada, anel ajustável e</w:t>
            </w:r>
            <w:r>
              <w:rPr>
                <w:rFonts w:ascii="Cambria" w:hAnsi="Cambria" w:eastAsia="Calibri" w:cs="Times New Roman"/>
                <w:spacing w:val="1"/>
                <w:w w:val="95"/>
                <w:sz w:val="22"/>
                <w:szCs w:val="22"/>
                <w:lang w:eastAsia="pt-BR"/>
              </w:rPr>
              <w:t xml:space="preserve"> </w:t>
            </w:r>
            <w:r>
              <w:rPr>
                <w:rFonts w:ascii="Cambria" w:hAnsi="Cambria" w:eastAsia="Calibri" w:cs="Times New Roman"/>
                <w:w w:val="95"/>
                <w:sz w:val="20"/>
                <w:szCs w:val="20"/>
                <w:lang w:eastAsia="pt-BR"/>
              </w:rPr>
              <w:t>êmbolo</w:t>
            </w:r>
            <w:r>
              <w:rPr>
                <w:rFonts w:ascii="Cambria" w:hAnsi="Cambria" w:eastAsia="Calibri" w:cs="Times New Roman"/>
                <w:spacing w:val="1"/>
                <w:w w:val="95"/>
                <w:sz w:val="22"/>
                <w:szCs w:val="22"/>
                <w:lang w:eastAsia="pt-BR"/>
              </w:rPr>
              <w:t xml:space="preserve"> </w:t>
            </w:r>
            <w:r>
              <w:rPr>
                <w:rFonts w:ascii="Cambria" w:hAnsi="Cambria" w:eastAsia="Calibri" w:cs="Times New Roman"/>
                <w:sz w:val="20"/>
                <w:szCs w:val="20"/>
                <w:lang w:eastAsia="pt-BR"/>
              </w:rPr>
              <w:t>pré-inserido.</w:t>
            </w:r>
          </w:p>
        </w:tc>
        <w:tc>
          <w:tcPr>
            <w:tcW w:w="1047" w:type="dxa"/>
            <w:vAlign w:val="center"/>
          </w:tcPr>
          <w:p w14:paraId="7CFEE5BF">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59C0D0D0">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100</w:t>
            </w:r>
          </w:p>
        </w:tc>
      </w:tr>
      <w:tr w14:paraId="4D9FD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06B9CBD9">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54</w:t>
            </w:r>
          </w:p>
        </w:tc>
        <w:tc>
          <w:tcPr>
            <w:tcW w:w="6206" w:type="dxa"/>
            <w:vAlign w:val="center"/>
          </w:tcPr>
          <w:p w14:paraId="20CE0AF1">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 xml:space="preserve">Atadura gessada 15cm, </w:t>
            </w:r>
            <w:r>
              <w:rPr>
                <w:rFonts w:ascii="Cambria" w:hAnsi="Cambria" w:eastAsia="Calibri" w:cs="Times New Roman"/>
                <w:sz w:val="20"/>
                <w:szCs w:val="20"/>
                <w:lang w:eastAsia="pt-BR"/>
              </w:rPr>
              <w:t>confeccionada em</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pano tipo tela 100% algodão, isento de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amido e alvejante óptico, uniformemente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impregnado com gesso tipo alfa</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ortopédico com textura suave e cremosa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proporciona fácil moldagem, corte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lateral</w:t>
            </w:r>
            <w:r>
              <w:rPr>
                <w:rFonts w:ascii="Cambria" w:hAnsi="Cambria" w:eastAsia="Calibri" w:cs="Times New Roman"/>
                <w:spacing w:val="-5"/>
                <w:sz w:val="22"/>
                <w:szCs w:val="22"/>
                <w:lang w:eastAsia="pt-BR"/>
              </w:rPr>
              <w:t xml:space="preserve"> </w:t>
            </w:r>
            <w:r>
              <w:rPr>
                <w:rFonts w:ascii="Cambria" w:hAnsi="Cambria" w:eastAsia="Calibri" w:cs="Times New Roman"/>
                <w:sz w:val="20"/>
                <w:szCs w:val="20"/>
                <w:lang w:eastAsia="pt-BR"/>
              </w:rPr>
              <w:t>sinuoso</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que</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evitam</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desfiamento e/ou garroteamento para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melhor desempenho técnico, enrolada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sobre si com tubete de plástico que</w:t>
            </w:r>
            <w:r>
              <w:rPr>
                <w:rFonts w:ascii="Cambria" w:hAnsi="Cambria" w:eastAsia="Calibri" w:cs="Times New Roman"/>
                <w:spacing w:val="1"/>
                <w:sz w:val="22"/>
                <w:szCs w:val="22"/>
                <w:lang w:eastAsia="pt-BR"/>
              </w:rPr>
              <w:t xml:space="preserve"> </w:t>
            </w:r>
            <w:r>
              <w:rPr>
                <w:rFonts w:ascii="Cambria" w:hAnsi="Cambria" w:eastAsia="Calibri" w:cs="Times New Roman"/>
                <w:spacing w:val="-2"/>
                <w:sz w:val="20"/>
                <w:szCs w:val="20"/>
                <w:lang w:eastAsia="pt-BR"/>
              </w:rPr>
              <w:t>facilita</w:t>
            </w:r>
            <w:r>
              <w:rPr>
                <w:rFonts w:ascii="Cambria" w:hAnsi="Cambria" w:eastAsia="Calibri" w:cs="Times New Roman"/>
                <w:spacing w:val="-1"/>
                <w:sz w:val="22"/>
                <w:szCs w:val="22"/>
                <w:lang w:eastAsia="pt-BR"/>
              </w:rPr>
              <w:t xml:space="preserve"> </w:t>
            </w:r>
            <w:r>
              <w:rPr>
                <w:rFonts w:ascii="Cambria" w:hAnsi="Cambria" w:eastAsia="Calibri" w:cs="Times New Roman"/>
                <w:spacing w:val="-2"/>
                <w:sz w:val="20"/>
                <w:szCs w:val="20"/>
                <w:lang w:eastAsia="pt-BR"/>
              </w:rPr>
              <w:t>o</w:t>
            </w:r>
            <w:r>
              <w:rPr>
                <w:rFonts w:ascii="Cambria" w:hAnsi="Cambria" w:eastAsia="Calibri" w:cs="Times New Roman"/>
                <w:spacing w:val="8"/>
                <w:sz w:val="22"/>
                <w:szCs w:val="22"/>
                <w:lang w:eastAsia="pt-BR"/>
              </w:rPr>
              <w:t xml:space="preserve"> </w:t>
            </w:r>
            <w:r>
              <w:rPr>
                <w:rFonts w:ascii="Cambria" w:hAnsi="Cambria" w:eastAsia="Calibri" w:cs="Times New Roman"/>
                <w:spacing w:val="-2"/>
                <w:sz w:val="20"/>
                <w:szCs w:val="20"/>
                <w:lang w:eastAsia="pt-BR"/>
              </w:rPr>
              <w:t>desenrolar</w:t>
            </w:r>
            <w:r>
              <w:rPr>
                <w:rFonts w:ascii="Cambria" w:hAnsi="Cambria" w:eastAsia="Calibri" w:cs="Times New Roman"/>
                <w:spacing w:val="8"/>
                <w:sz w:val="22"/>
                <w:szCs w:val="22"/>
                <w:lang w:eastAsia="pt-BR"/>
              </w:rPr>
              <w:t xml:space="preserve"> </w:t>
            </w:r>
            <w:r>
              <w:rPr>
                <w:rFonts w:ascii="Cambria" w:hAnsi="Cambria" w:eastAsia="Calibri" w:cs="Times New Roman"/>
                <w:spacing w:val="-1"/>
                <w:sz w:val="20"/>
                <w:szCs w:val="20"/>
                <w:lang w:eastAsia="pt-BR"/>
              </w:rPr>
              <w:t>da</w:t>
            </w:r>
            <w:r>
              <w:rPr>
                <w:rFonts w:ascii="Cambria" w:hAnsi="Cambria" w:eastAsia="Calibri" w:cs="Times New Roman"/>
                <w:spacing w:val="-8"/>
                <w:sz w:val="22"/>
                <w:szCs w:val="22"/>
                <w:lang w:eastAsia="pt-BR"/>
              </w:rPr>
              <w:t xml:space="preserve"> </w:t>
            </w:r>
            <w:r>
              <w:rPr>
                <w:rFonts w:ascii="Cambria" w:hAnsi="Cambria" w:eastAsia="Calibri" w:cs="Times New Roman"/>
                <w:spacing w:val="-1"/>
                <w:sz w:val="20"/>
                <w:szCs w:val="20"/>
                <w:lang w:eastAsia="pt-BR"/>
              </w:rPr>
              <w:t>atadura.</w:t>
            </w:r>
            <w:r>
              <w:rPr>
                <w:rFonts w:ascii="Cambria" w:hAnsi="Cambria" w:eastAsia="Calibri" w:cs="Times New Roman"/>
                <w:sz w:val="20"/>
                <w:szCs w:val="20"/>
                <w:lang w:eastAsia="pt-BR"/>
              </w:rPr>
              <w:t xml:space="preserve"> Embalada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individualmente.</w:t>
            </w:r>
          </w:p>
        </w:tc>
        <w:tc>
          <w:tcPr>
            <w:tcW w:w="1047" w:type="dxa"/>
            <w:vAlign w:val="center"/>
          </w:tcPr>
          <w:p w14:paraId="1B86817D">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C</w:t>
            </w:r>
            <w:r>
              <w:rPr>
                <w:rFonts w:ascii="Cambria" w:hAnsi="Cambria" w:eastAsia="Calibri" w:cs="Times New Roman"/>
                <w:sz w:val="20"/>
                <w:szCs w:val="20"/>
                <w:lang w:eastAsia="pt-BR"/>
              </w:rPr>
              <w:t>x</w:t>
            </w:r>
          </w:p>
        </w:tc>
        <w:tc>
          <w:tcPr>
            <w:tcW w:w="1417" w:type="dxa"/>
            <w:vAlign w:val="center"/>
          </w:tcPr>
          <w:p w14:paraId="12226C42">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150</w:t>
            </w:r>
          </w:p>
        </w:tc>
      </w:tr>
      <w:tr w14:paraId="52C82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08F869E0">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55</w:t>
            </w:r>
          </w:p>
        </w:tc>
        <w:tc>
          <w:tcPr>
            <w:tcW w:w="6206" w:type="dxa"/>
            <w:vAlign w:val="center"/>
          </w:tcPr>
          <w:p w14:paraId="3D0266A1">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Atadura</w:t>
            </w:r>
            <w:r>
              <w:rPr>
                <w:rFonts w:ascii="Cambria" w:hAnsi="Cambria" w:eastAsia="Calibri" w:cs="Times New Roman"/>
                <w:spacing w:val="-9"/>
                <w:sz w:val="22"/>
                <w:szCs w:val="22"/>
                <w:lang w:eastAsia="pt-BR"/>
              </w:rPr>
              <w:t xml:space="preserve"> </w:t>
            </w:r>
            <w:r>
              <w:rPr>
                <w:rFonts w:ascii="Cambria" w:hAnsi="Cambria" w:eastAsia="Calibri" w:cs="Times New Roman"/>
                <w:spacing w:val="-1"/>
                <w:sz w:val="20"/>
                <w:szCs w:val="20"/>
                <w:lang w:eastAsia="pt-BR"/>
              </w:rPr>
              <w:t>gessada</w:t>
            </w:r>
            <w:r>
              <w:rPr>
                <w:rFonts w:ascii="Cambria" w:hAnsi="Cambria" w:eastAsia="Calibri" w:cs="Times New Roman"/>
                <w:spacing w:val="-9"/>
                <w:sz w:val="22"/>
                <w:szCs w:val="22"/>
                <w:lang w:eastAsia="pt-BR"/>
              </w:rPr>
              <w:t xml:space="preserve"> </w:t>
            </w:r>
            <w:r>
              <w:rPr>
                <w:rFonts w:ascii="Cambria" w:hAnsi="Cambria" w:eastAsia="Calibri" w:cs="Times New Roman"/>
                <w:spacing w:val="-1"/>
                <w:sz w:val="20"/>
                <w:szCs w:val="20"/>
                <w:lang w:eastAsia="pt-BR"/>
              </w:rPr>
              <w:t>20cm,</w:t>
            </w:r>
            <w:r>
              <w:rPr>
                <w:rFonts w:ascii="Cambria" w:hAnsi="Cambria" w:eastAsia="Calibri" w:cs="Times New Roman"/>
                <w:sz w:val="22"/>
                <w:szCs w:val="22"/>
                <w:lang w:eastAsia="pt-BR"/>
              </w:rPr>
              <w:t xml:space="preserve"> </w:t>
            </w:r>
            <w:r>
              <w:rPr>
                <w:rFonts w:ascii="Cambria" w:hAnsi="Cambria" w:eastAsia="Calibri" w:cs="Times New Roman"/>
                <w:spacing w:val="-1"/>
                <w:sz w:val="20"/>
                <w:szCs w:val="20"/>
                <w:lang w:eastAsia="pt-BR"/>
              </w:rPr>
              <w:t>confeccionada</w:t>
            </w:r>
            <w:r>
              <w:rPr>
                <w:rFonts w:ascii="Cambria" w:hAnsi="Cambria" w:eastAsia="Calibri" w:cs="Times New Roman"/>
                <w:spacing w:val="-9"/>
                <w:sz w:val="22"/>
                <w:szCs w:val="22"/>
                <w:lang w:eastAsia="pt-BR"/>
              </w:rPr>
              <w:t xml:space="preserve"> </w:t>
            </w:r>
            <w:r>
              <w:rPr>
                <w:rFonts w:ascii="Cambria" w:hAnsi="Cambria" w:eastAsia="Calibri" w:cs="Times New Roman"/>
                <w:spacing w:val="-1"/>
                <w:sz w:val="20"/>
                <w:szCs w:val="20"/>
                <w:lang w:eastAsia="pt-BR"/>
              </w:rPr>
              <w:t>em</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pano tipo tela 100% algodão, isento de</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amido e alvejante óptico, </w:t>
            </w:r>
            <w:r>
              <w:rPr>
                <w:rFonts w:ascii="Cambria" w:hAnsi="Cambria" w:eastAsia="Calibri" w:cs="Times New Roman"/>
                <w:sz w:val="20"/>
                <w:szCs w:val="20"/>
                <w:lang w:eastAsia="pt-BR"/>
              </w:rPr>
              <w:t>uniformemente</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impregnado</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com</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gesso</w:t>
            </w:r>
            <w:r>
              <w:rPr>
                <w:rFonts w:ascii="Cambria" w:hAnsi="Cambria" w:eastAsia="Calibri" w:cs="Times New Roman"/>
                <w:spacing w:val="-5"/>
                <w:sz w:val="22"/>
                <w:szCs w:val="22"/>
                <w:lang w:eastAsia="pt-BR"/>
              </w:rPr>
              <w:t xml:space="preserve"> </w:t>
            </w:r>
            <w:r>
              <w:rPr>
                <w:rFonts w:ascii="Cambria" w:hAnsi="Cambria" w:eastAsia="Calibri" w:cs="Times New Roman"/>
                <w:sz w:val="20"/>
                <w:szCs w:val="20"/>
                <w:lang w:eastAsia="pt-BR"/>
              </w:rPr>
              <w:t>tipo</w:t>
            </w:r>
            <w:r>
              <w:rPr>
                <w:rFonts w:ascii="Cambria" w:hAnsi="Cambria" w:eastAsia="Calibri" w:cs="Times New Roman"/>
                <w:spacing w:val="-10"/>
                <w:sz w:val="22"/>
                <w:szCs w:val="22"/>
                <w:lang w:eastAsia="pt-BR"/>
              </w:rPr>
              <w:t xml:space="preserve"> </w:t>
            </w:r>
            <w:r>
              <w:rPr>
                <w:rFonts w:ascii="Cambria" w:hAnsi="Cambria" w:eastAsia="Calibri" w:cs="Times New Roman"/>
                <w:sz w:val="20"/>
                <w:szCs w:val="20"/>
                <w:lang w:eastAsia="pt-BR"/>
              </w:rPr>
              <w:t>alfa</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ortopé</w:t>
            </w:r>
            <w:r>
              <w:rPr>
                <w:rFonts w:ascii="Cambria" w:hAnsi="Cambria" w:eastAsia="Calibri" w:cs="Times New Roman"/>
                <w:sz w:val="22"/>
                <w:szCs w:val="22"/>
                <w:lang w:eastAsia="pt-BR"/>
              </w:rPr>
              <w:t xml:space="preserve"> </w:t>
            </w:r>
            <w:r>
              <w:rPr>
                <w:rFonts w:ascii="Cambria" w:hAnsi="Cambria" w:eastAsia="Calibri" w:cs="Times New Roman"/>
                <w:sz w:val="20"/>
                <w:szCs w:val="20"/>
                <w:lang w:eastAsia="pt-BR"/>
              </w:rPr>
              <w:t>dico com textura suave e cremosa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proporciona fácil moldagem, corte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lateral sinuoso que evitam 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desfiamento e/ou garroteamento para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melhor</w:t>
            </w:r>
            <w:r>
              <w:rPr>
                <w:rFonts w:ascii="Cambria" w:hAnsi="Cambria" w:eastAsia="Calibri" w:cs="Times New Roman"/>
                <w:spacing w:val="-5"/>
                <w:sz w:val="22"/>
                <w:szCs w:val="22"/>
                <w:lang w:eastAsia="pt-BR"/>
              </w:rPr>
              <w:t xml:space="preserve"> </w:t>
            </w:r>
            <w:r>
              <w:rPr>
                <w:rFonts w:ascii="Cambria" w:hAnsi="Cambria" w:eastAsia="Calibri" w:cs="Times New Roman"/>
                <w:sz w:val="20"/>
                <w:szCs w:val="20"/>
                <w:lang w:eastAsia="pt-BR"/>
              </w:rPr>
              <w:t>desempenho</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técnico,</w:t>
            </w:r>
            <w:r>
              <w:rPr>
                <w:rFonts w:ascii="Cambria" w:hAnsi="Cambria" w:eastAsia="Calibri" w:cs="Times New Roman"/>
                <w:spacing w:val="-5"/>
                <w:sz w:val="22"/>
                <w:szCs w:val="22"/>
                <w:lang w:eastAsia="pt-BR"/>
              </w:rPr>
              <w:t xml:space="preserve"> </w:t>
            </w:r>
            <w:r>
              <w:rPr>
                <w:rFonts w:ascii="Cambria" w:hAnsi="Cambria" w:eastAsia="Calibri" w:cs="Times New Roman"/>
                <w:sz w:val="20"/>
                <w:szCs w:val="20"/>
                <w:lang w:eastAsia="pt-BR"/>
              </w:rPr>
              <w:t>enrolada</w:t>
            </w:r>
            <w:r>
              <w:rPr>
                <w:rFonts w:ascii="Cambria" w:hAnsi="Cambria" w:eastAsia="Calibri" w:cs="Times New Roman"/>
                <w:spacing w:val="-35"/>
                <w:sz w:val="22"/>
                <w:szCs w:val="22"/>
                <w:lang w:eastAsia="pt-BR"/>
              </w:rPr>
              <w:t xml:space="preserve"> </w:t>
            </w:r>
            <w:r>
              <w:rPr>
                <w:rFonts w:ascii="Cambria" w:hAnsi="Cambria" w:eastAsia="Calibri" w:cs="Times New Roman"/>
                <w:sz w:val="20"/>
                <w:szCs w:val="20"/>
                <w:lang w:eastAsia="pt-BR"/>
              </w:rPr>
              <w:t>sobre si com tubete de plástico que</w:t>
            </w:r>
            <w:r>
              <w:rPr>
                <w:rFonts w:ascii="Cambria" w:hAnsi="Cambria" w:eastAsia="Calibri" w:cs="Times New Roman"/>
                <w:spacing w:val="1"/>
                <w:sz w:val="22"/>
                <w:szCs w:val="22"/>
                <w:lang w:eastAsia="pt-BR"/>
              </w:rPr>
              <w:t xml:space="preserve"> </w:t>
            </w:r>
            <w:r>
              <w:rPr>
                <w:rFonts w:ascii="Cambria" w:hAnsi="Cambria" w:eastAsia="Calibri" w:cs="Times New Roman"/>
                <w:spacing w:val="-2"/>
                <w:sz w:val="20"/>
                <w:szCs w:val="20"/>
                <w:lang w:eastAsia="pt-BR"/>
              </w:rPr>
              <w:t xml:space="preserve">facilita o desenrolar </w:t>
            </w:r>
            <w:r>
              <w:rPr>
                <w:rFonts w:ascii="Cambria" w:hAnsi="Cambria" w:eastAsia="Calibri" w:cs="Times New Roman"/>
                <w:spacing w:val="-1"/>
                <w:sz w:val="20"/>
                <w:szCs w:val="20"/>
                <w:lang w:eastAsia="pt-BR"/>
              </w:rPr>
              <w:t>da atadura.</w:t>
            </w:r>
            <w:r>
              <w:rPr>
                <w:rFonts w:ascii="Cambria" w:hAnsi="Cambria" w:eastAsia="Calibri" w:cs="Times New Roman"/>
                <w:sz w:val="20"/>
                <w:szCs w:val="20"/>
                <w:lang w:eastAsia="pt-BR"/>
              </w:rPr>
              <w:t xml:space="preserve"> Embalada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individualmente.</w:t>
            </w:r>
          </w:p>
        </w:tc>
        <w:tc>
          <w:tcPr>
            <w:tcW w:w="1047" w:type="dxa"/>
            <w:vAlign w:val="center"/>
          </w:tcPr>
          <w:p w14:paraId="2028076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3AB1D1BD">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150</w:t>
            </w:r>
          </w:p>
        </w:tc>
      </w:tr>
      <w:tr w14:paraId="710EA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631F42C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56</w:t>
            </w:r>
          </w:p>
        </w:tc>
        <w:tc>
          <w:tcPr>
            <w:tcW w:w="6206" w:type="dxa"/>
            <w:vAlign w:val="center"/>
          </w:tcPr>
          <w:p w14:paraId="4152CED9">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2"/>
                <w:szCs w:val="22"/>
                <w:lang w:eastAsia="pt-BR"/>
              </w:rPr>
              <w:t>Atadura gessada 10cm, confeccionada em pano tipo</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tela 100% algodão, isento de amido e alvejante</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óptico, uniformemente impregnado com gesso tipo</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alfa ortopédico com textura suave e cremosa</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proporciona fácil moldagem, corte lateral sinuoso que</w:t>
            </w:r>
            <w:r>
              <w:rPr>
                <w:rFonts w:ascii="Cambria" w:hAnsi="Cambria" w:eastAsia="Calibri" w:cs="Times New Roman"/>
                <w:spacing w:val="-36"/>
                <w:sz w:val="22"/>
                <w:szCs w:val="22"/>
                <w:lang w:eastAsia="pt-BR"/>
              </w:rPr>
              <w:t xml:space="preserve"> </w:t>
            </w:r>
            <w:r>
              <w:rPr>
                <w:rFonts w:ascii="Cambria" w:hAnsi="Cambria" w:eastAsia="Calibri" w:cs="Times New Roman"/>
                <w:sz w:val="22"/>
                <w:szCs w:val="22"/>
                <w:lang w:eastAsia="pt-BR"/>
              </w:rPr>
              <w:t>evitam o desfiamento e/ou garroteamento para</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melhor desempenho técnico, enrolada sobre si com</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 xml:space="preserve">tubete de plástico que facilita o </w:t>
            </w:r>
            <w:r>
              <w:rPr>
                <w:rFonts w:ascii="Cambria" w:hAnsi="Cambria" w:eastAsia="Calibri" w:cs="Times New Roman"/>
                <w:sz w:val="20"/>
                <w:szCs w:val="20"/>
                <w:lang w:eastAsia="pt-BR"/>
              </w:rPr>
              <w:t>desenrolar</w:t>
            </w:r>
            <w:r>
              <w:rPr>
                <w:rFonts w:ascii="Cambria" w:hAnsi="Cambria" w:eastAsia="Calibri" w:cs="Times New Roman"/>
                <w:sz w:val="22"/>
                <w:szCs w:val="22"/>
                <w:lang w:eastAsia="pt-BR"/>
              </w:rPr>
              <w:t xml:space="preserve"> da atadura.</w:t>
            </w:r>
            <w:r>
              <w:rPr>
                <w:rFonts w:ascii="Cambria" w:hAnsi="Cambria" w:eastAsia="Calibri" w:cs="Times New Roman"/>
                <w:spacing w:val="-36"/>
                <w:sz w:val="22"/>
                <w:szCs w:val="22"/>
                <w:lang w:eastAsia="pt-BR"/>
              </w:rPr>
              <w:t xml:space="preserve"> </w:t>
            </w:r>
            <w:r>
              <w:rPr>
                <w:rFonts w:ascii="Cambria" w:hAnsi="Cambria" w:eastAsia="Calibri" w:cs="Times New Roman"/>
                <w:sz w:val="22"/>
                <w:szCs w:val="22"/>
                <w:lang w:eastAsia="pt-BR"/>
              </w:rPr>
              <w:t>Embalada individualmente.</w:t>
            </w:r>
          </w:p>
        </w:tc>
        <w:tc>
          <w:tcPr>
            <w:tcW w:w="1047" w:type="dxa"/>
            <w:vAlign w:val="center"/>
          </w:tcPr>
          <w:p w14:paraId="20D637E5">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C</w:t>
            </w:r>
            <w:r>
              <w:rPr>
                <w:rFonts w:ascii="Cambria" w:hAnsi="Cambria" w:eastAsia="Calibri" w:cs="Times New Roman"/>
                <w:sz w:val="20"/>
                <w:szCs w:val="20"/>
                <w:lang w:eastAsia="pt-BR"/>
              </w:rPr>
              <w:t>x</w:t>
            </w:r>
          </w:p>
        </w:tc>
        <w:tc>
          <w:tcPr>
            <w:tcW w:w="1417" w:type="dxa"/>
            <w:vAlign w:val="center"/>
          </w:tcPr>
          <w:p w14:paraId="552B1698">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150</w:t>
            </w:r>
          </w:p>
        </w:tc>
      </w:tr>
      <w:tr w14:paraId="26B1E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B181BAD">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57</w:t>
            </w:r>
          </w:p>
        </w:tc>
        <w:tc>
          <w:tcPr>
            <w:tcW w:w="6206" w:type="dxa"/>
            <w:vAlign w:val="center"/>
          </w:tcPr>
          <w:p w14:paraId="46EAB010">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Fio</w:t>
            </w:r>
            <w:r>
              <w:rPr>
                <w:rFonts w:ascii="Cambria" w:hAnsi="Cambria" w:eastAsia="Calibri" w:cs="Times New Roman"/>
                <w:spacing w:val="-2"/>
                <w:sz w:val="22"/>
                <w:szCs w:val="22"/>
                <w:lang w:eastAsia="pt-BR"/>
              </w:rPr>
              <w:t xml:space="preserve"> </w:t>
            </w:r>
            <w:r>
              <w:rPr>
                <w:rFonts w:ascii="Cambria" w:hAnsi="Cambria" w:eastAsia="Calibri" w:cs="Times New Roman"/>
                <w:spacing w:val="-1"/>
                <w:sz w:val="20"/>
                <w:szCs w:val="20"/>
                <w:lang w:eastAsia="pt-BR"/>
              </w:rPr>
              <w:t>catgut</w:t>
            </w:r>
            <w:r>
              <w:rPr>
                <w:rFonts w:ascii="Cambria" w:hAnsi="Cambria" w:eastAsia="Calibri" w:cs="Times New Roman"/>
                <w:spacing w:val="-5"/>
                <w:sz w:val="22"/>
                <w:szCs w:val="22"/>
                <w:lang w:eastAsia="pt-BR"/>
              </w:rPr>
              <w:t xml:space="preserve"> </w:t>
            </w:r>
            <w:r>
              <w:rPr>
                <w:rFonts w:ascii="Cambria" w:hAnsi="Cambria" w:eastAsia="Calibri" w:cs="Times New Roman"/>
                <w:spacing w:val="-1"/>
                <w:sz w:val="20"/>
                <w:szCs w:val="20"/>
                <w:lang w:eastAsia="pt-BR"/>
              </w:rPr>
              <w:t xml:space="preserve">cromado </w:t>
            </w:r>
            <w:r>
              <w:rPr>
                <w:rFonts w:ascii="Cambria" w:hAnsi="Cambria" w:eastAsia="Calibri" w:cs="Times New Roman"/>
                <w:sz w:val="22"/>
                <w:szCs w:val="22"/>
                <w:lang w:eastAsia="pt-BR"/>
              </w:rPr>
              <w:t>5-0</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com</w:t>
            </w:r>
            <w:r>
              <w:rPr>
                <w:rFonts w:ascii="Cambria" w:hAnsi="Cambria" w:eastAsia="Calibri" w:cs="Times New Roman"/>
                <w:spacing w:val="-10"/>
                <w:sz w:val="22"/>
                <w:szCs w:val="22"/>
                <w:lang w:eastAsia="pt-BR"/>
              </w:rPr>
              <w:t xml:space="preserve"> </w:t>
            </w:r>
            <w:r>
              <w:rPr>
                <w:rFonts w:ascii="Cambria" w:hAnsi="Cambria" w:eastAsia="Calibri" w:cs="Times New Roman"/>
                <w:sz w:val="20"/>
                <w:szCs w:val="20"/>
                <w:lang w:eastAsia="pt-BR"/>
              </w:rPr>
              <w:t>agulha</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2,5cm</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cilíndrica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caixa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com 24 envelopes.</w:t>
            </w:r>
          </w:p>
        </w:tc>
        <w:tc>
          <w:tcPr>
            <w:tcW w:w="1047" w:type="dxa"/>
            <w:vAlign w:val="center"/>
          </w:tcPr>
          <w:p w14:paraId="3471251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73A89D92">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w:t>
            </w:r>
          </w:p>
        </w:tc>
      </w:tr>
      <w:tr w14:paraId="4FCB6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133A754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58</w:t>
            </w:r>
          </w:p>
        </w:tc>
        <w:tc>
          <w:tcPr>
            <w:tcW w:w="6206" w:type="dxa"/>
            <w:vAlign w:val="center"/>
          </w:tcPr>
          <w:p w14:paraId="44B1C802">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Fio</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sutura</w:t>
            </w:r>
            <w:r>
              <w:rPr>
                <w:rFonts w:ascii="Cambria" w:hAnsi="Cambria" w:eastAsia="Calibri" w:cs="Times New Roman"/>
                <w:spacing w:val="-10"/>
                <w:sz w:val="22"/>
                <w:szCs w:val="22"/>
                <w:lang w:eastAsia="pt-BR"/>
              </w:rPr>
              <w:t xml:space="preserve"> </w:t>
            </w:r>
            <w:r>
              <w:rPr>
                <w:rFonts w:ascii="Cambria" w:hAnsi="Cambria" w:eastAsia="Calibri" w:cs="Times New Roman"/>
                <w:sz w:val="20"/>
                <w:szCs w:val="20"/>
                <w:lang w:eastAsia="pt-BR"/>
              </w:rPr>
              <w:t>linho</w:t>
            </w:r>
            <w:r>
              <w:rPr>
                <w:rFonts w:ascii="Cambria" w:hAnsi="Cambria" w:eastAsia="Calibri" w:cs="Times New Roman"/>
                <w:spacing w:val="-2"/>
                <w:sz w:val="22"/>
                <w:szCs w:val="22"/>
                <w:lang w:eastAsia="pt-BR"/>
              </w:rPr>
              <w:t xml:space="preserve"> </w:t>
            </w:r>
            <w:r>
              <w:rPr>
                <w:rFonts w:ascii="Cambria" w:hAnsi="Cambria" w:eastAsia="Calibri" w:cs="Times New Roman"/>
                <w:sz w:val="22"/>
                <w:szCs w:val="22"/>
                <w:lang w:eastAsia="pt-BR"/>
              </w:rPr>
              <w:t>1,</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com</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agulha</w:t>
            </w:r>
            <w:r>
              <w:rPr>
                <w:rFonts w:ascii="Cambria" w:hAnsi="Cambria" w:eastAsia="Calibri" w:cs="Times New Roman"/>
                <w:spacing w:val="-10"/>
                <w:sz w:val="22"/>
                <w:szCs w:val="22"/>
                <w:lang w:eastAsia="pt-BR"/>
              </w:rPr>
              <w:t xml:space="preserve"> </w:t>
            </w:r>
            <w:r>
              <w:rPr>
                <w:rFonts w:ascii="Cambria" w:hAnsi="Cambria" w:eastAsia="Calibri" w:cs="Times New Roman"/>
                <w:sz w:val="20"/>
                <w:szCs w:val="20"/>
                <w:lang w:eastAsia="pt-BR"/>
              </w:rPr>
              <w:t>3cm,</w:t>
            </w:r>
            <w:r>
              <w:rPr>
                <w:rFonts w:ascii="Cambria" w:hAnsi="Cambria" w:eastAsia="Calibri" w:cs="Times New Roman"/>
                <w:spacing w:val="-35"/>
                <w:sz w:val="22"/>
                <w:szCs w:val="22"/>
                <w:lang w:eastAsia="pt-BR"/>
              </w:rPr>
              <w:t xml:space="preserve"> </w:t>
            </w:r>
            <w:r>
              <w:rPr>
                <w:rFonts w:ascii="Cambria" w:hAnsi="Cambria" w:eastAsia="Calibri" w:cs="Times New Roman"/>
                <w:sz w:val="20"/>
                <w:szCs w:val="20"/>
                <w:lang w:eastAsia="pt-BR"/>
              </w:rPr>
              <w:t>caixa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contendo 24 envelopes</w:t>
            </w:r>
          </w:p>
        </w:tc>
        <w:tc>
          <w:tcPr>
            <w:tcW w:w="1047" w:type="dxa"/>
            <w:vAlign w:val="center"/>
          </w:tcPr>
          <w:p w14:paraId="7352DCCD">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4CED89C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w:t>
            </w:r>
          </w:p>
        </w:tc>
      </w:tr>
      <w:tr w14:paraId="149C3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485312F5">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59</w:t>
            </w:r>
          </w:p>
        </w:tc>
        <w:tc>
          <w:tcPr>
            <w:tcW w:w="6206" w:type="dxa"/>
            <w:vAlign w:val="center"/>
          </w:tcPr>
          <w:p w14:paraId="360B2230">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Fio</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sutura</w:t>
            </w:r>
            <w:r>
              <w:rPr>
                <w:rFonts w:ascii="Cambria" w:hAnsi="Cambria" w:eastAsia="Calibri" w:cs="Times New Roman"/>
                <w:spacing w:val="-10"/>
                <w:sz w:val="22"/>
                <w:szCs w:val="22"/>
                <w:lang w:eastAsia="pt-BR"/>
              </w:rPr>
              <w:t xml:space="preserve"> </w:t>
            </w:r>
            <w:r>
              <w:rPr>
                <w:rFonts w:ascii="Cambria" w:hAnsi="Cambria" w:eastAsia="Calibri" w:cs="Times New Roman"/>
                <w:sz w:val="20"/>
                <w:szCs w:val="20"/>
                <w:lang w:eastAsia="pt-BR"/>
              </w:rPr>
              <w:t>linho</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0,</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com</w:t>
            </w:r>
            <w:r>
              <w:rPr>
                <w:rFonts w:ascii="Cambria" w:hAnsi="Cambria" w:eastAsia="Calibri" w:cs="Times New Roman"/>
                <w:spacing w:val="-10"/>
                <w:sz w:val="22"/>
                <w:szCs w:val="22"/>
                <w:lang w:eastAsia="pt-BR"/>
              </w:rPr>
              <w:t xml:space="preserve"> </w:t>
            </w:r>
            <w:r>
              <w:rPr>
                <w:rFonts w:ascii="Cambria" w:hAnsi="Cambria" w:eastAsia="Calibri" w:cs="Times New Roman"/>
                <w:sz w:val="20"/>
                <w:szCs w:val="20"/>
                <w:lang w:eastAsia="pt-BR"/>
              </w:rPr>
              <w:t>agulha</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2"/>
                <w:sz w:val="22"/>
                <w:szCs w:val="22"/>
                <w:lang w:eastAsia="pt-BR"/>
              </w:rPr>
              <w:t xml:space="preserve"> </w:t>
            </w:r>
            <w:r>
              <w:rPr>
                <w:rFonts w:ascii="Cambria" w:hAnsi="Cambria" w:eastAsia="Calibri" w:cs="Times New Roman"/>
                <w:sz w:val="22"/>
                <w:szCs w:val="22"/>
                <w:lang w:eastAsia="pt-BR"/>
              </w:rPr>
              <w:t>3</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cm,</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cilíndrica, caixa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contendo 24 envelopes.</w:t>
            </w:r>
          </w:p>
        </w:tc>
        <w:tc>
          <w:tcPr>
            <w:tcW w:w="1047" w:type="dxa"/>
            <w:vAlign w:val="center"/>
          </w:tcPr>
          <w:p w14:paraId="642B557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6D7AA1C0">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w:t>
            </w:r>
          </w:p>
        </w:tc>
      </w:tr>
      <w:tr w14:paraId="27968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47C4935A">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60</w:t>
            </w:r>
          </w:p>
        </w:tc>
        <w:tc>
          <w:tcPr>
            <w:tcW w:w="6206" w:type="dxa"/>
            <w:vAlign w:val="center"/>
          </w:tcPr>
          <w:p w14:paraId="5B55CB8B">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Sonda</w:t>
            </w:r>
            <w:r>
              <w:rPr>
                <w:rFonts w:ascii="Cambria" w:hAnsi="Cambria" w:eastAsia="Calibri" w:cs="Times New Roman"/>
                <w:spacing w:val="-8"/>
                <w:sz w:val="22"/>
                <w:szCs w:val="22"/>
                <w:lang w:eastAsia="pt-BR"/>
              </w:rPr>
              <w:t xml:space="preserve"> </w:t>
            </w:r>
            <w:r>
              <w:rPr>
                <w:rFonts w:ascii="Cambria" w:hAnsi="Cambria" w:eastAsia="Calibri" w:cs="Times New Roman"/>
                <w:spacing w:val="-1"/>
                <w:sz w:val="20"/>
                <w:szCs w:val="20"/>
                <w:lang w:eastAsia="pt-BR"/>
              </w:rPr>
              <w:t>nasogástrica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longa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n° 08 - caixa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com 10 unidades</w:t>
            </w:r>
          </w:p>
        </w:tc>
        <w:tc>
          <w:tcPr>
            <w:tcW w:w="1047" w:type="dxa"/>
            <w:vAlign w:val="center"/>
          </w:tcPr>
          <w:p w14:paraId="056E8A43">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7CBADBF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300</w:t>
            </w:r>
          </w:p>
        </w:tc>
      </w:tr>
      <w:tr w14:paraId="05004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5B37C9F">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61</w:t>
            </w:r>
          </w:p>
        </w:tc>
        <w:tc>
          <w:tcPr>
            <w:tcW w:w="6206" w:type="dxa"/>
            <w:vAlign w:val="center"/>
          </w:tcPr>
          <w:p w14:paraId="61C0C836">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Fio</w:t>
            </w:r>
            <w:r>
              <w:rPr>
                <w:rFonts w:ascii="Cambria" w:hAnsi="Cambria" w:eastAsia="Calibri" w:cs="Times New Roman"/>
                <w:sz w:val="22"/>
                <w:szCs w:val="22"/>
                <w:lang w:eastAsia="pt-BR"/>
              </w:rPr>
              <w:t xml:space="preserve"> </w:t>
            </w:r>
            <w:r>
              <w:rPr>
                <w:rFonts w:ascii="Cambria" w:hAnsi="Cambria" w:eastAsia="Calibri" w:cs="Times New Roman"/>
                <w:spacing w:val="-1"/>
                <w:sz w:val="20"/>
                <w:szCs w:val="20"/>
                <w:lang w:eastAsia="pt-BR"/>
              </w:rPr>
              <w:t>de</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sutura</w:t>
            </w:r>
            <w:r>
              <w:rPr>
                <w:rFonts w:ascii="Cambria" w:hAnsi="Cambria" w:eastAsia="Calibri" w:cs="Times New Roman"/>
                <w:spacing w:val="-16"/>
                <w:sz w:val="22"/>
                <w:szCs w:val="22"/>
                <w:lang w:eastAsia="pt-BR"/>
              </w:rPr>
              <w:t xml:space="preserve"> </w:t>
            </w:r>
            <w:r>
              <w:rPr>
                <w:rFonts w:ascii="Cambria" w:hAnsi="Cambria" w:eastAsia="Calibri" w:cs="Times New Roman"/>
                <w:spacing w:val="-1"/>
                <w:sz w:val="20"/>
                <w:szCs w:val="20"/>
                <w:lang w:eastAsia="pt-BR"/>
              </w:rPr>
              <w:t>absorvível</w:t>
            </w:r>
            <w:r>
              <w:rPr>
                <w:rFonts w:ascii="Cambria" w:hAnsi="Cambria" w:eastAsia="Calibri" w:cs="Times New Roman"/>
                <w:spacing w:val="-6"/>
                <w:sz w:val="22"/>
                <w:szCs w:val="22"/>
                <w:lang w:eastAsia="pt-BR"/>
              </w:rPr>
              <w:t xml:space="preserve"> </w:t>
            </w:r>
            <w:r>
              <w:rPr>
                <w:rFonts w:ascii="Cambria" w:hAnsi="Cambria" w:eastAsia="Calibri" w:cs="Times New Roman"/>
                <w:sz w:val="20"/>
                <w:szCs w:val="20"/>
                <w:lang w:eastAsia="pt-BR"/>
              </w:rPr>
              <w:t>poliglactina</w:t>
            </w:r>
            <w:r>
              <w:rPr>
                <w:rFonts w:ascii="Cambria" w:hAnsi="Cambria" w:eastAsia="Calibri" w:cs="Times New Roman"/>
                <w:spacing w:val="-7"/>
                <w:sz w:val="22"/>
                <w:szCs w:val="22"/>
                <w:lang w:eastAsia="pt-BR"/>
              </w:rPr>
              <w:t xml:space="preserve"> </w:t>
            </w:r>
            <w:r>
              <w:rPr>
                <w:rFonts w:ascii="Cambria" w:hAnsi="Cambria" w:eastAsia="Calibri" w:cs="Times New Roman"/>
                <w:sz w:val="22"/>
                <w:szCs w:val="22"/>
                <w:lang w:eastAsia="pt-BR"/>
              </w:rPr>
              <w:t>3.0,</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agulha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3 cm, cilíndrica</w:t>
            </w:r>
          </w:p>
        </w:tc>
        <w:tc>
          <w:tcPr>
            <w:tcW w:w="1047" w:type="dxa"/>
            <w:vAlign w:val="center"/>
          </w:tcPr>
          <w:p w14:paraId="3BCDA16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5AB5A17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30</w:t>
            </w:r>
          </w:p>
        </w:tc>
      </w:tr>
      <w:tr w14:paraId="2E6CE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761CD860">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62</w:t>
            </w:r>
          </w:p>
        </w:tc>
        <w:tc>
          <w:tcPr>
            <w:tcW w:w="6206" w:type="dxa"/>
            <w:vAlign w:val="center"/>
          </w:tcPr>
          <w:p w14:paraId="4BA5D755">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Cateter</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intravenoso</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periférico</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18g</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x</w:t>
            </w:r>
            <w:r>
              <w:rPr>
                <w:rFonts w:ascii="Cambria" w:hAnsi="Cambria" w:eastAsia="Calibri" w:cs="Times New Roman"/>
                <w:spacing w:val="-7"/>
                <w:sz w:val="22"/>
                <w:szCs w:val="22"/>
                <w:lang w:eastAsia="pt-BR"/>
              </w:rPr>
              <w:t xml:space="preserve"> </w:t>
            </w:r>
            <w:r>
              <w:rPr>
                <w:rFonts w:ascii="Cambria" w:hAnsi="Cambria" w:eastAsia="Calibri" w:cs="Times New Roman"/>
                <w:sz w:val="22"/>
                <w:szCs w:val="22"/>
                <w:lang w:eastAsia="pt-BR"/>
              </w:rPr>
              <w:t>50</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mm, com dispositivo de proteção,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composto de cânula em vialon -</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radiopaco e transparente agulha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eletripolida com ponta em "v" e bisel</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trifacetado, sistema de segurança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ergonômico, alerta indicadora da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posição do bisel e câmara de refluxo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transparente com filtro poroso,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embalagem: caixa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com 100 unidades.</w:t>
            </w:r>
          </w:p>
        </w:tc>
        <w:tc>
          <w:tcPr>
            <w:tcW w:w="1047" w:type="dxa"/>
            <w:vAlign w:val="center"/>
          </w:tcPr>
          <w:p w14:paraId="3442A67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7BF984E9">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30</w:t>
            </w:r>
          </w:p>
        </w:tc>
      </w:tr>
      <w:tr w14:paraId="17B20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224375D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63</w:t>
            </w:r>
          </w:p>
        </w:tc>
        <w:tc>
          <w:tcPr>
            <w:tcW w:w="6206" w:type="dxa"/>
            <w:vAlign w:val="center"/>
          </w:tcPr>
          <w:p w14:paraId="110D1C71">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Filme</w:t>
            </w:r>
            <w:r>
              <w:rPr>
                <w:rFonts w:ascii="Cambria" w:hAnsi="Cambria" w:eastAsia="Calibri" w:cs="Times New Roman"/>
                <w:spacing w:val="-2"/>
                <w:sz w:val="22"/>
                <w:szCs w:val="22"/>
                <w:lang w:eastAsia="pt-BR"/>
              </w:rPr>
              <w:t xml:space="preserve"> </w:t>
            </w:r>
            <w:r>
              <w:rPr>
                <w:rFonts w:ascii="Cambria" w:hAnsi="Cambria" w:eastAsia="Calibri" w:cs="Times New Roman"/>
                <w:spacing w:val="-1"/>
                <w:sz w:val="20"/>
                <w:szCs w:val="20"/>
                <w:lang w:eastAsia="pt-BR"/>
              </w:rPr>
              <w:t>dry</w:t>
            </w:r>
            <w:r>
              <w:rPr>
                <w:rFonts w:ascii="Cambria" w:hAnsi="Cambria" w:eastAsia="Calibri" w:cs="Times New Roman"/>
                <w:spacing w:val="-5"/>
                <w:sz w:val="22"/>
                <w:szCs w:val="22"/>
                <w:lang w:eastAsia="pt-BR"/>
              </w:rPr>
              <w:t xml:space="preserve"> </w:t>
            </w:r>
            <w:r>
              <w:rPr>
                <w:rFonts w:ascii="Cambria" w:hAnsi="Cambria" w:eastAsia="Calibri" w:cs="Times New Roman"/>
                <w:spacing w:val="-1"/>
                <w:sz w:val="20"/>
                <w:szCs w:val="20"/>
                <w:lang w:eastAsia="pt-BR"/>
              </w:rPr>
              <w:t xml:space="preserve">dt-2b, </w:t>
            </w:r>
            <w:r>
              <w:rPr>
                <w:rFonts w:ascii="Cambria" w:hAnsi="Cambria" w:eastAsia="Calibri" w:cs="Times New Roman"/>
                <w:sz w:val="20"/>
                <w:szCs w:val="20"/>
                <w:lang w:eastAsia="pt-BR"/>
              </w:rPr>
              <w:t>25x30</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cm</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(10x12''),</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caixa</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com</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100 pls.</w:t>
            </w:r>
          </w:p>
        </w:tc>
        <w:tc>
          <w:tcPr>
            <w:tcW w:w="1047" w:type="dxa"/>
            <w:vAlign w:val="center"/>
          </w:tcPr>
          <w:p w14:paraId="3F08D24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50779C3F">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50</w:t>
            </w:r>
          </w:p>
        </w:tc>
      </w:tr>
      <w:tr w14:paraId="48F48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24DF6661">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64</w:t>
            </w:r>
          </w:p>
        </w:tc>
        <w:tc>
          <w:tcPr>
            <w:tcW w:w="6206" w:type="dxa"/>
            <w:vAlign w:val="center"/>
          </w:tcPr>
          <w:p w14:paraId="29674C5D">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2"/>
                <w:szCs w:val="22"/>
                <w:lang w:eastAsia="pt-BR"/>
              </w:rPr>
              <w:t>Seringa 10ml c/ Agulha 25x7 (Corpo transparente;</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cilindro</w:t>
            </w:r>
            <w:r>
              <w:rPr>
                <w:rFonts w:ascii="Cambria" w:hAnsi="Cambria" w:eastAsia="Calibri" w:cs="Times New Roman"/>
                <w:spacing w:val="-3"/>
                <w:sz w:val="22"/>
                <w:szCs w:val="22"/>
                <w:lang w:eastAsia="pt-BR"/>
              </w:rPr>
              <w:t xml:space="preserve"> </w:t>
            </w:r>
            <w:r>
              <w:rPr>
                <w:rFonts w:ascii="Cambria" w:hAnsi="Cambria" w:eastAsia="Calibri" w:cs="Times New Roman"/>
                <w:sz w:val="22"/>
                <w:szCs w:val="22"/>
                <w:lang w:eastAsia="pt-BR"/>
              </w:rPr>
              <w:t>com</w:t>
            </w:r>
            <w:r>
              <w:rPr>
                <w:rFonts w:ascii="Cambria" w:hAnsi="Cambria" w:eastAsia="Calibri" w:cs="Times New Roman"/>
                <w:spacing w:val="-3"/>
                <w:sz w:val="22"/>
                <w:szCs w:val="22"/>
                <w:lang w:eastAsia="pt-BR"/>
              </w:rPr>
              <w:t xml:space="preserve"> </w:t>
            </w:r>
            <w:r>
              <w:rPr>
                <w:rFonts w:ascii="Cambria" w:hAnsi="Cambria" w:eastAsia="Calibri" w:cs="Times New Roman"/>
                <w:sz w:val="22"/>
                <w:szCs w:val="22"/>
                <w:lang w:eastAsia="pt-BR"/>
              </w:rPr>
              <w:t>anel</w:t>
            </w:r>
            <w:r>
              <w:rPr>
                <w:rFonts w:ascii="Cambria" w:hAnsi="Cambria" w:eastAsia="Calibri" w:cs="Times New Roman"/>
                <w:spacing w:val="-3"/>
                <w:sz w:val="22"/>
                <w:szCs w:val="22"/>
                <w:lang w:eastAsia="pt-BR"/>
              </w:rPr>
              <w:t xml:space="preserve"> </w:t>
            </w:r>
            <w:r>
              <w:rPr>
                <w:rFonts w:ascii="Cambria" w:hAnsi="Cambria" w:eastAsia="Calibri" w:cs="Times New Roman"/>
                <w:sz w:val="22"/>
                <w:szCs w:val="22"/>
                <w:lang w:eastAsia="pt-BR"/>
              </w:rPr>
              <w:t>de</w:t>
            </w:r>
            <w:r>
              <w:rPr>
                <w:rFonts w:ascii="Cambria" w:hAnsi="Cambria" w:eastAsia="Calibri" w:cs="Times New Roman"/>
                <w:spacing w:val="-3"/>
                <w:sz w:val="22"/>
                <w:szCs w:val="22"/>
                <w:lang w:eastAsia="pt-BR"/>
              </w:rPr>
              <w:t xml:space="preserve"> </w:t>
            </w:r>
            <w:r>
              <w:rPr>
                <w:rFonts w:ascii="Cambria" w:hAnsi="Cambria" w:eastAsia="Calibri" w:cs="Times New Roman"/>
                <w:sz w:val="22"/>
                <w:szCs w:val="22"/>
                <w:lang w:eastAsia="pt-BR"/>
              </w:rPr>
              <w:t>retenção.</w:t>
            </w:r>
            <w:r>
              <w:rPr>
                <w:rFonts w:ascii="Cambria" w:hAnsi="Cambria" w:eastAsia="Calibri" w:cs="Times New Roman"/>
                <w:spacing w:val="-3"/>
                <w:sz w:val="22"/>
                <w:szCs w:val="22"/>
                <w:lang w:eastAsia="pt-BR"/>
              </w:rPr>
              <w:t xml:space="preserve"> </w:t>
            </w:r>
            <w:r>
              <w:rPr>
                <w:rFonts w:ascii="Cambria" w:hAnsi="Cambria" w:eastAsia="Calibri" w:cs="Times New Roman"/>
                <w:sz w:val="22"/>
                <w:szCs w:val="22"/>
                <w:lang w:eastAsia="pt-BR"/>
              </w:rPr>
              <w:t>Siliconada,</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embaladas</w:t>
            </w:r>
            <w:r>
              <w:rPr>
                <w:rFonts w:ascii="Cambria" w:hAnsi="Cambria" w:eastAsia="Calibri" w:cs="Times New Roman"/>
                <w:spacing w:val="-36"/>
                <w:sz w:val="22"/>
                <w:szCs w:val="22"/>
                <w:lang w:eastAsia="pt-BR"/>
              </w:rPr>
              <w:t xml:space="preserve"> </w:t>
            </w:r>
            <w:r>
              <w:rPr>
                <w:rFonts w:ascii="Cambria" w:hAnsi="Cambria" w:eastAsia="Calibri" w:cs="Times New Roman"/>
                <w:sz w:val="22"/>
                <w:szCs w:val="22"/>
                <w:lang w:eastAsia="pt-BR"/>
              </w:rPr>
              <w:t>individualmente em blister de filme termoplástico +</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papel grau cirúrgico, seladas termicamente.). Com</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dispositivo de segurança em atendimento à NR32.</w:t>
            </w:r>
          </w:p>
        </w:tc>
        <w:tc>
          <w:tcPr>
            <w:tcW w:w="1047" w:type="dxa"/>
            <w:vAlign w:val="center"/>
          </w:tcPr>
          <w:p w14:paraId="7AE95D4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65AD6B2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40.000</w:t>
            </w:r>
          </w:p>
        </w:tc>
      </w:tr>
      <w:tr w14:paraId="220C2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68ED511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65</w:t>
            </w:r>
          </w:p>
        </w:tc>
        <w:tc>
          <w:tcPr>
            <w:tcW w:w="6206" w:type="dxa"/>
            <w:vAlign w:val="center"/>
          </w:tcPr>
          <w:p w14:paraId="734CAE41">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Seringa</w:t>
            </w:r>
            <w:r>
              <w:rPr>
                <w:rFonts w:ascii="Cambria" w:hAnsi="Cambria" w:eastAsia="Calibri" w:cs="Times New Roman"/>
                <w:spacing w:val="-9"/>
                <w:sz w:val="22"/>
                <w:szCs w:val="22"/>
                <w:lang w:eastAsia="pt-BR"/>
              </w:rPr>
              <w:t xml:space="preserve"> </w:t>
            </w:r>
            <w:r>
              <w:rPr>
                <w:rFonts w:ascii="Cambria" w:hAnsi="Cambria" w:eastAsia="Calibri" w:cs="Times New Roman"/>
                <w:spacing w:val="-1"/>
                <w:sz w:val="20"/>
                <w:szCs w:val="20"/>
                <w:lang w:eastAsia="pt-BR"/>
              </w:rPr>
              <w:t>1ml</w:t>
            </w:r>
            <w:r>
              <w:rPr>
                <w:rFonts w:ascii="Cambria" w:hAnsi="Cambria" w:eastAsia="Calibri" w:cs="Times New Roman"/>
                <w:spacing w:val="-7"/>
                <w:sz w:val="22"/>
                <w:szCs w:val="22"/>
                <w:lang w:eastAsia="pt-BR"/>
              </w:rPr>
              <w:t xml:space="preserve"> </w:t>
            </w:r>
            <w:r>
              <w:rPr>
                <w:rFonts w:ascii="Cambria" w:hAnsi="Cambria" w:eastAsia="Calibri" w:cs="Times New Roman"/>
                <w:spacing w:val="-1"/>
                <w:sz w:val="20"/>
                <w:szCs w:val="20"/>
                <w:lang w:eastAsia="pt-BR"/>
              </w:rPr>
              <w:t>c/</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agulha</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13x3,8</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tuberculínica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para vacina bcg, graduada. C/100</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unidades. Corpo transparente, cilindro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com anel de retenção, siliconada,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embaladas individualmente em blister de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filme termoplástico + papel grau</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cirúrgico, seladas</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termicamente.</w:t>
            </w:r>
          </w:p>
        </w:tc>
        <w:tc>
          <w:tcPr>
            <w:tcW w:w="1047" w:type="dxa"/>
            <w:vAlign w:val="center"/>
          </w:tcPr>
          <w:p w14:paraId="5FC5D7B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43F17B18">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300</w:t>
            </w:r>
          </w:p>
        </w:tc>
      </w:tr>
      <w:tr w14:paraId="38F45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47FFCAA5">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66</w:t>
            </w:r>
          </w:p>
        </w:tc>
        <w:tc>
          <w:tcPr>
            <w:tcW w:w="6206" w:type="dxa"/>
            <w:vAlign w:val="center"/>
          </w:tcPr>
          <w:p w14:paraId="3B0DF7F4">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2"/>
                <w:sz w:val="20"/>
                <w:szCs w:val="20"/>
                <w:lang w:eastAsia="pt-BR"/>
              </w:rPr>
              <w:t>Fralda</w:t>
            </w:r>
            <w:r>
              <w:rPr>
                <w:rFonts w:ascii="Cambria" w:hAnsi="Cambria" w:eastAsia="Calibri" w:cs="Times New Roman"/>
                <w:spacing w:val="-8"/>
                <w:sz w:val="22"/>
                <w:szCs w:val="22"/>
                <w:lang w:eastAsia="pt-BR"/>
              </w:rPr>
              <w:t xml:space="preserve"> </w:t>
            </w:r>
            <w:r>
              <w:rPr>
                <w:rFonts w:ascii="Cambria" w:hAnsi="Cambria" w:eastAsia="Calibri" w:cs="Times New Roman"/>
                <w:spacing w:val="-2"/>
                <w:sz w:val="20"/>
                <w:szCs w:val="20"/>
                <w:lang w:eastAsia="pt-BR"/>
              </w:rPr>
              <w:t>infantil, tamanho</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p,</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com</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barreiras</w:t>
            </w:r>
            <w:r>
              <w:rPr>
                <w:rFonts w:ascii="Cambria" w:hAnsi="Cambria" w:eastAsia="Calibri" w:cs="Times New Roman"/>
                <w:spacing w:val="-36"/>
                <w:sz w:val="22"/>
                <w:szCs w:val="22"/>
                <w:lang w:eastAsia="pt-BR"/>
              </w:rPr>
              <w:t xml:space="preserve"> </w:t>
            </w:r>
            <w:r>
              <w:rPr>
                <w:rFonts w:ascii="Cambria" w:hAnsi="Cambria" w:eastAsia="Calibri" w:cs="Times New Roman"/>
                <w:spacing w:val="-2"/>
                <w:sz w:val="20"/>
                <w:szCs w:val="20"/>
                <w:lang w:eastAsia="pt-BR"/>
              </w:rPr>
              <w:t xml:space="preserve">laterais </w:t>
            </w:r>
            <w:r>
              <w:rPr>
                <w:rFonts w:ascii="Cambria" w:hAnsi="Cambria" w:eastAsia="Calibri" w:cs="Times New Roman"/>
                <w:spacing w:val="-1"/>
                <w:sz w:val="20"/>
                <w:szCs w:val="20"/>
                <w:lang w:eastAsia="pt-BR"/>
              </w:rPr>
              <w:t>e antivazamento, fita multiuso</w:t>
            </w:r>
            <w:r>
              <w:rPr>
                <w:rFonts w:ascii="Cambria" w:hAnsi="Cambria" w:eastAsia="Calibri" w:cs="Times New Roman"/>
                <w:sz w:val="22"/>
                <w:szCs w:val="22"/>
                <w:lang w:eastAsia="pt-BR"/>
              </w:rPr>
              <w:t xml:space="preserve"> </w:t>
            </w:r>
            <w:r>
              <w:rPr>
                <w:rFonts w:ascii="Cambria" w:hAnsi="Cambria" w:eastAsia="Calibri" w:cs="Times New Roman"/>
                <w:spacing w:val="-2"/>
                <w:sz w:val="20"/>
                <w:szCs w:val="20"/>
                <w:lang w:eastAsia="pt-BR"/>
              </w:rPr>
              <w:t xml:space="preserve">ajustável, </w:t>
            </w:r>
            <w:r>
              <w:rPr>
                <w:rFonts w:ascii="Cambria" w:hAnsi="Cambria" w:eastAsia="Calibri" w:cs="Times New Roman"/>
                <w:spacing w:val="-1"/>
                <w:sz w:val="20"/>
                <w:szCs w:val="20"/>
                <w:lang w:eastAsia="pt-BR"/>
              </w:rPr>
              <w:t>elásticos ajustáveis na perna,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corte anatômico e antimicol, com 10</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unidades</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o pacote.</w:t>
            </w:r>
          </w:p>
        </w:tc>
        <w:tc>
          <w:tcPr>
            <w:tcW w:w="1047" w:type="dxa"/>
            <w:vAlign w:val="center"/>
          </w:tcPr>
          <w:p w14:paraId="21EE2794">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P</w:t>
            </w:r>
            <w:r>
              <w:rPr>
                <w:rFonts w:ascii="Cambria" w:hAnsi="Cambria" w:eastAsia="Calibri" w:cs="Times New Roman"/>
                <w:sz w:val="20"/>
                <w:szCs w:val="20"/>
                <w:lang w:eastAsia="pt-BR"/>
              </w:rPr>
              <w:t>ct</w:t>
            </w:r>
          </w:p>
        </w:tc>
        <w:tc>
          <w:tcPr>
            <w:tcW w:w="1417" w:type="dxa"/>
            <w:vAlign w:val="center"/>
          </w:tcPr>
          <w:p w14:paraId="48712DBC">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100</w:t>
            </w:r>
          </w:p>
        </w:tc>
      </w:tr>
      <w:tr w14:paraId="46411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11D5D4AF">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67</w:t>
            </w:r>
          </w:p>
        </w:tc>
        <w:tc>
          <w:tcPr>
            <w:tcW w:w="6206" w:type="dxa"/>
            <w:vAlign w:val="center"/>
          </w:tcPr>
          <w:p w14:paraId="534CF372">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Válvula reguladora cilíndrica 2</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manômetros. Pressão de entrada: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máximo</w:t>
            </w:r>
            <w:r>
              <w:rPr>
                <w:rFonts w:ascii="Cambria" w:hAnsi="Cambria" w:eastAsia="Calibri" w:cs="Times New Roman"/>
                <w:spacing w:val="-3"/>
                <w:sz w:val="22"/>
                <w:szCs w:val="22"/>
                <w:lang w:eastAsia="pt-BR"/>
              </w:rPr>
              <w:t xml:space="preserve"> </w:t>
            </w:r>
            <w:r>
              <w:rPr>
                <w:rFonts w:ascii="Cambria" w:hAnsi="Cambria" w:eastAsia="Calibri" w:cs="Times New Roman"/>
                <w:sz w:val="22"/>
                <w:szCs w:val="22"/>
                <w:lang w:eastAsia="pt-BR"/>
              </w:rPr>
              <w:t>200</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kgf/cm²</w:t>
            </w:r>
            <w:r>
              <w:rPr>
                <w:rFonts w:ascii="Cambria" w:hAnsi="Cambria" w:eastAsia="Calibri" w:cs="Times New Roman"/>
                <w:spacing w:val="-2"/>
                <w:sz w:val="22"/>
                <w:szCs w:val="22"/>
                <w:lang w:eastAsia="pt-BR"/>
              </w:rPr>
              <w:t xml:space="preserve"> </w:t>
            </w:r>
            <w:r>
              <w:rPr>
                <w:rFonts w:ascii="Cambria" w:hAnsi="Cambria" w:eastAsia="Calibri" w:cs="Times New Roman"/>
                <w:sz w:val="22"/>
                <w:szCs w:val="22"/>
                <w:lang w:eastAsia="pt-BR"/>
              </w:rPr>
              <w:t>-</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pressão</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saída:</w:t>
            </w:r>
            <w:r>
              <w:rPr>
                <w:rFonts w:ascii="Cambria" w:hAnsi="Cambria" w:eastAsia="Calibri" w:cs="Times New Roman"/>
                <w:spacing w:val="-3"/>
                <w:sz w:val="22"/>
                <w:szCs w:val="22"/>
                <w:lang w:eastAsia="pt-BR"/>
              </w:rPr>
              <w:t xml:space="preserve"> </w:t>
            </w:r>
            <w:r>
              <w:rPr>
                <w:rFonts w:ascii="Cambria" w:hAnsi="Cambria" w:eastAsia="Calibri" w:cs="Times New Roman"/>
                <w:sz w:val="22"/>
                <w:szCs w:val="22"/>
                <w:lang w:eastAsia="pt-BR"/>
              </w:rPr>
              <w:t xml:space="preserve">3,5 </w:t>
            </w:r>
            <w:r>
              <w:rPr>
                <w:rFonts w:ascii="Cambria" w:hAnsi="Cambria" w:eastAsia="Calibri" w:cs="Times New Roman"/>
                <w:sz w:val="20"/>
                <w:szCs w:val="20"/>
                <w:lang w:eastAsia="pt-BR"/>
              </w:rPr>
              <w:t>±0,3 kgf/cm² - escala do manômetro: 0 a 16</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kgf/cm² 0</w:t>
            </w:r>
            <w:r>
              <w:rPr>
                <w:rFonts w:ascii="Cambria" w:hAnsi="Cambria" w:eastAsia="Calibri" w:cs="Times New Roman"/>
                <w:spacing w:val="-9"/>
                <w:sz w:val="22"/>
                <w:szCs w:val="22"/>
                <w:lang w:eastAsia="pt-BR"/>
              </w:rPr>
              <w:t xml:space="preserve"> </w:t>
            </w:r>
            <w:r>
              <w:rPr>
                <w:rFonts w:ascii="Cambria" w:hAnsi="Cambria" w:eastAsia="Calibri" w:cs="Times New Roman"/>
                <w:spacing w:val="-1"/>
                <w:sz w:val="20"/>
                <w:szCs w:val="20"/>
                <w:lang w:eastAsia="pt-BR"/>
              </w:rPr>
              <w:t>a</w:t>
            </w:r>
            <w:r>
              <w:rPr>
                <w:rFonts w:ascii="Cambria" w:hAnsi="Cambria" w:eastAsia="Calibri" w:cs="Times New Roman"/>
                <w:spacing w:val="-9"/>
                <w:sz w:val="22"/>
                <w:szCs w:val="22"/>
                <w:lang w:eastAsia="pt-BR"/>
              </w:rPr>
              <w:t xml:space="preserve"> </w:t>
            </w:r>
            <w:r>
              <w:rPr>
                <w:rFonts w:ascii="Cambria" w:hAnsi="Cambria" w:eastAsia="Calibri" w:cs="Times New Roman"/>
                <w:spacing w:val="-1"/>
                <w:sz w:val="20"/>
                <w:szCs w:val="20"/>
                <w:lang w:eastAsia="pt-BR"/>
              </w:rPr>
              <w:t>315 kgf/cm²</w:t>
            </w:r>
            <w:r>
              <w:rPr>
                <w:rFonts w:ascii="Cambria" w:hAnsi="Cambria" w:eastAsia="Calibri" w:cs="Times New Roman"/>
                <w:sz w:val="22"/>
                <w:szCs w:val="22"/>
                <w:lang w:eastAsia="pt-BR"/>
              </w:rPr>
              <w:t xml:space="preserve"> </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material</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utilizado:</w:t>
            </w:r>
            <w:r>
              <w:rPr>
                <w:rFonts w:ascii="Cambria" w:hAnsi="Cambria" w:eastAsia="Calibri" w:cs="Times New Roman"/>
                <w:spacing w:val="-36"/>
                <w:sz w:val="22"/>
                <w:szCs w:val="22"/>
                <w:lang w:eastAsia="pt-BR"/>
              </w:rPr>
              <w:t xml:space="preserve"> </w:t>
            </w:r>
            <w:r>
              <w:rPr>
                <w:rFonts w:ascii="Cambria" w:hAnsi="Cambria" w:eastAsia="Calibri" w:cs="Times New Roman"/>
                <w:spacing w:val="-1"/>
                <w:sz w:val="20"/>
                <w:szCs w:val="20"/>
                <w:lang w:eastAsia="pt-BR"/>
              </w:rPr>
              <w:t>latão</w:t>
            </w:r>
            <w:r>
              <w:rPr>
                <w:rFonts w:ascii="Cambria" w:hAnsi="Cambria" w:eastAsia="Calibri" w:cs="Times New Roman"/>
                <w:spacing w:val="-2"/>
                <w:sz w:val="22"/>
                <w:szCs w:val="22"/>
                <w:lang w:eastAsia="pt-BR"/>
              </w:rPr>
              <w:t xml:space="preserve"> </w:t>
            </w:r>
            <w:r>
              <w:rPr>
                <w:rFonts w:ascii="Cambria" w:hAnsi="Cambria" w:eastAsia="Calibri" w:cs="Times New Roman"/>
                <w:spacing w:val="-1"/>
                <w:sz w:val="20"/>
                <w:szCs w:val="20"/>
                <w:lang w:eastAsia="pt-BR"/>
              </w:rPr>
              <w:t xml:space="preserve">cromado </w:t>
            </w:r>
            <w:r>
              <w:rPr>
                <w:rFonts w:ascii="Cambria" w:hAnsi="Cambria" w:eastAsia="Calibri" w:cs="Times New Roman"/>
                <w:sz w:val="22"/>
                <w:szCs w:val="22"/>
                <w:lang w:eastAsia="pt-BR"/>
              </w:rPr>
              <w:t>-</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válvula</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alívio:</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10,0</w:t>
            </w:r>
            <w:r>
              <w:rPr>
                <w:rFonts w:ascii="Cambria" w:hAnsi="Cambria" w:eastAsia="Calibri" w:cs="Times New Roman"/>
                <w:spacing w:val="-2"/>
                <w:sz w:val="22"/>
                <w:szCs w:val="22"/>
                <w:lang w:eastAsia="pt-BR"/>
              </w:rPr>
              <w:t xml:space="preserve"> </w:t>
            </w:r>
            <w:r>
              <w:rPr>
                <w:rFonts w:ascii="Cambria" w:hAnsi="Cambria" w:eastAsia="Calibri" w:cs="Times New Roman"/>
                <w:sz w:val="22"/>
                <w:szCs w:val="22"/>
                <w:lang w:eastAsia="pt-BR"/>
              </w:rPr>
              <w:t>±0,4</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kgf/cm² - conexões de entrada e saída:</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conforme a norma </w:t>
            </w:r>
            <w:r>
              <w:rPr>
                <w:rFonts w:ascii="Cambria" w:hAnsi="Cambria" w:eastAsia="Calibri" w:cs="Times New Roman"/>
                <w:sz w:val="20"/>
                <w:szCs w:val="20"/>
                <w:lang w:eastAsia="pt-BR"/>
              </w:rPr>
              <w:t>abnt nbr 11.725 - tipos</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de gás: oxigênio, ar comprimido, óxido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nitroso, gás carbônico e nitrogênio. *</w:t>
            </w:r>
          </w:p>
        </w:tc>
        <w:tc>
          <w:tcPr>
            <w:tcW w:w="1047" w:type="dxa"/>
            <w:vAlign w:val="center"/>
          </w:tcPr>
          <w:p w14:paraId="4A244D41">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6DB4A594">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w:t>
            </w:r>
          </w:p>
        </w:tc>
      </w:tr>
      <w:tr w14:paraId="28F30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4B5C411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68</w:t>
            </w:r>
          </w:p>
        </w:tc>
        <w:tc>
          <w:tcPr>
            <w:tcW w:w="6206" w:type="dxa"/>
            <w:vAlign w:val="center"/>
          </w:tcPr>
          <w:p w14:paraId="2D3B070C">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 xml:space="preserve">Luva cirúrgica 6,5 anatômica, </w:t>
            </w:r>
            <w:r>
              <w:rPr>
                <w:rFonts w:ascii="Cambria" w:hAnsi="Cambria" w:eastAsia="Calibri" w:cs="Times New Roman"/>
                <w:sz w:val="20"/>
                <w:szCs w:val="20"/>
                <w:lang w:eastAsia="pt-BR"/>
              </w:rPr>
              <w:t>superfície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micro texturizada na extremidade dos</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dedos, levemente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talcada, esterilizada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por</w:t>
            </w:r>
            <w:r>
              <w:rPr>
                <w:rFonts w:ascii="Cambria" w:hAnsi="Cambria" w:eastAsia="Calibri" w:cs="Times New Roman"/>
                <w:spacing w:val="-5"/>
                <w:sz w:val="22"/>
                <w:szCs w:val="22"/>
                <w:lang w:eastAsia="pt-BR"/>
              </w:rPr>
              <w:t xml:space="preserve"> </w:t>
            </w:r>
            <w:r>
              <w:rPr>
                <w:rFonts w:ascii="Cambria" w:hAnsi="Cambria" w:eastAsia="Calibri" w:cs="Times New Roman"/>
                <w:sz w:val="20"/>
                <w:szCs w:val="20"/>
                <w:lang w:eastAsia="pt-BR"/>
              </w:rPr>
              <w:t>raio</w:t>
            </w:r>
            <w:r>
              <w:rPr>
                <w:rFonts w:ascii="Cambria" w:hAnsi="Cambria" w:eastAsia="Calibri" w:cs="Times New Roman"/>
                <w:spacing w:val="-4"/>
                <w:sz w:val="22"/>
                <w:szCs w:val="22"/>
                <w:lang w:eastAsia="pt-BR"/>
              </w:rPr>
              <w:t xml:space="preserve"> </w:t>
            </w:r>
            <w:r>
              <w:rPr>
                <w:rFonts w:ascii="Cambria" w:hAnsi="Cambria" w:eastAsia="Calibri" w:cs="Times New Roman"/>
                <w:sz w:val="20"/>
                <w:szCs w:val="20"/>
                <w:lang w:eastAsia="pt-BR"/>
              </w:rPr>
              <w:t>gama.</w:t>
            </w:r>
            <w:r>
              <w:rPr>
                <w:rFonts w:ascii="Cambria" w:hAnsi="Cambria" w:eastAsia="Calibri" w:cs="Times New Roman"/>
                <w:spacing w:val="-4"/>
                <w:sz w:val="22"/>
                <w:szCs w:val="22"/>
                <w:lang w:eastAsia="pt-BR"/>
              </w:rPr>
              <w:t xml:space="preserve"> </w:t>
            </w:r>
            <w:r>
              <w:rPr>
                <w:rFonts w:ascii="Cambria" w:hAnsi="Cambria" w:eastAsia="Calibri" w:cs="Times New Roman"/>
                <w:sz w:val="20"/>
                <w:szCs w:val="20"/>
                <w:lang w:eastAsia="pt-BR"/>
              </w:rPr>
              <w:t>Embalagem</w:t>
            </w:r>
            <w:r>
              <w:rPr>
                <w:rFonts w:ascii="Cambria" w:hAnsi="Cambria" w:eastAsia="Calibri" w:cs="Times New Roman"/>
                <w:spacing w:val="-4"/>
                <w:sz w:val="22"/>
                <w:szCs w:val="22"/>
                <w:lang w:eastAsia="pt-BR"/>
              </w:rPr>
              <w:t xml:space="preserve"> </w:t>
            </w:r>
            <w:r>
              <w:rPr>
                <w:rFonts w:ascii="Cambria" w:hAnsi="Cambria" w:eastAsia="Calibri" w:cs="Times New Roman"/>
                <w:sz w:val="20"/>
                <w:szCs w:val="20"/>
                <w:lang w:eastAsia="pt-BR"/>
              </w:rPr>
              <w:t>em</w:t>
            </w:r>
            <w:r>
              <w:rPr>
                <w:rFonts w:ascii="Cambria" w:hAnsi="Cambria" w:eastAsia="Calibri" w:cs="Times New Roman"/>
                <w:spacing w:val="-5"/>
                <w:sz w:val="22"/>
                <w:szCs w:val="22"/>
                <w:lang w:eastAsia="pt-BR"/>
              </w:rPr>
              <w:t xml:space="preserve"> </w:t>
            </w:r>
            <w:r>
              <w:rPr>
                <w:rFonts w:ascii="Cambria" w:hAnsi="Cambria" w:eastAsia="Calibri" w:cs="Times New Roman"/>
                <w:sz w:val="20"/>
                <w:szCs w:val="20"/>
                <w:lang w:eastAsia="pt-BR"/>
              </w:rPr>
              <w:t>papel</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grau</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cirúrgico.</w:t>
            </w:r>
          </w:p>
        </w:tc>
        <w:tc>
          <w:tcPr>
            <w:tcW w:w="1047" w:type="dxa"/>
            <w:vAlign w:val="center"/>
          </w:tcPr>
          <w:p w14:paraId="4C8A2775">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Pr</w:t>
            </w:r>
          </w:p>
        </w:tc>
        <w:tc>
          <w:tcPr>
            <w:tcW w:w="1417" w:type="dxa"/>
            <w:vAlign w:val="center"/>
          </w:tcPr>
          <w:p w14:paraId="6B189402">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2.000</w:t>
            </w:r>
          </w:p>
        </w:tc>
      </w:tr>
      <w:tr w14:paraId="739FF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0F984F51">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69</w:t>
            </w:r>
          </w:p>
        </w:tc>
        <w:tc>
          <w:tcPr>
            <w:tcW w:w="6206" w:type="dxa"/>
            <w:vAlign w:val="center"/>
          </w:tcPr>
          <w:p w14:paraId="6127803C">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Agulha hipodérmica, cânula em aço inox,</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cilíndrica-oca-reta, com pereira</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adaptação universal ao canhão, </w:t>
            </w:r>
            <w:r>
              <w:rPr>
                <w:rFonts w:ascii="Cambria" w:hAnsi="Cambria" w:eastAsia="Calibri" w:cs="Times New Roman"/>
                <w:sz w:val="20"/>
                <w:szCs w:val="20"/>
                <w:lang w:eastAsia="pt-BR"/>
              </w:rPr>
              <w:t>espaço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morto reduzido no canhão,</w:t>
            </w:r>
            <w:r>
              <w:rPr>
                <w:rFonts w:ascii="Cambria" w:hAnsi="Cambria" w:eastAsia="Calibri" w:cs="Times New Roman"/>
                <w:spacing w:val="1"/>
                <w:sz w:val="22"/>
                <w:szCs w:val="22"/>
                <w:lang w:eastAsia="pt-BR"/>
              </w:rPr>
              <w:t xml:space="preserve"> </w:t>
            </w:r>
            <w:r>
              <w:rPr>
                <w:rFonts w:ascii="Cambria" w:hAnsi="Cambria" w:eastAsia="Calibri" w:cs="Times New Roman"/>
                <w:spacing w:val="-2"/>
                <w:sz w:val="20"/>
                <w:szCs w:val="20"/>
                <w:lang w:eastAsia="pt-BR"/>
              </w:rPr>
              <w:t xml:space="preserve">biseltrifacetado </w:t>
            </w:r>
            <w:r>
              <w:rPr>
                <w:rFonts w:ascii="Cambria" w:hAnsi="Cambria" w:eastAsia="Calibri" w:cs="Times New Roman"/>
                <w:spacing w:val="-1"/>
                <w:sz w:val="20"/>
                <w:szCs w:val="20"/>
                <w:lang w:eastAsia="pt-BR"/>
              </w:rPr>
              <w:t>com a ponta afiada,</w:t>
            </w:r>
            <w:r>
              <w:rPr>
                <w:rFonts w:ascii="Cambria" w:hAnsi="Cambria" w:eastAsia="Calibri" w:cs="Times New Roman"/>
                <w:sz w:val="20"/>
                <w:szCs w:val="20"/>
                <w:lang w:eastAsia="pt-BR"/>
              </w:rPr>
              <w:t xml:space="preserve"> canhão e protetor na cor vermelha em</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polipropileno </w:t>
            </w:r>
            <w:r>
              <w:rPr>
                <w:rFonts w:ascii="Cambria" w:hAnsi="Cambria" w:eastAsia="Calibri" w:cs="Times New Roman"/>
                <w:sz w:val="20"/>
                <w:szCs w:val="20"/>
                <w:lang w:eastAsia="pt-BR"/>
              </w:rPr>
              <w:t>atóxico, com protetor em</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polipropileno atóxico em dispositivo de</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segurança</w:t>
            </w:r>
            <w:r>
              <w:rPr>
                <w:rFonts w:ascii="Cambria" w:hAnsi="Cambria" w:eastAsia="Calibri" w:cs="Times New Roman"/>
                <w:spacing w:val="-16"/>
                <w:sz w:val="22"/>
                <w:szCs w:val="22"/>
                <w:lang w:eastAsia="pt-BR"/>
              </w:rPr>
              <w:t xml:space="preserve"> </w:t>
            </w:r>
            <w:r>
              <w:rPr>
                <w:rFonts w:ascii="Cambria" w:hAnsi="Cambria" w:eastAsia="Calibri" w:cs="Times New Roman"/>
                <w:spacing w:val="-1"/>
                <w:sz w:val="20"/>
                <w:szCs w:val="20"/>
                <w:lang w:eastAsia="pt-BR"/>
              </w:rPr>
              <w:t>acoplado</w:t>
            </w:r>
            <w:r>
              <w:rPr>
                <w:rFonts w:ascii="Cambria" w:hAnsi="Cambria" w:eastAsia="Calibri" w:cs="Times New Roman"/>
                <w:sz w:val="20"/>
                <w:szCs w:val="20"/>
                <w:lang w:eastAsia="pt-BR"/>
              </w:rPr>
              <w:t xml:space="preserve"> que impeça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o reuso,</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calibre 20 x 5,5, estéril, uso descartável,</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embalado em material que promova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barreira microbiana e abertura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asséptica.</w:t>
            </w:r>
            <w:r>
              <w:rPr>
                <w:rFonts w:ascii="Cambria" w:hAnsi="Cambria" w:eastAsia="Calibri" w:cs="Times New Roman"/>
                <w:spacing w:val="-2"/>
                <w:sz w:val="22"/>
                <w:szCs w:val="22"/>
                <w:lang w:eastAsia="pt-BR"/>
              </w:rPr>
              <w:t xml:space="preserve"> </w:t>
            </w:r>
            <w:r>
              <w:rPr>
                <w:rFonts w:ascii="Cambria" w:hAnsi="Cambria" w:eastAsia="Calibri" w:cs="Times New Roman"/>
                <w:sz w:val="22"/>
                <w:szCs w:val="22"/>
                <w:lang w:eastAsia="pt-BR"/>
              </w:rPr>
              <w:t>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material</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deverá</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obedecer</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a</w:t>
            </w:r>
            <w:r>
              <w:rPr>
                <w:rFonts w:ascii="Cambria" w:hAnsi="Cambria" w:eastAsia="Calibri" w:cs="Times New Roman"/>
                <w:spacing w:val="-9"/>
                <w:sz w:val="22"/>
                <w:szCs w:val="22"/>
                <w:lang w:eastAsia="pt-BR"/>
              </w:rPr>
              <w:t xml:space="preserve"> </w:t>
            </w:r>
            <w:r>
              <w:rPr>
                <w:rFonts w:ascii="Cambria" w:hAnsi="Cambria" w:eastAsia="Calibri" w:cs="Times New Roman"/>
                <w:spacing w:val="-1"/>
                <w:sz w:val="20"/>
                <w:szCs w:val="20"/>
                <w:lang w:eastAsia="pt-BR"/>
              </w:rPr>
              <w:t>legislação</w:t>
            </w:r>
            <w:r>
              <w:rPr>
                <w:rFonts w:ascii="Cambria" w:hAnsi="Cambria" w:eastAsia="Calibri" w:cs="Times New Roman"/>
                <w:sz w:val="22"/>
                <w:szCs w:val="22"/>
                <w:lang w:eastAsia="pt-BR"/>
              </w:rPr>
              <w:t xml:space="preserve"> </w:t>
            </w:r>
            <w:r>
              <w:rPr>
                <w:rFonts w:ascii="Cambria" w:hAnsi="Cambria" w:eastAsia="Calibri" w:cs="Times New Roman"/>
                <w:spacing w:val="-1"/>
                <w:sz w:val="20"/>
                <w:szCs w:val="20"/>
                <w:lang w:eastAsia="pt-BR"/>
              </w:rPr>
              <w:t>vigente</w:t>
            </w:r>
            <w:r>
              <w:rPr>
                <w:rFonts w:ascii="Cambria" w:hAnsi="Cambria" w:eastAsia="Calibri" w:cs="Times New Roman"/>
                <w:spacing w:val="-9"/>
                <w:sz w:val="22"/>
                <w:szCs w:val="22"/>
                <w:lang w:eastAsia="pt-BR"/>
              </w:rPr>
              <w:t xml:space="preserve"> </w:t>
            </w:r>
            <w:r>
              <w:rPr>
                <w:rFonts w:ascii="Cambria" w:hAnsi="Cambria" w:eastAsia="Calibri" w:cs="Times New Roman"/>
                <w:spacing w:val="-1"/>
                <w:sz w:val="20"/>
                <w:szCs w:val="20"/>
                <w:lang w:eastAsia="pt-BR"/>
              </w:rPr>
              <w:t>atual.</w:t>
            </w:r>
            <w:r>
              <w:rPr>
                <w:rFonts w:ascii="Cambria" w:hAnsi="Cambria" w:eastAsia="Calibri" w:cs="Times New Roman"/>
                <w:sz w:val="20"/>
                <w:szCs w:val="20"/>
                <w:lang w:eastAsia="pt-BR"/>
              </w:rPr>
              <w:t xml:space="preserve"> Caixa</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com 100</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unidades.</w:t>
            </w:r>
          </w:p>
        </w:tc>
        <w:tc>
          <w:tcPr>
            <w:tcW w:w="1047" w:type="dxa"/>
            <w:vAlign w:val="center"/>
          </w:tcPr>
          <w:p w14:paraId="436F654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C</w:t>
            </w:r>
            <w:r>
              <w:rPr>
                <w:rFonts w:ascii="Cambria" w:hAnsi="Cambria" w:eastAsia="Calibri" w:cs="Times New Roman"/>
                <w:sz w:val="20"/>
                <w:szCs w:val="20"/>
                <w:lang w:eastAsia="pt-BR"/>
              </w:rPr>
              <w:t>x</w:t>
            </w:r>
          </w:p>
        </w:tc>
        <w:tc>
          <w:tcPr>
            <w:tcW w:w="1417" w:type="dxa"/>
            <w:vAlign w:val="center"/>
          </w:tcPr>
          <w:p w14:paraId="238D025A">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300</w:t>
            </w:r>
          </w:p>
        </w:tc>
      </w:tr>
      <w:tr w14:paraId="0E5B3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B6B4EB0">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70</w:t>
            </w:r>
          </w:p>
        </w:tc>
        <w:tc>
          <w:tcPr>
            <w:tcW w:w="6206" w:type="dxa"/>
            <w:vAlign w:val="center"/>
          </w:tcPr>
          <w:p w14:paraId="3EB68D14">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Agulha hipodérmica, cânula em aço inox,</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cilíndrica-oca-reta, com perfeita</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adaptação universal ao canhão, </w:t>
            </w:r>
            <w:r>
              <w:rPr>
                <w:rFonts w:ascii="Cambria" w:hAnsi="Cambria" w:eastAsia="Calibri" w:cs="Times New Roman"/>
                <w:sz w:val="20"/>
                <w:szCs w:val="20"/>
                <w:lang w:eastAsia="pt-BR"/>
              </w:rPr>
              <w:t>espaço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morto reduzido no canhão,</w:t>
            </w:r>
            <w:r>
              <w:rPr>
                <w:rFonts w:ascii="Cambria" w:hAnsi="Cambria" w:eastAsia="Calibri" w:cs="Times New Roman"/>
                <w:spacing w:val="1"/>
                <w:sz w:val="22"/>
                <w:szCs w:val="22"/>
                <w:lang w:eastAsia="pt-BR"/>
              </w:rPr>
              <w:t xml:space="preserve"> </w:t>
            </w:r>
            <w:r>
              <w:rPr>
                <w:rFonts w:ascii="Cambria" w:hAnsi="Cambria" w:eastAsia="Calibri" w:cs="Times New Roman"/>
                <w:spacing w:val="-2"/>
                <w:sz w:val="20"/>
                <w:szCs w:val="20"/>
                <w:lang w:eastAsia="pt-BR"/>
              </w:rPr>
              <w:t xml:space="preserve">biseltrifacetado </w:t>
            </w:r>
            <w:r>
              <w:rPr>
                <w:rFonts w:ascii="Cambria" w:hAnsi="Cambria" w:eastAsia="Calibri" w:cs="Times New Roman"/>
                <w:spacing w:val="-1"/>
                <w:sz w:val="20"/>
                <w:szCs w:val="20"/>
                <w:lang w:eastAsia="pt-BR"/>
              </w:rPr>
              <w:t>com a ponta afiada,</w:t>
            </w:r>
            <w:r>
              <w:rPr>
                <w:rFonts w:ascii="Cambria" w:hAnsi="Cambria" w:eastAsia="Calibri" w:cs="Times New Roman"/>
                <w:sz w:val="20"/>
                <w:szCs w:val="20"/>
                <w:lang w:eastAsia="pt-BR"/>
              </w:rPr>
              <w:t xml:space="preserve"> canhão e protetor na cor rosa em</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polipropileno </w:t>
            </w:r>
            <w:r>
              <w:rPr>
                <w:rFonts w:ascii="Cambria" w:hAnsi="Cambria" w:eastAsia="Calibri" w:cs="Times New Roman"/>
                <w:sz w:val="20"/>
                <w:szCs w:val="20"/>
                <w:lang w:eastAsia="pt-BR"/>
              </w:rPr>
              <w:t>atóxico, com protetor em</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polipropileno atóxico em dispositivo de</w:t>
            </w:r>
            <w:r>
              <w:rPr>
                <w:rFonts w:ascii="Cambria" w:hAnsi="Cambria" w:eastAsia="Calibri" w:cs="Times New Roman"/>
                <w:spacing w:val="1"/>
                <w:sz w:val="22"/>
                <w:szCs w:val="22"/>
                <w:lang w:eastAsia="pt-BR"/>
              </w:rPr>
              <w:t xml:space="preserve"> </w:t>
            </w:r>
            <w:r>
              <w:rPr>
                <w:rFonts w:ascii="Cambria" w:hAnsi="Cambria" w:eastAsia="Calibri" w:cs="Times New Roman"/>
                <w:w w:val="95"/>
                <w:sz w:val="20"/>
                <w:szCs w:val="20"/>
                <w:lang w:eastAsia="pt-BR"/>
              </w:rPr>
              <w:t>segurança acoplado</w:t>
            </w:r>
            <w:r>
              <w:rPr>
                <w:rFonts w:ascii="Cambria" w:hAnsi="Cambria" w:eastAsia="Calibri" w:cs="Times New Roman"/>
                <w:spacing w:val="1"/>
                <w:w w:val="95"/>
                <w:sz w:val="22"/>
                <w:szCs w:val="22"/>
                <w:lang w:eastAsia="pt-BR"/>
              </w:rPr>
              <w:t xml:space="preserve"> </w:t>
            </w:r>
            <w:r>
              <w:rPr>
                <w:rFonts w:ascii="Cambria" w:hAnsi="Cambria" w:eastAsia="Calibri" w:cs="Times New Roman"/>
                <w:w w:val="95"/>
                <w:sz w:val="20"/>
                <w:szCs w:val="20"/>
                <w:lang w:eastAsia="pt-BR"/>
              </w:rPr>
              <w:t>que</w:t>
            </w:r>
            <w:r>
              <w:rPr>
                <w:rFonts w:ascii="Cambria" w:hAnsi="Cambria" w:eastAsia="Calibri" w:cs="Times New Roman"/>
                <w:spacing w:val="1"/>
                <w:w w:val="95"/>
                <w:sz w:val="22"/>
                <w:szCs w:val="22"/>
                <w:lang w:eastAsia="pt-BR"/>
              </w:rPr>
              <w:t xml:space="preserve"> </w:t>
            </w:r>
            <w:r>
              <w:rPr>
                <w:rFonts w:ascii="Cambria" w:hAnsi="Cambria" w:eastAsia="Calibri" w:cs="Times New Roman"/>
                <w:w w:val="95"/>
                <w:sz w:val="20"/>
                <w:szCs w:val="20"/>
                <w:lang w:eastAsia="pt-BR"/>
              </w:rPr>
              <w:t>impeça</w:t>
            </w:r>
            <w:r>
              <w:rPr>
                <w:rFonts w:ascii="Cambria" w:hAnsi="Cambria" w:eastAsia="Calibri" w:cs="Times New Roman"/>
                <w:spacing w:val="1"/>
                <w:w w:val="95"/>
                <w:sz w:val="22"/>
                <w:szCs w:val="22"/>
                <w:lang w:eastAsia="pt-BR"/>
              </w:rPr>
              <w:t xml:space="preserve"> </w:t>
            </w:r>
            <w:r>
              <w:rPr>
                <w:rFonts w:ascii="Cambria" w:hAnsi="Cambria" w:eastAsia="Calibri" w:cs="Times New Roman"/>
                <w:w w:val="95"/>
                <w:sz w:val="20"/>
                <w:szCs w:val="20"/>
                <w:lang w:eastAsia="pt-BR"/>
              </w:rPr>
              <w:t>o</w:t>
            </w:r>
            <w:r>
              <w:rPr>
                <w:rFonts w:ascii="Cambria" w:hAnsi="Cambria" w:eastAsia="Calibri" w:cs="Times New Roman"/>
                <w:spacing w:val="1"/>
                <w:w w:val="95"/>
                <w:sz w:val="22"/>
                <w:szCs w:val="22"/>
                <w:lang w:eastAsia="pt-BR"/>
              </w:rPr>
              <w:t xml:space="preserve"> </w:t>
            </w:r>
            <w:r>
              <w:rPr>
                <w:rFonts w:ascii="Cambria" w:hAnsi="Cambria" w:eastAsia="Calibri" w:cs="Times New Roman"/>
                <w:w w:val="95"/>
                <w:sz w:val="20"/>
                <w:szCs w:val="20"/>
                <w:lang w:eastAsia="pt-BR"/>
              </w:rPr>
              <w:t>reuso,</w:t>
            </w:r>
            <w:r>
              <w:rPr>
                <w:rFonts w:ascii="Cambria" w:hAnsi="Cambria" w:eastAsia="Calibri" w:cs="Times New Roman"/>
                <w:spacing w:val="-34"/>
                <w:w w:val="95"/>
                <w:sz w:val="22"/>
                <w:szCs w:val="22"/>
                <w:lang w:eastAsia="pt-BR"/>
              </w:rPr>
              <w:t xml:space="preserve"> </w:t>
            </w:r>
            <w:r>
              <w:rPr>
                <w:rFonts w:ascii="Cambria" w:hAnsi="Cambria" w:eastAsia="Calibri" w:cs="Times New Roman"/>
                <w:sz w:val="20"/>
                <w:szCs w:val="20"/>
                <w:lang w:eastAsia="pt-BR"/>
              </w:rPr>
              <w:t>calibre</w:t>
            </w:r>
            <w:r>
              <w:rPr>
                <w:rFonts w:ascii="Cambria" w:hAnsi="Cambria" w:eastAsia="Calibri" w:cs="Times New Roman"/>
                <w:spacing w:val="-4"/>
                <w:sz w:val="22"/>
                <w:szCs w:val="22"/>
                <w:lang w:eastAsia="pt-BR"/>
              </w:rPr>
              <w:t xml:space="preserve"> </w:t>
            </w:r>
            <w:r>
              <w:rPr>
                <w:rFonts w:ascii="Cambria" w:hAnsi="Cambria" w:eastAsia="Calibri" w:cs="Times New Roman"/>
                <w:sz w:val="22"/>
                <w:szCs w:val="22"/>
                <w:lang w:eastAsia="pt-BR"/>
              </w:rPr>
              <w:t>40</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x</w:t>
            </w:r>
            <w:r>
              <w:rPr>
                <w:rFonts w:ascii="Cambria" w:hAnsi="Cambria" w:eastAsia="Calibri" w:cs="Times New Roman"/>
                <w:spacing w:val="-3"/>
                <w:sz w:val="22"/>
                <w:szCs w:val="22"/>
                <w:lang w:eastAsia="pt-BR"/>
              </w:rPr>
              <w:t xml:space="preserve"> </w:t>
            </w:r>
            <w:r>
              <w:rPr>
                <w:rFonts w:ascii="Cambria" w:hAnsi="Cambria" w:eastAsia="Calibri" w:cs="Times New Roman"/>
                <w:sz w:val="22"/>
                <w:szCs w:val="22"/>
                <w:lang w:eastAsia="pt-BR"/>
              </w:rPr>
              <w:t>12,0</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estéril,</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uso</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descartável,</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embalado em material que promova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barreira microbiana e abertura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asséptica. O material deverá obedecer 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legislação vigente atual. Caixa com 100</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unidades.</w:t>
            </w:r>
          </w:p>
        </w:tc>
        <w:tc>
          <w:tcPr>
            <w:tcW w:w="1047" w:type="dxa"/>
            <w:vAlign w:val="center"/>
          </w:tcPr>
          <w:p w14:paraId="7C4F1B9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01E3770F">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400</w:t>
            </w:r>
          </w:p>
        </w:tc>
      </w:tr>
      <w:tr w14:paraId="4D371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CFD57C0">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71</w:t>
            </w:r>
          </w:p>
        </w:tc>
        <w:tc>
          <w:tcPr>
            <w:tcW w:w="6206" w:type="dxa"/>
            <w:vAlign w:val="center"/>
          </w:tcPr>
          <w:p w14:paraId="7E1C4C7E">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Agulha hipodérmica, cânula em aço inox,</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cilíndrica-oca-reta, com perfeita</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adaptação universal ao canhão, </w:t>
            </w:r>
            <w:r>
              <w:rPr>
                <w:rFonts w:ascii="Cambria" w:hAnsi="Cambria" w:eastAsia="Calibri" w:cs="Times New Roman"/>
                <w:sz w:val="20"/>
                <w:szCs w:val="20"/>
                <w:lang w:eastAsia="pt-BR"/>
              </w:rPr>
              <w:t>espaço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morto reduzido no canhão,</w:t>
            </w:r>
            <w:r>
              <w:rPr>
                <w:rFonts w:ascii="Cambria" w:hAnsi="Cambria" w:eastAsia="Calibri" w:cs="Times New Roman"/>
                <w:spacing w:val="1"/>
                <w:sz w:val="22"/>
                <w:szCs w:val="22"/>
                <w:lang w:eastAsia="pt-BR"/>
              </w:rPr>
              <w:t xml:space="preserve"> </w:t>
            </w:r>
            <w:r>
              <w:rPr>
                <w:rFonts w:ascii="Cambria" w:hAnsi="Cambria" w:eastAsia="Calibri" w:cs="Times New Roman"/>
                <w:spacing w:val="-2"/>
                <w:sz w:val="20"/>
                <w:szCs w:val="20"/>
                <w:lang w:eastAsia="pt-BR"/>
              </w:rPr>
              <w:t xml:space="preserve">biseltrifacetado </w:t>
            </w:r>
            <w:r>
              <w:rPr>
                <w:rFonts w:ascii="Cambria" w:hAnsi="Cambria" w:eastAsia="Calibri" w:cs="Times New Roman"/>
                <w:spacing w:val="-1"/>
                <w:sz w:val="20"/>
                <w:szCs w:val="20"/>
                <w:lang w:eastAsia="pt-BR"/>
              </w:rPr>
              <w:t>com a ponta afiada,</w:t>
            </w:r>
            <w:r>
              <w:rPr>
                <w:rFonts w:ascii="Cambria" w:hAnsi="Cambria" w:eastAsia="Calibri" w:cs="Times New Roman"/>
                <w:sz w:val="20"/>
                <w:szCs w:val="20"/>
                <w:lang w:eastAsia="pt-BR"/>
              </w:rPr>
              <w:t xml:space="preserve"> canhão e protetor na cor preta em</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polipropileno </w:t>
            </w:r>
            <w:r>
              <w:rPr>
                <w:rFonts w:ascii="Cambria" w:hAnsi="Cambria" w:eastAsia="Calibri" w:cs="Times New Roman"/>
                <w:sz w:val="20"/>
                <w:szCs w:val="20"/>
                <w:lang w:eastAsia="pt-BR"/>
              </w:rPr>
              <w:t>atóxico, com protetor em</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polipropileno atóxico em dispositivo de</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segurança</w:t>
            </w:r>
            <w:r>
              <w:rPr>
                <w:rFonts w:ascii="Cambria" w:hAnsi="Cambria" w:eastAsia="Calibri" w:cs="Times New Roman"/>
                <w:spacing w:val="-16"/>
                <w:sz w:val="22"/>
                <w:szCs w:val="22"/>
                <w:lang w:eastAsia="pt-BR"/>
              </w:rPr>
              <w:t xml:space="preserve"> </w:t>
            </w:r>
            <w:r>
              <w:rPr>
                <w:rFonts w:ascii="Cambria" w:hAnsi="Cambria" w:eastAsia="Calibri" w:cs="Times New Roman"/>
                <w:spacing w:val="-1"/>
                <w:sz w:val="20"/>
                <w:szCs w:val="20"/>
                <w:lang w:eastAsia="pt-BR"/>
              </w:rPr>
              <w:t>acoplado</w:t>
            </w:r>
            <w:r>
              <w:rPr>
                <w:rFonts w:ascii="Cambria" w:hAnsi="Cambria" w:eastAsia="Calibri" w:cs="Times New Roman"/>
                <w:sz w:val="20"/>
                <w:szCs w:val="20"/>
                <w:lang w:eastAsia="pt-BR"/>
              </w:rPr>
              <w:t xml:space="preserve"> que impeça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o reuso,</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calibre 25 x 7,0, estéril, uso descartável,</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embalado em material que promova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barreira microbiana e abertura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asséptica. O material deverá obedecer 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legislação vigente atual. Caixa com 100</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unidades.</w:t>
            </w:r>
          </w:p>
        </w:tc>
        <w:tc>
          <w:tcPr>
            <w:tcW w:w="1047" w:type="dxa"/>
            <w:vAlign w:val="center"/>
          </w:tcPr>
          <w:p w14:paraId="1EAF859F">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C</w:t>
            </w:r>
            <w:r>
              <w:rPr>
                <w:rFonts w:ascii="Cambria" w:hAnsi="Cambria" w:eastAsia="Calibri" w:cs="Times New Roman"/>
                <w:sz w:val="20"/>
                <w:szCs w:val="20"/>
                <w:lang w:eastAsia="pt-BR"/>
              </w:rPr>
              <w:t>x</w:t>
            </w:r>
          </w:p>
        </w:tc>
        <w:tc>
          <w:tcPr>
            <w:tcW w:w="1417" w:type="dxa"/>
            <w:vAlign w:val="center"/>
          </w:tcPr>
          <w:p w14:paraId="4EA5E460">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300</w:t>
            </w:r>
          </w:p>
        </w:tc>
      </w:tr>
      <w:tr w14:paraId="70894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5C2600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72</w:t>
            </w:r>
          </w:p>
        </w:tc>
        <w:tc>
          <w:tcPr>
            <w:tcW w:w="6206" w:type="dxa"/>
            <w:vAlign w:val="center"/>
          </w:tcPr>
          <w:p w14:paraId="1CEBDDA4">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2"/>
                <w:szCs w:val="22"/>
                <w:lang w:eastAsia="pt-BR"/>
              </w:rPr>
              <w:t>Sonda Endotraqueal nº 2,0 com balão</w:t>
            </w:r>
          </w:p>
        </w:tc>
        <w:tc>
          <w:tcPr>
            <w:tcW w:w="1047" w:type="dxa"/>
            <w:vAlign w:val="center"/>
          </w:tcPr>
          <w:p w14:paraId="1FA2AD4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3EDE4852">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60</w:t>
            </w:r>
          </w:p>
        </w:tc>
      </w:tr>
      <w:tr w14:paraId="42346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EB12AF3">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73</w:t>
            </w:r>
          </w:p>
        </w:tc>
        <w:tc>
          <w:tcPr>
            <w:tcW w:w="6206" w:type="dxa"/>
            <w:vAlign w:val="center"/>
          </w:tcPr>
          <w:p w14:paraId="4DC9A62F">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2"/>
                <w:szCs w:val="22"/>
                <w:lang w:eastAsia="pt-BR"/>
              </w:rPr>
              <w:t>Termômetro</w:t>
            </w:r>
            <w:r>
              <w:rPr>
                <w:rFonts w:ascii="Cambria" w:hAnsi="Cambria" w:eastAsia="Calibri" w:cs="Times New Roman"/>
                <w:spacing w:val="-3"/>
                <w:sz w:val="22"/>
                <w:szCs w:val="22"/>
                <w:lang w:eastAsia="pt-BR"/>
              </w:rPr>
              <w:t xml:space="preserve"> </w:t>
            </w:r>
            <w:r>
              <w:rPr>
                <w:rFonts w:ascii="Cambria" w:hAnsi="Cambria" w:eastAsia="Calibri" w:cs="Times New Roman"/>
                <w:sz w:val="22"/>
                <w:szCs w:val="22"/>
                <w:lang w:eastAsia="pt-BR"/>
              </w:rPr>
              <w:t>para</w:t>
            </w:r>
            <w:r>
              <w:rPr>
                <w:rFonts w:ascii="Cambria" w:hAnsi="Cambria" w:eastAsia="Calibri" w:cs="Times New Roman"/>
                <w:spacing w:val="-2"/>
                <w:sz w:val="22"/>
                <w:szCs w:val="22"/>
                <w:lang w:eastAsia="pt-BR"/>
              </w:rPr>
              <w:t xml:space="preserve"> </w:t>
            </w:r>
            <w:r>
              <w:rPr>
                <w:rFonts w:ascii="Cambria" w:hAnsi="Cambria" w:eastAsia="Calibri" w:cs="Times New Roman"/>
                <w:sz w:val="22"/>
                <w:szCs w:val="22"/>
                <w:lang w:eastAsia="pt-BR"/>
              </w:rPr>
              <w:t>banho-maria</w:t>
            </w:r>
            <w:r>
              <w:rPr>
                <w:rFonts w:ascii="Cambria" w:hAnsi="Cambria" w:eastAsia="Calibri" w:cs="Times New Roman"/>
                <w:spacing w:val="-2"/>
                <w:sz w:val="22"/>
                <w:szCs w:val="22"/>
                <w:lang w:eastAsia="pt-BR"/>
              </w:rPr>
              <w:t xml:space="preserve"> </w:t>
            </w:r>
            <w:r>
              <w:rPr>
                <w:rFonts w:ascii="Cambria" w:hAnsi="Cambria" w:eastAsia="Calibri" w:cs="Times New Roman"/>
                <w:sz w:val="22"/>
                <w:szCs w:val="22"/>
                <w:lang w:eastAsia="pt-BR"/>
              </w:rPr>
              <w:t>-</w:t>
            </w:r>
            <w:r>
              <w:rPr>
                <w:rFonts w:ascii="Cambria" w:hAnsi="Cambria" w:eastAsia="Calibri" w:cs="Times New Roman"/>
                <w:spacing w:val="-2"/>
                <w:sz w:val="22"/>
                <w:szCs w:val="22"/>
                <w:lang w:eastAsia="pt-BR"/>
              </w:rPr>
              <w:t xml:space="preserve"> </w:t>
            </w:r>
            <w:r>
              <w:rPr>
                <w:rFonts w:ascii="Cambria" w:hAnsi="Cambria" w:eastAsia="Calibri" w:cs="Times New Roman"/>
                <w:sz w:val="22"/>
                <w:szCs w:val="22"/>
                <w:lang w:eastAsia="pt-BR"/>
              </w:rPr>
              <w:t>10°C</w:t>
            </w:r>
            <w:r>
              <w:rPr>
                <w:rFonts w:ascii="Cambria" w:hAnsi="Cambria" w:eastAsia="Calibri" w:cs="Times New Roman"/>
                <w:spacing w:val="-3"/>
                <w:sz w:val="22"/>
                <w:szCs w:val="22"/>
                <w:lang w:eastAsia="pt-BR"/>
              </w:rPr>
              <w:t xml:space="preserve"> </w:t>
            </w:r>
            <w:r>
              <w:rPr>
                <w:rFonts w:ascii="Cambria" w:hAnsi="Cambria" w:eastAsia="Calibri" w:cs="Times New Roman"/>
                <w:sz w:val="22"/>
                <w:szCs w:val="22"/>
                <w:lang w:eastAsia="pt-BR"/>
              </w:rPr>
              <w:t>a</w:t>
            </w:r>
            <w:r>
              <w:rPr>
                <w:rFonts w:ascii="Cambria" w:hAnsi="Cambria" w:eastAsia="Calibri" w:cs="Times New Roman"/>
                <w:spacing w:val="-2"/>
                <w:sz w:val="22"/>
                <w:szCs w:val="22"/>
                <w:lang w:eastAsia="pt-BR"/>
              </w:rPr>
              <w:t xml:space="preserve"> </w:t>
            </w:r>
            <w:r>
              <w:rPr>
                <w:rFonts w:ascii="Cambria" w:hAnsi="Cambria" w:eastAsia="Calibri" w:cs="Times New Roman"/>
                <w:sz w:val="22"/>
                <w:szCs w:val="22"/>
                <w:lang w:eastAsia="pt-BR"/>
              </w:rPr>
              <w:t>60°C</w:t>
            </w:r>
          </w:p>
        </w:tc>
        <w:tc>
          <w:tcPr>
            <w:tcW w:w="1047" w:type="dxa"/>
            <w:vAlign w:val="center"/>
          </w:tcPr>
          <w:p w14:paraId="4BF94738">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352E09A2">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w:t>
            </w:r>
          </w:p>
        </w:tc>
      </w:tr>
      <w:tr w14:paraId="3D3C7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6E78F11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74</w:t>
            </w:r>
          </w:p>
        </w:tc>
        <w:tc>
          <w:tcPr>
            <w:tcW w:w="6206" w:type="dxa"/>
            <w:vAlign w:val="center"/>
          </w:tcPr>
          <w:p w14:paraId="30C702BC">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Compressa de gaze não estéril 7,5x7,5cm,</w:t>
            </w:r>
            <w:r>
              <w:rPr>
                <w:rFonts w:ascii="Cambria" w:hAnsi="Cambria" w:eastAsia="Calibri" w:cs="Times New Roman"/>
                <w:spacing w:val="-36"/>
                <w:sz w:val="22"/>
                <w:szCs w:val="22"/>
                <w:lang w:eastAsia="pt-BR"/>
              </w:rPr>
              <w:t xml:space="preserve"> </w:t>
            </w:r>
            <w:r>
              <w:rPr>
                <w:rFonts w:ascii="Cambria" w:hAnsi="Cambria" w:eastAsia="Calibri" w:cs="Times New Roman"/>
                <w:spacing w:val="-1"/>
                <w:sz w:val="20"/>
                <w:szCs w:val="20"/>
                <w:lang w:eastAsia="pt-BR"/>
              </w:rPr>
              <w:t>confeccionada</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com</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fios 100%</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algodão em</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tecido tipo tela, com 8 camadas e 5</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dobras medindo 15x30cm </w:t>
            </w:r>
            <w:r>
              <w:rPr>
                <w:rFonts w:ascii="Cambria" w:hAnsi="Cambria" w:eastAsia="Calibri" w:cs="Times New Roman"/>
                <w:sz w:val="20"/>
                <w:szCs w:val="20"/>
                <w:lang w:eastAsia="pt-BR"/>
              </w:rPr>
              <w:t>quando abertas.</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São alvejadas e isentas de impurezas,</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substâncias gordurosas, amido,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corantes corretivos e alvejantes</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ópticos,</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pacote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com 500</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unidades.</w:t>
            </w:r>
          </w:p>
        </w:tc>
        <w:tc>
          <w:tcPr>
            <w:tcW w:w="1047" w:type="dxa"/>
            <w:vAlign w:val="center"/>
          </w:tcPr>
          <w:p w14:paraId="5DC0C36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Pct</w:t>
            </w:r>
          </w:p>
        </w:tc>
        <w:tc>
          <w:tcPr>
            <w:tcW w:w="1417" w:type="dxa"/>
            <w:vAlign w:val="center"/>
          </w:tcPr>
          <w:p w14:paraId="47164AB2">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4.000</w:t>
            </w:r>
          </w:p>
        </w:tc>
      </w:tr>
      <w:tr w14:paraId="193C7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3031D34">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75</w:t>
            </w:r>
          </w:p>
        </w:tc>
        <w:tc>
          <w:tcPr>
            <w:tcW w:w="6206" w:type="dxa"/>
            <w:vAlign w:val="center"/>
          </w:tcPr>
          <w:p w14:paraId="39844482">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Equipo de soro macro gotas com</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penetrador </w:t>
            </w:r>
            <w:r>
              <w:rPr>
                <w:rFonts w:ascii="Cambria" w:hAnsi="Cambria" w:eastAsia="Calibri" w:cs="Times New Roman"/>
                <w:sz w:val="20"/>
                <w:szCs w:val="20"/>
                <w:lang w:eastAsia="pt-BR"/>
              </w:rPr>
              <w:t>tri facetado com entrada de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ar</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com</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filtro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0,22</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micras,</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com</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filtro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de partículas de 15 micras, adaptação</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segura para as </w:t>
            </w:r>
            <w:r>
              <w:rPr>
                <w:rFonts w:ascii="Cambria" w:hAnsi="Cambria" w:eastAsia="Calibri" w:cs="Times New Roman"/>
                <w:sz w:val="20"/>
                <w:szCs w:val="20"/>
                <w:lang w:eastAsia="pt-BR"/>
              </w:rPr>
              <w:t>ampolas plásticas e</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frascos, câmara flexível </w:t>
            </w:r>
            <w:r>
              <w:rPr>
                <w:rFonts w:ascii="Cambria" w:hAnsi="Cambria" w:eastAsia="Calibri" w:cs="Times New Roman"/>
                <w:sz w:val="20"/>
                <w:szCs w:val="20"/>
                <w:lang w:eastAsia="pt-BR"/>
              </w:rPr>
              <w:t>cristal, tubo em</w:t>
            </w:r>
            <w:r>
              <w:rPr>
                <w:rFonts w:ascii="Cambria" w:hAnsi="Cambria" w:eastAsia="Calibri" w:cs="Times New Roman"/>
                <w:spacing w:val="-37"/>
                <w:sz w:val="22"/>
                <w:szCs w:val="22"/>
                <w:lang w:eastAsia="pt-BR"/>
              </w:rPr>
              <w:t xml:space="preserve"> </w:t>
            </w:r>
            <w:r>
              <w:rPr>
                <w:rFonts w:ascii="Cambria" w:hAnsi="Cambria" w:eastAsia="Calibri" w:cs="Times New Roman"/>
                <w:spacing w:val="-1"/>
                <w:sz w:val="20"/>
                <w:szCs w:val="20"/>
                <w:lang w:eastAsia="pt-BR"/>
              </w:rPr>
              <w:t xml:space="preserve">pvc cristal, atóxico, comprimento </w:t>
            </w:r>
            <w:r>
              <w:rPr>
                <w:rFonts w:ascii="Cambria" w:hAnsi="Cambria" w:eastAsia="Calibri" w:cs="Times New Roman"/>
                <w:sz w:val="20"/>
                <w:szCs w:val="20"/>
                <w:lang w:eastAsia="pt-BR"/>
              </w:rPr>
              <w:t>mínimo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de 1,50m, pinça rolete de alta precisão</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para controle do fluxo, </w:t>
            </w:r>
            <w:r>
              <w:rPr>
                <w:rFonts w:ascii="Cambria" w:hAnsi="Cambria" w:eastAsia="Calibri" w:cs="Times New Roman"/>
                <w:sz w:val="20"/>
                <w:szCs w:val="20"/>
                <w:lang w:eastAsia="pt-BR"/>
              </w:rPr>
              <w:t>injetor lateral</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com dispositivo valvulado para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administração de soluções que dispense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o uso de agulhas, compatível com</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conexões</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luer</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lock</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e</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luer</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slip,</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conector distal luer lock rotativo e</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reversível, com tampa protetora e filtro</w:t>
            </w:r>
            <w:r>
              <w:rPr>
                <w:rFonts w:ascii="Cambria" w:hAnsi="Cambria" w:eastAsia="Calibri" w:cs="Times New Roman"/>
                <w:spacing w:val="-36"/>
                <w:sz w:val="22"/>
                <w:szCs w:val="22"/>
                <w:lang w:eastAsia="pt-BR"/>
              </w:rPr>
              <w:t xml:space="preserve"> </w:t>
            </w:r>
            <w:r>
              <w:rPr>
                <w:rFonts w:ascii="Cambria" w:hAnsi="Cambria" w:eastAsia="Calibri" w:cs="Times New Roman"/>
                <w:spacing w:val="-1"/>
                <w:sz w:val="20"/>
                <w:szCs w:val="20"/>
                <w:lang w:eastAsia="pt-BR"/>
              </w:rPr>
              <w:t xml:space="preserve">que permita a </w:t>
            </w:r>
            <w:r>
              <w:rPr>
                <w:rFonts w:ascii="Cambria" w:hAnsi="Cambria" w:eastAsia="Calibri" w:cs="Times New Roman"/>
                <w:sz w:val="20"/>
                <w:szCs w:val="20"/>
                <w:lang w:eastAsia="pt-BR"/>
              </w:rPr>
              <w:t>realização do primming sem</w:t>
            </w:r>
            <w:r>
              <w:rPr>
                <w:rFonts w:ascii="Cambria" w:hAnsi="Cambria" w:eastAsia="Calibri" w:cs="Times New Roman"/>
                <w:spacing w:val="-36"/>
                <w:sz w:val="22"/>
                <w:szCs w:val="22"/>
                <w:lang w:eastAsia="pt-BR"/>
              </w:rPr>
              <w:t xml:space="preserve"> </w:t>
            </w:r>
            <w:r>
              <w:rPr>
                <w:rFonts w:ascii="Cambria" w:hAnsi="Cambria" w:eastAsia="Calibri" w:cs="Times New Roman"/>
                <w:spacing w:val="-1"/>
                <w:sz w:val="20"/>
                <w:szCs w:val="20"/>
                <w:lang w:eastAsia="pt-BR"/>
              </w:rPr>
              <w:t>a</w:t>
            </w:r>
            <w:r>
              <w:rPr>
                <w:rFonts w:ascii="Cambria" w:hAnsi="Cambria" w:eastAsia="Calibri" w:cs="Times New Roman"/>
                <w:spacing w:val="-8"/>
                <w:sz w:val="22"/>
                <w:szCs w:val="22"/>
                <w:lang w:eastAsia="pt-BR"/>
              </w:rPr>
              <w:t xml:space="preserve"> </w:t>
            </w:r>
            <w:r>
              <w:rPr>
                <w:rFonts w:ascii="Cambria" w:hAnsi="Cambria" w:eastAsia="Calibri" w:cs="Times New Roman"/>
                <w:spacing w:val="-1"/>
                <w:sz w:val="20"/>
                <w:szCs w:val="20"/>
                <w:lang w:eastAsia="pt-BR"/>
              </w:rPr>
              <w:t>retirada</w:t>
            </w:r>
            <w:r>
              <w:rPr>
                <w:rFonts w:ascii="Cambria" w:hAnsi="Cambria" w:eastAsia="Calibri" w:cs="Times New Roman"/>
                <w:spacing w:val="-8"/>
                <w:sz w:val="22"/>
                <w:szCs w:val="22"/>
                <w:lang w:eastAsia="pt-BR"/>
              </w:rPr>
              <w:t xml:space="preserve"> </w:t>
            </w:r>
            <w:r>
              <w:rPr>
                <w:rFonts w:ascii="Cambria" w:hAnsi="Cambria" w:eastAsia="Calibri" w:cs="Times New Roman"/>
                <w:spacing w:val="-1"/>
                <w:sz w:val="20"/>
                <w:szCs w:val="20"/>
                <w:lang w:eastAsia="pt-BR"/>
              </w:rPr>
              <w:t>da</w:t>
            </w:r>
            <w:r>
              <w:rPr>
                <w:rFonts w:ascii="Cambria" w:hAnsi="Cambria" w:eastAsia="Calibri" w:cs="Times New Roman"/>
                <w:spacing w:val="-11"/>
                <w:sz w:val="22"/>
                <w:szCs w:val="22"/>
                <w:lang w:eastAsia="pt-BR"/>
              </w:rPr>
              <w:t xml:space="preserve"> </w:t>
            </w:r>
            <w:r>
              <w:rPr>
                <w:rFonts w:ascii="Cambria" w:hAnsi="Cambria" w:eastAsia="Calibri" w:cs="Times New Roman"/>
                <w:spacing w:val="-1"/>
                <w:sz w:val="20"/>
                <w:szCs w:val="20"/>
                <w:lang w:eastAsia="pt-BR"/>
              </w:rPr>
              <w:t>tampa,</w:t>
            </w:r>
            <w:r>
              <w:rPr>
                <w:rFonts w:ascii="Cambria" w:hAnsi="Cambria" w:eastAsia="Calibri" w:cs="Times New Roman"/>
                <w:sz w:val="22"/>
                <w:szCs w:val="22"/>
                <w:lang w:eastAsia="pt-BR"/>
              </w:rPr>
              <w:t xml:space="preserve"> </w:t>
            </w:r>
            <w:r>
              <w:rPr>
                <w:rFonts w:ascii="Cambria" w:hAnsi="Cambria" w:eastAsia="Calibri" w:cs="Times New Roman"/>
                <w:spacing w:val="-1"/>
                <w:sz w:val="20"/>
                <w:szCs w:val="20"/>
                <w:lang w:eastAsia="pt-BR"/>
              </w:rPr>
              <w:t>estéril,</w:t>
            </w:r>
            <w:r>
              <w:rPr>
                <w:rFonts w:ascii="Cambria" w:hAnsi="Cambria" w:eastAsia="Calibri" w:cs="Times New Roman"/>
                <w:sz w:val="20"/>
                <w:szCs w:val="20"/>
                <w:lang w:eastAsia="pt-BR"/>
              </w:rPr>
              <w:t xml:space="preserve"> descartável.</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Embalagem individual em papel grau</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cirúrgico, contendo dados de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identificação, procedência, lote,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fabricação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 validade.</w:t>
            </w:r>
          </w:p>
        </w:tc>
        <w:tc>
          <w:tcPr>
            <w:tcW w:w="1047" w:type="dxa"/>
            <w:vAlign w:val="center"/>
          </w:tcPr>
          <w:p w14:paraId="2245094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U</w:t>
            </w:r>
            <w:r>
              <w:rPr>
                <w:rFonts w:ascii="Cambria" w:hAnsi="Cambria" w:eastAsia="Calibri" w:cs="Times New Roman"/>
                <w:sz w:val="20"/>
                <w:szCs w:val="20"/>
                <w:lang w:eastAsia="pt-BR"/>
              </w:rPr>
              <w:t>n</w:t>
            </w:r>
          </w:p>
        </w:tc>
        <w:tc>
          <w:tcPr>
            <w:tcW w:w="1417" w:type="dxa"/>
            <w:vAlign w:val="center"/>
          </w:tcPr>
          <w:p w14:paraId="4D82427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45.000</w:t>
            </w:r>
          </w:p>
        </w:tc>
      </w:tr>
      <w:tr w14:paraId="1A153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3F83A18A">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76</w:t>
            </w:r>
          </w:p>
        </w:tc>
        <w:tc>
          <w:tcPr>
            <w:tcW w:w="6206" w:type="dxa"/>
            <w:vAlign w:val="center"/>
          </w:tcPr>
          <w:p w14:paraId="37D912AF">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 xml:space="preserve">Blocos com 100 folhas para </w:t>
            </w:r>
            <w:r>
              <w:rPr>
                <w:rFonts w:ascii="Cambria" w:hAnsi="Cambria" w:eastAsia="Calibri" w:cs="Times New Roman"/>
                <w:sz w:val="20"/>
                <w:szCs w:val="20"/>
                <w:lang w:eastAsia="pt-BR"/>
              </w:rPr>
              <w:t>aparelho</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eletrocardiógrafo, marca do </w:t>
            </w:r>
            <w:r>
              <w:rPr>
                <w:rFonts w:ascii="Cambria" w:hAnsi="Cambria" w:eastAsia="Calibri" w:cs="Times New Roman"/>
                <w:sz w:val="20"/>
                <w:szCs w:val="20"/>
                <w:lang w:eastAsia="pt-BR"/>
              </w:rPr>
              <w:t>aparelho:</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edan-se-1200 express</w:t>
            </w:r>
          </w:p>
        </w:tc>
        <w:tc>
          <w:tcPr>
            <w:tcW w:w="1047" w:type="dxa"/>
            <w:vAlign w:val="center"/>
          </w:tcPr>
          <w:p w14:paraId="1DAE9E7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Bl</w:t>
            </w:r>
          </w:p>
        </w:tc>
        <w:tc>
          <w:tcPr>
            <w:tcW w:w="1417" w:type="dxa"/>
            <w:vAlign w:val="center"/>
          </w:tcPr>
          <w:p w14:paraId="4F01FB5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50</w:t>
            </w:r>
          </w:p>
        </w:tc>
      </w:tr>
      <w:tr w14:paraId="75B24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3A1B8183">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77</w:t>
            </w:r>
          </w:p>
        </w:tc>
        <w:tc>
          <w:tcPr>
            <w:tcW w:w="6206" w:type="dxa"/>
            <w:vAlign w:val="center"/>
          </w:tcPr>
          <w:p w14:paraId="4C443F67">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2"/>
                <w:szCs w:val="22"/>
                <w:lang w:eastAsia="pt-BR"/>
              </w:rPr>
              <w:t>Ferula</w:t>
            </w:r>
            <w:r>
              <w:rPr>
                <w:rFonts w:ascii="Cambria" w:hAnsi="Cambria" w:eastAsia="Calibri" w:cs="Times New Roman"/>
                <w:spacing w:val="-3"/>
                <w:sz w:val="22"/>
                <w:szCs w:val="22"/>
                <w:lang w:eastAsia="pt-BR"/>
              </w:rPr>
              <w:t xml:space="preserve"> </w:t>
            </w:r>
            <w:r>
              <w:rPr>
                <w:rFonts w:ascii="Cambria" w:hAnsi="Cambria" w:eastAsia="Calibri" w:cs="Times New Roman"/>
                <w:sz w:val="22"/>
                <w:szCs w:val="22"/>
                <w:lang w:eastAsia="pt-BR"/>
              </w:rPr>
              <w:t>metálica</w:t>
            </w:r>
            <w:r>
              <w:rPr>
                <w:rFonts w:ascii="Cambria" w:hAnsi="Cambria" w:eastAsia="Calibri" w:cs="Times New Roman"/>
                <w:spacing w:val="-3"/>
                <w:sz w:val="22"/>
                <w:szCs w:val="22"/>
                <w:lang w:eastAsia="pt-BR"/>
              </w:rPr>
              <w:t xml:space="preserve"> </w:t>
            </w:r>
            <w:r>
              <w:rPr>
                <w:rFonts w:ascii="Cambria" w:hAnsi="Cambria" w:eastAsia="Calibri" w:cs="Times New Roman"/>
                <w:sz w:val="22"/>
                <w:szCs w:val="22"/>
                <w:lang w:eastAsia="pt-BR"/>
              </w:rPr>
              <w:t>(dedos</w:t>
            </w:r>
            <w:r>
              <w:rPr>
                <w:rFonts w:ascii="Cambria" w:hAnsi="Cambria" w:eastAsia="Calibri" w:cs="Times New Roman"/>
                <w:spacing w:val="-2"/>
                <w:sz w:val="22"/>
                <w:szCs w:val="22"/>
                <w:lang w:eastAsia="pt-BR"/>
              </w:rPr>
              <w:t xml:space="preserve"> </w:t>
            </w:r>
            <w:r>
              <w:rPr>
                <w:rFonts w:ascii="Cambria" w:hAnsi="Cambria" w:eastAsia="Calibri" w:cs="Times New Roman"/>
                <w:sz w:val="22"/>
                <w:szCs w:val="22"/>
                <w:lang w:eastAsia="pt-BR"/>
              </w:rPr>
              <w:t>das</w:t>
            </w:r>
            <w:r>
              <w:rPr>
                <w:rFonts w:ascii="Cambria" w:hAnsi="Cambria" w:eastAsia="Calibri" w:cs="Times New Roman"/>
                <w:spacing w:val="-3"/>
                <w:sz w:val="22"/>
                <w:szCs w:val="22"/>
                <w:lang w:eastAsia="pt-BR"/>
              </w:rPr>
              <w:t xml:space="preserve"> </w:t>
            </w:r>
            <w:r>
              <w:rPr>
                <w:rFonts w:ascii="Cambria" w:hAnsi="Cambria" w:eastAsia="Calibri" w:cs="Times New Roman"/>
                <w:sz w:val="22"/>
                <w:szCs w:val="22"/>
                <w:lang w:eastAsia="pt-BR"/>
              </w:rPr>
              <w:t>mãos)</w:t>
            </w:r>
            <w:r>
              <w:rPr>
                <w:rFonts w:ascii="Cambria" w:hAnsi="Cambria" w:eastAsia="Calibri" w:cs="Times New Roman"/>
                <w:spacing w:val="-2"/>
                <w:sz w:val="22"/>
                <w:szCs w:val="22"/>
                <w:lang w:eastAsia="pt-BR"/>
              </w:rPr>
              <w:t xml:space="preserve"> </w:t>
            </w:r>
            <w:r>
              <w:rPr>
                <w:rFonts w:ascii="Cambria" w:hAnsi="Cambria" w:eastAsia="Calibri" w:cs="Times New Roman"/>
                <w:sz w:val="22"/>
                <w:szCs w:val="22"/>
                <w:lang w:eastAsia="pt-BR"/>
              </w:rPr>
              <w:t>P</w:t>
            </w:r>
            <w:r>
              <w:rPr>
                <w:rFonts w:ascii="Cambria" w:hAnsi="Cambria" w:eastAsia="Calibri" w:cs="Times New Roman"/>
                <w:spacing w:val="-6"/>
                <w:sz w:val="22"/>
                <w:szCs w:val="22"/>
                <w:lang w:eastAsia="pt-BR"/>
              </w:rPr>
              <w:t xml:space="preserve"> </w:t>
            </w:r>
            <w:r>
              <w:rPr>
                <w:rFonts w:ascii="Cambria" w:hAnsi="Cambria" w:eastAsia="Calibri" w:cs="Times New Roman"/>
                <w:sz w:val="22"/>
                <w:szCs w:val="22"/>
                <w:lang w:eastAsia="pt-BR"/>
              </w:rPr>
              <w:t>tamanho</w:t>
            </w:r>
            <w:r>
              <w:rPr>
                <w:rFonts w:ascii="Cambria" w:hAnsi="Cambria" w:eastAsia="Calibri" w:cs="Times New Roman"/>
                <w:spacing w:val="-36"/>
                <w:sz w:val="22"/>
                <w:szCs w:val="22"/>
                <w:lang w:eastAsia="pt-BR"/>
              </w:rPr>
              <w:t xml:space="preserve"> </w:t>
            </w:r>
            <w:r>
              <w:rPr>
                <w:rFonts w:ascii="Cambria" w:hAnsi="Cambria" w:eastAsia="Calibri" w:cs="Times New Roman"/>
                <w:sz w:val="22"/>
                <w:szCs w:val="22"/>
                <w:lang w:eastAsia="pt-BR"/>
              </w:rPr>
              <w:t>12x180mm</w:t>
            </w:r>
          </w:p>
        </w:tc>
        <w:tc>
          <w:tcPr>
            <w:tcW w:w="1047" w:type="dxa"/>
            <w:vAlign w:val="center"/>
          </w:tcPr>
          <w:p w14:paraId="714130D3">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6CFB09C2">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50</w:t>
            </w:r>
          </w:p>
        </w:tc>
      </w:tr>
      <w:tr w14:paraId="2900C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29EA534">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78</w:t>
            </w:r>
          </w:p>
        </w:tc>
        <w:tc>
          <w:tcPr>
            <w:tcW w:w="6206" w:type="dxa"/>
            <w:vAlign w:val="center"/>
          </w:tcPr>
          <w:p w14:paraId="2B3499ED">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2"/>
                <w:szCs w:val="22"/>
                <w:lang w:eastAsia="pt-BR"/>
              </w:rPr>
              <w:t>Termômetro</w:t>
            </w:r>
            <w:r>
              <w:rPr>
                <w:rFonts w:ascii="Cambria" w:hAnsi="Cambria" w:eastAsia="Calibri" w:cs="Times New Roman"/>
                <w:spacing w:val="-5"/>
                <w:sz w:val="22"/>
                <w:szCs w:val="22"/>
                <w:lang w:eastAsia="pt-BR"/>
              </w:rPr>
              <w:t xml:space="preserve"> </w:t>
            </w:r>
            <w:r>
              <w:rPr>
                <w:rFonts w:ascii="Cambria" w:hAnsi="Cambria" w:eastAsia="Calibri" w:cs="Times New Roman"/>
                <w:sz w:val="22"/>
                <w:szCs w:val="22"/>
                <w:lang w:eastAsia="pt-BR"/>
              </w:rPr>
              <w:t>para</w:t>
            </w:r>
            <w:r>
              <w:rPr>
                <w:rFonts w:ascii="Cambria" w:hAnsi="Cambria" w:eastAsia="Calibri" w:cs="Times New Roman"/>
                <w:spacing w:val="-4"/>
                <w:sz w:val="22"/>
                <w:szCs w:val="22"/>
                <w:lang w:eastAsia="pt-BR"/>
              </w:rPr>
              <w:t xml:space="preserve"> </w:t>
            </w:r>
            <w:r>
              <w:rPr>
                <w:rFonts w:ascii="Cambria" w:hAnsi="Cambria" w:eastAsia="Calibri" w:cs="Times New Roman"/>
                <w:sz w:val="22"/>
                <w:szCs w:val="22"/>
                <w:lang w:eastAsia="pt-BR"/>
              </w:rPr>
              <w:t>geladeira</w:t>
            </w:r>
            <w:r>
              <w:rPr>
                <w:rFonts w:ascii="Cambria" w:hAnsi="Cambria" w:eastAsia="Calibri" w:cs="Times New Roman"/>
                <w:spacing w:val="-5"/>
                <w:sz w:val="22"/>
                <w:szCs w:val="22"/>
                <w:lang w:eastAsia="pt-BR"/>
              </w:rPr>
              <w:t xml:space="preserve"> </w:t>
            </w:r>
            <w:r>
              <w:rPr>
                <w:rFonts w:ascii="Cambria" w:hAnsi="Cambria" w:eastAsia="Calibri" w:cs="Times New Roman"/>
                <w:sz w:val="22"/>
                <w:szCs w:val="22"/>
                <w:lang w:eastAsia="pt-BR"/>
              </w:rPr>
              <w:t>-</w:t>
            </w:r>
            <w:r>
              <w:rPr>
                <w:rFonts w:ascii="Cambria" w:hAnsi="Cambria" w:eastAsia="Calibri" w:cs="Times New Roman"/>
                <w:spacing w:val="-4"/>
                <w:sz w:val="22"/>
                <w:szCs w:val="22"/>
                <w:lang w:eastAsia="pt-BR"/>
              </w:rPr>
              <w:t xml:space="preserve"> </w:t>
            </w:r>
            <w:r>
              <w:rPr>
                <w:rFonts w:ascii="Cambria" w:hAnsi="Cambria" w:eastAsia="Calibri" w:cs="Times New Roman"/>
                <w:sz w:val="22"/>
                <w:szCs w:val="22"/>
                <w:lang w:eastAsia="pt-BR"/>
              </w:rPr>
              <w:t>50°C</w:t>
            </w:r>
            <w:r>
              <w:rPr>
                <w:rFonts w:ascii="Cambria" w:hAnsi="Cambria" w:eastAsia="Calibri" w:cs="Times New Roman"/>
                <w:spacing w:val="-4"/>
                <w:sz w:val="22"/>
                <w:szCs w:val="22"/>
                <w:lang w:eastAsia="pt-BR"/>
              </w:rPr>
              <w:t xml:space="preserve"> </w:t>
            </w:r>
            <w:r>
              <w:rPr>
                <w:rFonts w:ascii="Cambria" w:hAnsi="Cambria" w:eastAsia="Calibri" w:cs="Times New Roman"/>
                <w:sz w:val="22"/>
                <w:szCs w:val="22"/>
                <w:lang w:eastAsia="pt-BR"/>
              </w:rPr>
              <w:t>a</w:t>
            </w:r>
            <w:r>
              <w:rPr>
                <w:rFonts w:ascii="Cambria" w:hAnsi="Cambria" w:eastAsia="Calibri" w:cs="Times New Roman"/>
                <w:spacing w:val="-5"/>
                <w:sz w:val="22"/>
                <w:szCs w:val="22"/>
                <w:lang w:eastAsia="pt-BR"/>
              </w:rPr>
              <w:t xml:space="preserve"> </w:t>
            </w:r>
            <w:r>
              <w:rPr>
                <w:rFonts w:ascii="Cambria" w:hAnsi="Cambria" w:eastAsia="Calibri" w:cs="Times New Roman"/>
                <w:sz w:val="22"/>
                <w:szCs w:val="22"/>
                <w:lang w:eastAsia="pt-BR"/>
              </w:rPr>
              <w:t>60°C</w:t>
            </w:r>
            <w:r>
              <w:rPr>
                <w:rFonts w:ascii="Cambria" w:hAnsi="Cambria" w:eastAsia="Calibri" w:cs="Times New Roman"/>
                <w:spacing w:val="-4"/>
                <w:sz w:val="22"/>
                <w:szCs w:val="22"/>
                <w:lang w:eastAsia="pt-BR"/>
              </w:rPr>
              <w:t xml:space="preserve"> </w:t>
            </w:r>
            <w:r>
              <w:rPr>
                <w:rFonts w:ascii="Cambria" w:hAnsi="Cambria" w:eastAsia="Calibri" w:cs="Times New Roman"/>
                <w:sz w:val="22"/>
                <w:szCs w:val="22"/>
                <w:lang w:eastAsia="pt-BR"/>
              </w:rPr>
              <w:t>Melhor</w:t>
            </w:r>
            <w:r>
              <w:rPr>
                <w:rFonts w:ascii="Cambria" w:hAnsi="Cambria" w:eastAsia="Calibri" w:cs="Times New Roman"/>
                <w:spacing w:val="-36"/>
                <w:sz w:val="22"/>
                <w:szCs w:val="22"/>
                <w:lang w:eastAsia="pt-BR"/>
              </w:rPr>
              <w:t xml:space="preserve"> </w:t>
            </w:r>
            <w:r>
              <w:rPr>
                <w:rFonts w:ascii="Cambria" w:hAnsi="Cambria" w:eastAsia="Calibri" w:cs="Times New Roman"/>
                <w:sz w:val="22"/>
                <w:szCs w:val="22"/>
                <w:lang w:eastAsia="pt-BR"/>
              </w:rPr>
              <w:t>qualidade</w:t>
            </w:r>
          </w:p>
        </w:tc>
        <w:tc>
          <w:tcPr>
            <w:tcW w:w="1047" w:type="dxa"/>
            <w:vAlign w:val="center"/>
          </w:tcPr>
          <w:p w14:paraId="1C01F15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11955594">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w:t>
            </w:r>
          </w:p>
        </w:tc>
      </w:tr>
      <w:tr w14:paraId="7FC7F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1E8FE608">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79</w:t>
            </w:r>
          </w:p>
        </w:tc>
        <w:tc>
          <w:tcPr>
            <w:tcW w:w="6206" w:type="dxa"/>
            <w:vAlign w:val="center"/>
          </w:tcPr>
          <w:p w14:paraId="117889E4">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 xml:space="preserve">Braçadeira adulta de pni (pressão </w:t>
            </w:r>
            <w:r>
              <w:rPr>
                <w:rFonts w:ascii="Cambria" w:hAnsi="Cambria" w:eastAsia="Calibri" w:cs="Times New Roman"/>
                <w:sz w:val="20"/>
                <w:szCs w:val="20"/>
                <w:lang w:eastAsia="pt-BR"/>
              </w:rPr>
              <w:t>não</w:t>
            </w:r>
            <w:r>
              <w:rPr>
                <w:rFonts w:ascii="Cambria" w:hAnsi="Cambria" w:eastAsia="Calibri" w:cs="Times New Roman"/>
                <w:spacing w:val="1"/>
                <w:sz w:val="22"/>
                <w:szCs w:val="22"/>
                <w:lang w:eastAsia="pt-BR"/>
              </w:rPr>
              <w:t xml:space="preserve"> </w:t>
            </w:r>
            <w:r>
              <w:rPr>
                <w:rFonts w:ascii="Cambria" w:hAnsi="Cambria" w:eastAsia="Calibri" w:cs="Times New Roman"/>
                <w:spacing w:val="-2"/>
                <w:sz w:val="20"/>
                <w:szCs w:val="20"/>
                <w:lang w:eastAsia="pt-BR"/>
              </w:rPr>
              <w:t xml:space="preserve">invasiva) com manguito </w:t>
            </w:r>
            <w:r>
              <w:rPr>
                <w:rFonts w:ascii="Cambria" w:hAnsi="Cambria" w:eastAsia="Calibri" w:cs="Times New Roman"/>
                <w:spacing w:val="-1"/>
                <w:sz w:val="20"/>
                <w:szCs w:val="20"/>
                <w:lang w:eastAsia="pt-BR"/>
              </w:rPr>
              <w:t>1 via para monitor</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com</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conector</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acoplado</w:t>
            </w:r>
          </w:p>
        </w:tc>
        <w:tc>
          <w:tcPr>
            <w:tcW w:w="1047" w:type="dxa"/>
            <w:vAlign w:val="center"/>
          </w:tcPr>
          <w:p w14:paraId="584EA028">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5B62FE70">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2.000</w:t>
            </w:r>
          </w:p>
        </w:tc>
      </w:tr>
      <w:tr w14:paraId="37CEE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3610339C">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80</w:t>
            </w:r>
          </w:p>
        </w:tc>
        <w:tc>
          <w:tcPr>
            <w:tcW w:w="6206" w:type="dxa"/>
            <w:vAlign w:val="center"/>
          </w:tcPr>
          <w:p w14:paraId="2698AE08">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Braçadeira infantil de pni (pressão não</w:t>
            </w:r>
            <w:r>
              <w:rPr>
                <w:rFonts w:ascii="Cambria" w:hAnsi="Cambria" w:eastAsia="Calibri" w:cs="Times New Roman"/>
                <w:spacing w:val="1"/>
                <w:sz w:val="22"/>
                <w:szCs w:val="22"/>
                <w:lang w:eastAsia="pt-BR"/>
              </w:rPr>
              <w:t xml:space="preserve"> </w:t>
            </w:r>
            <w:r>
              <w:rPr>
                <w:rFonts w:ascii="Cambria" w:hAnsi="Cambria" w:eastAsia="Calibri" w:cs="Times New Roman"/>
                <w:spacing w:val="-2"/>
                <w:sz w:val="20"/>
                <w:szCs w:val="20"/>
                <w:lang w:eastAsia="pt-BR"/>
              </w:rPr>
              <w:t xml:space="preserve">invasiva) com manguito </w:t>
            </w:r>
            <w:r>
              <w:rPr>
                <w:rFonts w:ascii="Cambria" w:hAnsi="Cambria" w:eastAsia="Calibri" w:cs="Times New Roman"/>
                <w:spacing w:val="-1"/>
                <w:sz w:val="20"/>
                <w:szCs w:val="20"/>
                <w:lang w:eastAsia="pt-BR"/>
              </w:rPr>
              <w:t>1 via para monitor</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com</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conector</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acoplado</w:t>
            </w:r>
          </w:p>
        </w:tc>
        <w:tc>
          <w:tcPr>
            <w:tcW w:w="1047" w:type="dxa"/>
            <w:vAlign w:val="center"/>
          </w:tcPr>
          <w:p w14:paraId="4A5931E3">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5ADBA828">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1.000</w:t>
            </w:r>
          </w:p>
        </w:tc>
      </w:tr>
      <w:tr w14:paraId="7C949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176B43B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81</w:t>
            </w:r>
          </w:p>
        </w:tc>
        <w:tc>
          <w:tcPr>
            <w:tcW w:w="6206" w:type="dxa"/>
            <w:vAlign w:val="center"/>
          </w:tcPr>
          <w:p w14:paraId="09115B9C">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Oxímetro</w:t>
            </w:r>
            <w:r>
              <w:rPr>
                <w:rFonts w:ascii="Cambria" w:hAnsi="Cambria" w:eastAsia="Calibri" w:cs="Times New Roman"/>
                <w:spacing w:val="-4"/>
                <w:sz w:val="22"/>
                <w:szCs w:val="22"/>
                <w:lang w:eastAsia="pt-BR"/>
              </w:rPr>
              <w:t xml:space="preserve"> </w:t>
            </w:r>
            <w:r>
              <w:rPr>
                <w:rFonts w:ascii="Cambria" w:hAnsi="Cambria" w:eastAsia="Calibri" w:cs="Times New Roman"/>
                <w:sz w:val="22"/>
                <w:szCs w:val="22"/>
                <w:lang w:eastAsia="pt-BR"/>
              </w:rPr>
              <w:t>de</w:t>
            </w:r>
            <w:r>
              <w:rPr>
                <w:rFonts w:ascii="Cambria" w:hAnsi="Cambria" w:eastAsia="Calibri" w:cs="Times New Roman"/>
                <w:spacing w:val="-3"/>
                <w:sz w:val="22"/>
                <w:szCs w:val="22"/>
                <w:lang w:eastAsia="pt-BR"/>
              </w:rPr>
              <w:t xml:space="preserve"> </w:t>
            </w:r>
            <w:r>
              <w:rPr>
                <w:rFonts w:ascii="Cambria" w:hAnsi="Cambria" w:eastAsia="Calibri" w:cs="Times New Roman"/>
                <w:sz w:val="22"/>
                <w:szCs w:val="22"/>
                <w:lang w:eastAsia="pt-BR"/>
              </w:rPr>
              <w:t>dedo</w:t>
            </w:r>
            <w:r>
              <w:rPr>
                <w:rFonts w:ascii="Cambria" w:hAnsi="Cambria" w:eastAsia="Calibri" w:cs="Times New Roman"/>
                <w:spacing w:val="-4"/>
                <w:sz w:val="22"/>
                <w:szCs w:val="22"/>
                <w:lang w:eastAsia="pt-BR"/>
              </w:rPr>
              <w:t xml:space="preserve"> </w:t>
            </w:r>
            <w:r>
              <w:rPr>
                <w:rFonts w:ascii="Cambria" w:hAnsi="Cambria" w:eastAsia="Calibri" w:cs="Times New Roman"/>
                <w:sz w:val="22"/>
                <w:szCs w:val="22"/>
                <w:lang w:eastAsia="pt-BR"/>
              </w:rPr>
              <w:t>infantil,</w:t>
            </w:r>
            <w:r>
              <w:rPr>
                <w:rFonts w:ascii="Cambria" w:hAnsi="Cambria" w:eastAsia="Calibri" w:cs="Times New Roman"/>
                <w:spacing w:val="-3"/>
                <w:sz w:val="22"/>
                <w:szCs w:val="22"/>
                <w:lang w:eastAsia="pt-BR"/>
              </w:rPr>
              <w:t xml:space="preserve"> </w:t>
            </w:r>
            <w:r>
              <w:rPr>
                <w:rFonts w:ascii="Cambria" w:hAnsi="Cambria" w:eastAsia="Calibri" w:cs="Times New Roman"/>
                <w:sz w:val="22"/>
                <w:szCs w:val="22"/>
                <w:lang w:eastAsia="pt-BR"/>
              </w:rPr>
              <w:t>Especificações,</w:t>
            </w:r>
            <w:r>
              <w:rPr>
                <w:rFonts w:ascii="Cambria" w:hAnsi="Cambria" w:eastAsia="Calibri" w:cs="Times New Roman"/>
                <w:spacing w:val="-4"/>
                <w:sz w:val="22"/>
                <w:szCs w:val="22"/>
                <w:lang w:eastAsia="pt-BR"/>
              </w:rPr>
              <w:t xml:space="preserve"> </w:t>
            </w:r>
            <w:r>
              <w:rPr>
                <w:rFonts w:ascii="Cambria" w:hAnsi="Cambria" w:eastAsia="Calibri" w:cs="Times New Roman"/>
                <w:sz w:val="22"/>
                <w:szCs w:val="22"/>
                <w:lang w:eastAsia="pt-BR"/>
              </w:rPr>
              <w:t>resolução</w:t>
            </w:r>
            <w:r>
              <w:rPr>
                <w:rFonts w:ascii="Cambria" w:hAnsi="Cambria" w:eastAsia="Calibri" w:cs="Times New Roman"/>
                <w:spacing w:val="-36"/>
                <w:sz w:val="22"/>
                <w:szCs w:val="22"/>
                <w:lang w:eastAsia="pt-BR"/>
              </w:rPr>
              <w:t xml:space="preserve"> </w:t>
            </w:r>
            <w:r>
              <w:rPr>
                <w:rFonts w:ascii="Cambria" w:hAnsi="Cambria" w:eastAsia="Calibri" w:cs="Times New Roman"/>
                <w:sz w:val="22"/>
                <w:szCs w:val="22"/>
                <w:lang w:eastAsia="pt-BR"/>
              </w:rPr>
              <w:t xml:space="preserve">96*64, </w:t>
            </w:r>
            <w:r>
              <w:rPr>
                <w:rFonts w:ascii="Cambria" w:hAnsi="Cambria" w:eastAsia="Calibri" w:cs="Times New Roman"/>
                <w:sz w:val="20"/>
                <w:szCs w:val="20"/>
                <w:lang w:eastAsia="pt-BR"/>
              </w:rPr>
              <w:t xml:space="preserve">spo2 </w:t>
            </w:r>
            <w:r>
              <w:rPr>
                <w:rFonts w:ascii="Cambria" w:hAnsi="Cambria" w:eastAsia="Calibri" w:cs="Times New Roman"/>
                <w:sz w:val="22"/>
                <w:szCs w:val="22"/>
                <w:lang w:eastAsia="pt-BR"/>
              </w:rPr>
              <w:t>Faixa de medição: 35 ~ 99%,</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Resolução: ± 1%, Precisão: ± 1% (90% ~ 99%), não</w:t>
            </w:r>
            <w:r>
              <w:rPr>
                <w:rFonts w:ascii="Cambria" w:hAnsi="Cambria" w:eastAsia="Calibri" w:cs="Times New Roman"/>
                <w:spacing w:val="-36"/>
                <w:sz w:val="22"/>
                <w:szCs w:val="22"/>
                <w:lang w:eastAsia="pt-BR"/>
              </w:rPr>
              <w:t xml:space="preserve"> </w:t>
            </w:r>
            <w:r>
              <w:rPr>
                <w:rFonts w:ascii="Cambria" w:hAnsi="Cambria" w:eastAsia="Calibri" w:cs="Times New Roman"/>
                <w:sz w:val="22"/>
                <w:szCs w:val="22"/>
                <w:lang w:eastAsia="pt-BR"/>
              </w:rPr>
              <w:t>especificadas (&lt;70%), Faixa de medição de pulso</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 xml:space="preserve">taxa: Máximo:100 ~ 250 bpm, </w:t>
            </w:r>
            <w:r>
              <w:rPr>
                <w:rFonts w:ascii="Cambria" w:hAnsi="Cambria" w:eastAsia="Calibri" w:cs="Times New Roman"/>
                <w:sz w:val="20"/>
                <w:szCs w:val="20"/>
                <w:lang w:eastAsia="pt-BR"/>
              </w:rPr>
              <w:t>Mínimo</w:t>
            </w:r>
            <w:r>
              <w:rPr>
                <w:rFonts w:ascii="Cambria" w:hAnsi="Cambria" w:eastAsia="Calibri" w:cs="Times New Roman"/>
                <w:sz w:val="22"/>
                <w:szCs w:val="22"/>
                <w:lang w:eastAsia="pt-BR"/>
              </w:rPr>
              <w:t>: 15-95 bpm,</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Precisão: ± 1bpm ou ± 1% , Potência de 1,5 V (tam</w:t>
            </w:r>
            <w:r>
              <w:rPr>
                <w:rFonts w:ascii="Cambria" w:hAnsi="Cambria" w:eastAsia="Calibri" w:cs="Times New Roman"/>
                <w:spacing w:val="-1"/>
                <w:sz w:val="22"/>
                <w:szCs w:val="22"/>
                <w:lang w:eastAsia="pt-BR"/>
              </w:rPr>
              <w:t xml:space="preserve"> anho AAA), 2 Pilhas alcalina, Tensão </w:t>
            </w:r>
            <w:r>
              <w:rPr>
                <w:rFonts w:ascii="Cambria" w:hAnsi="Cambria" w:eastAsia="Calibri" w:cs="Times New Roman"/>
                <w:sz w:val="22"/>
                <w:szCs w:val="22"/>
                <w:lang w:eastAsia="pt-BR"/>
              </w:rPr>
              <w:t>de alimentação:</w:t>
            </w:r>
            <w:r>
              <w:rPr>
                <w:rFonts w:ascii="Cambria" w:hAnsi="Cambria" w:eastAsia="Calibri" w:cs="Times New Roman"/>
                <w:spacing w:val="-36"/>
                <w:sz w:val="22"/>
                <w:szCs w:val="22"/>
                <w:lang w:eastAsia="pt-BR"/>
              </w:rPr>
              <w:t xml:space="preserve"> </w:t>
            </w:r>
            <w:r>
              <w:rPr>
                <w:rFonts w:ascii="Cambria" w:hAnsi="Cambria" w:eastAsia="Calibri" w:cs="Times New Roman"/>
                <w:sz w:val="22"/>
                <w:szCs w:val="22"/>
                <w:lang w:eastAsia="pt-BR"/>
              </w:rPr>
              <w:t xml:space="preserve">2,6 ~ 3.6V, De trabalho atual = </w:t>
            </w:r>
            <w:r>
              <w:rPr>
                <w:rFonts w:ascii="Cambria" w:hAnsi="Cambria" w:eastAsia="Calibri" w:cs="Times New Roman"/>
                <w:sz w:val="20"/>
                <w:szCs w:val="20"/>
                <w:lang w:eastAsia="pt-BR"/>
              </w:rPr>
              <w:t>30ma</w:t>
            </w:r>
            <w:r>
              <w:rPr>
                <w:rFonts w:ascii="Cambria" w:hAnsi="Cambria" w:eastAsia="Calibri" w:cs="Times New Roman"/>
                <w:sz w:val="22"/>
                <w:szCs w:val="22"/>
                <w:lang w:eastAsia="pt-BR"/>
              </w:rPr>
              <w:t>, Resistência a</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interferência contra desvio de luz ambiente entre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 xml:space="preserve">spo2 </w:t>
            </w:r>
            <w:r>
              <w:rPr>
                <w:rFonts w:ascii="Cambria" w:hAnsi="Cambria" w:eastAsia="Calibri" w:cs="Times New Roman"/>
                <w:sz w:val="22"/>
                <w:szCs w:val="22"/>
                <w:lang w:eastAsia="pt-BR"/>
              </w:rPr>
              <w:t>na natureza condição de iluminação interior e</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na sala escura é menor do que ± 1%, Peso 65</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gramas (Com baterias)</w:t>
            </w:r>
          </w:p>
        </w:tc>
        <w:tc>
          <w:tcPr>
            <w:tcW w:w="1047" w:type="dxa"/>
            <w:vAlign w:val="center"/>
          </w:tcPr>
          <w:p w14:paraId="79F435E0">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28C3DA2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w:t>
            </w:r>
          </w:p>
        </w:tc>
      </w:tr>
      <w:tr w14:paraId="1D009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6C3FEE08">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82</w:t>
            </w:r>
          </w:p>
        </w:tc>
        <w:tc>
          <w:tcPr>
            <w:tcW w:w="6206" w:type="dxa"/>
            <w:vAlign w:val="center"/>
          </w:tcPr>
          <w:p w14:paraId="6B9B9D1E">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Detergente enzimático para limpeza de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artigos</w:t>
            </w:r>
            <w:r>
              <w:rPr>
                <w:rFonts w:ascii="Cambria" w:hAnsi="Cambria" w:eastAsia="Calibri" w:cs="Times New Roman"/>
                <w:spacing w:val="-10"/>
                <w:sz w:val="22"/>
                <w:szCs w:val="22"/>
                <w:lang w:eastAsia="pt-BR"/>
              </w:rPr>
              <w:t xml:space="preserve"> </w:t>
            </w:r>
            <w:r>
              <w:rPr>
                <w:rFonts w:ascii="Cambria" w:hAnsi="Cambria" w:eastAsia="Calibri" w:cs="Times New Roman"/>
                <w:sz w:val="20"/>
                <w:szCs w:val="20"/>
                <w:lang w:eastAsia="pt-BR"/>
              </w:rPr>
              <w:t>médicos</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hospitalares</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composto</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por no mínimo 6 enzimas; amilase, lipase,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protease, carboidrase, peptidase 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celulase. Detergente não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iônico/aniônico, ph neutro,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biodegradável, não corrosivo para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metais, para ser utilizado em</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temperatura ambiente ou aquecida </w:t>
            </w:r>
            <w:r>
              <w:rPr>
                <w:rFonts w:ascii="Cambria" w:hAnsi="Cambria" w:eastAsia="Calibri" w:cs="Times New Roman"/>
                <w:sz w:val="20"/>
                <w:szCs w:val="20"/>
                <w:lang w:eastAsia="pt-BR"/>
              </w:rPr>
              <w:t>para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processo de limpeza manual ou</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automatizado,</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10"/>
                <w:sz w:val="22"/>
                <w:szCs w:val="22"/>
                <w:lang w:eastAsia="pt-BR"/>
              </w:rPr>
              <w:t xml:space="preserve"> </w:t>
            </w:r>
            <w:r>
              <w:rPr>
                <w:rFonts w:ascii="Cambria" w:hAnsi="Cambria" w:eastAsia="Calibri" w:cs="Times New Roman"/>
                <w:sz w:val="20"/>
                <w:szCs w:val="20"/>
                <w:lang w:eastAsia="pt-BR"/>
              </w:rPr>
              <w:t>ação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rápida,</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galão</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z w:val="22"/>
                <w:szCs w:val="22"/>
                <w:lang w:eastAsia="pt-BR"/>
              </w:rPr>
              <w:t xml:space="preserve"> </w:t>
            </w:r>
            <w:r>
              <w:rPr>
                <w:rFonts w:ascii="Cambria" w:hAnsi="Cambria" w:eastAsia="Calibri" w:cs="Times New Roman"/>
                <w:spacing w:val="-1"/>
                <w:sz w:val="20"/>
                <w:szCs w:val="20"/>
                <w:lang w:eastAsia="pt-BR"/>
              </w:rPr>
              <w:t xml:space="preserve">5.000 ml, com diluição </w:t>
            </w:r>
            <w:r>
              <w:rPr>
                <w:rFonts w:ascii="Cambria" w:hAnsi="Cambria" w:eastAsia="Calibri" w:cs="Times New Roman"/>
                <w:sz w:val="20"/>
                <w:szCs w:val="20"/>
                <w:lang w:eastAsia="pt-BR"/>
              </w:rPr>
              <w:t>para 1ml de solução</w:t>
            </w:r>
            <w:r>
              <w:rPr>
                <w:rFonts w:ascii="Cambria" w:hAnsi="Cambria" w:eastAsia="Calibri" w:cs="Times New Roman"/>
                <w:spacing w:val="-37"/>
                <w:sz w:val="22"/>
                <w:szCs w:val="22"/>
                <w:lang w:eastAsia="pt-BR"/>
              </w:rPr>
              <w:t xml:space="preserve"> </w:t>
            </w:r>
            <w:r>
              <w:rPr>
                <w:rFonts w:ascii="Cambria" w:hAnsi="Cambria" w:eastAsia="Calibri" w:cs="Times New Roman"/>
                <w:sz w:val="20"/>
                <w:szCs w:val="20"/>
                <w:lang w:eastAsia="pt-BR"/>
              </w:rPr>
              <w:t>para cada litro de água. Possuir laudos</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de estabilidade das enzimas durante 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prazo de validade dos materiais,</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estabilidade </w:t>
            </w:r>
            <w:r>
              <w:rPr>
                <w:rFonts w:ascii="Cambria" w:hAnsi="Cambria" w:eastAsia="Calibri" w:cs="Times New Roman"/>
                <w:sz w:val="20"/>
                <w:szCs w:val="20"/>
                <w:lang w:eastAsia="pt-BR"/>
              </w:rPr>
              <w:t>do sistema conservante, ph</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dos materiais puro e diluído,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biodegradável, corrosividade em</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plástico e metal. Embalagem galão de 5</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litros.</w:t>
            </w:r>
          </w:p>
        </w:tc>
        <w:tc>
          <w:tcPr>
            <w:tcW w:w="1047" w:type="dxa"/>
            <w:vAlign w:val="center"/>
          </w:tcPr>
          <w:p w14:paraId="4BE77D9C">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U</w:t>
            </w:r>
            <w:r>
              <w:rPr>
                <w:rFonts w:ascii="Cambria" w:hAnsi="Cambria" w:eastAsia="Calibri" w:cs="Times New Roman"/>
                <w:sz w:val="20"/>
                <w:szCs w:val="20"/>
                <w:lang w:eastAsia="pt-BR"/>
              </w:rPr>
              <w:t>n</w:t>
            </w:r>
          </w:p>
        </w:tc>
        <w:tc>
          <w:tcPr>
            <w:tcW w:w="1417" w:type="dxa"/>
            <w:vAlign w:val="center"/>
          </w:tcPr>
          <w:p w14:paraId="0ACAB14D">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70</w:t>
            </w:r>
          </w:p>
        </w:tc>
      </w:tr>
      <w:tr w14:paraId="2C708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39FFC19D">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83</w:t>
            </w:r>
          </w:p>
        </w:tc>
        <w:tc>
          <w:tcPr>
            <w:tcW w:w="6206" w:type="dxa"/>
            <w:vAlign w:val="center"/>
          </w:tcPr>
          <w:p w14:paraId="23B36A78">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Cateter</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intravenoso</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periférico</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14g</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x</w:t>
            </w:r>
            <w:r>
              <w:rPr>
                <w:rFonts w:ascii="Cambria" w:hAnsi="Cambria" w:eastAsia="Calibri" w:cs="Times New Roman"/>
                <w:spacing w:val="-7"/>
                <w:sz w:val="22"/>
                <w:szCs w:val="22"/>
                <w:lang w:eastAsia="pt-BR"/>
              </w:rPr>
              <w:t xml:space="preserve"> </w:t>
            </w:r>
            <w:r>
              <w:rPr>
                <w:rFonts w:ascii="Cambria" w:hAnsi="Cambria" w:eastAsia="Calibri" w:cs="Times New Roman"/>
                <w:sz w:val="22"/>
                <w:szCs w:val="22"/>
                <w:lang w:eastAsia="pt-BR"/>
              </w:rPr>
              <w:t>50</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mm, com dispositivo de proteção,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composto de cânula em vialon -</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radiopaco e transparente; agulha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eletripolida com ponta em "v" e bisel tri</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facetado; sistema de segurança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ergonômico, alerta indicadora da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posição do bisel e câmara de refluxo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transparente</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com</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filtro</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poroso.</w:t>
            </w:r>
          </w:p>
        </w:tc>
        <w:tc>
          <w:tcPr>
            <w:tcW w:w="1047" w:type="dxa"/>
            <w:vAlign w:val="center"/>
          </w:tcPr>
          <w:p w14:paraId="35084D8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1A93A012">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20.000</w:t>
            </w:r>
          </w:p>
        </w:tc>
      </w:tr>
      <w:tr w14:paraId="7F4BD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74C94E00">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84</w:t>
            </w:r>
          </w:p>
        </w:tc>
        <w:tc>
          <w:tcPr>
            <w:tcW w:w="6206" w:type="dxa"/>
            <w:vAlign w:val="center"/>
          </w:tcPr>
          <w:p w14:paraId="69C24C9C">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Cateter</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intravenoso</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periférico</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16g</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x</w:t>
            </w:r>
            <w:r>
              <w:rPr>
                <w:rFonts w:ascii="Cambria" w:hAnsi="Cambria" w:eastAsia="Calibri" w:cs="Times New Roman"/>
                <w:spacing w:val="-7"/>
                <w:sz w:val="22"/>
                <w:szCs w:val="22"/>
                <w:lang w:eastAsia="pt-BR"/>
              </w:rPr>
              <w:t xml:space="preserve"> </w:t>
            </w:r>
            <w:r>
              <w:rPr>
                <w:rFonts w:ascii="Cambria" w:hAnsi="Cambria" w:eastAsia="Calibri" w:cs="Times New Roman"/>
                <w:sz w:val="22"/>
                <w:szCs w:val="22"/>
                <w:lang w:eastAsia="pt-BR"/>
              </w:rPr>
              <w:t>50</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mm, com dispositivo de proteção,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composto de cânula em vialon -</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radiopaco e transparente, agulha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eletripolida com ponta em "v" e bisel tri</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facetado, sistema de segurança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ergonômico, alerta indicadora da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posição do bisel e câmara de refluxo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transparente</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com</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filtro</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poroso.</w:t>
            </w:r>
          </w:p>
        </w:tc>
        <w:tc>
          <w:tcPr>
            <w:tcW w:w="1047" w:type="dxa"/>
            <w:vAlign w:val="center"/>
          </w:tcPr>
          <w:p w14:paraId="5E01EB31">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0AA88D92">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20.000</w:t>
            </w:r>
          </w:p>
        </w:tc>
      </w:tr>
      <w:tr w14:paraId="4AAFA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1C0C3C20">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85</w:t>
            </w:r>
          </w:p>
        </w:tc>
        <w:tc>
          <w:tcPr>
            <w:tcW w:w="6206" w:type="dxa"/>
            <w:vAlign w:val="center"/>
          </w:tcPr>
          <w:p w14:paraId="1C6B567E">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2"/>
                <w:szCs w:val="22"/>
                <w:lang w:eastAsia="pt-BR"/>
              </w:rPr>
              <w:t xml:space="preserve">Cateter intravenoso </w:t>
            </w:r>
            <w:r>
              <w:rPr>
                <w:rFonts w:ascii="Cambria" w:hAnsi="Cambria" w:eastAsia="Calibri" w:cs="Times New Roman"/>
                <w:sz w:val="20"/>
                <w:szCs w:val="20"/>
                <w:lang w:eastAsia="pt-BR"/>
              </w:rPr>
              <w:t>periférico</w:t>
            </w:r>
            <w:r>
              <w:rPr>
                <w:rFonts w:ascii="Cambria" w:hAnsi="Cambria" w:eastAsia="Calibri" w:cs="Times New Roman"/>
                <w:sz w:val="22"/>
                <w:szCs w:val="22"/>
                <w:lang w:eastAsia="pt-BR"/>
              </w:rPr>
              <w:t xml:space="preserve"> 20G x 50 mm,</w:t>
            </w:r>
            <w:r>
              <w:rPr>
                <w:rFonts w:ascii="Cambria" w:hAnsi="Cambria" w:eastAsia="Calibri" w:cs="Times New Roman"/>
                <w:sz w:val="20"/>
                <w:szCs w:val="20"/>
                <w:lang w:eastAsia="pt-BR"/>
              </w:rPr>
              <w:t xml:space="preserve"> </w:t>
            </w:r>
            <w:r>
              <w:rPr>
                <w:rFonts w:ascii="Cambria" w:hAnsi="Cambria" w:eastAsia="Calibri" w:cs="Times New Roman"/>
                <w:sz w:val="22"/>
                <w:szCs w:val="22"/>
                <w:lang w:eastAsia="pt-BR"/>
              </w:rPr>
              <w:t>com</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dispositivo de proteção,</w:t>
            </w:r>
            <w:r>
              <w:rPr>
                <w:rFonts w:ascii="Cambria" w:hAnsi="Cambria" w:eastAsia="Calibri" w:cs="Times New Roman"/>
                <w:sz w:val="20"/>
                <w:szCs w:val="20"/>
                <w:lang w:eastAsia="pt-BR"/>
              </w:rPr>
              <w:t xml:space="preserve"> </w:t>
            </w:r>
            <w:r>
              <w:rPr>
                <w:rFonts w:ascii="Cambria" w:hAnsi="Cambria" w:eastAsia="Calibri" w:cs="Times New Roman"/>
                <w:sz w:val="22"/>
                <w:szCs w:val="22"/>
                <w:lang w:eastAsia="pt-BR"/>
              </w:rPr>
              <w:t>composto de cânula em</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VIALON - radiopaco e transparente;</w:t>
            </w:r>
            <w:r>
              <w:rPr>
                <w:rFonts w:ascii="Cambria" w:hAnsi="Cambria" w:eastAsia="Calibri" w:cs="Times New Roman"/>
                <w:sz w:val="20"/>
                <w:szCs w:val="20"/>
                <w:lang w:eastAsia="pt-BR"/>
              </w:rPr>
              <w:t xml:space="preserve"> </w:t>
            </w:r>
            <w:r>
              <w:rPr>
                <w:rFonts w:ascii="Cambria" w:hAnsi="Cambria" w:eastAsia="Calibri" w:cs="Times New Roman"/>
                <w:sz w:val="22"/>
                <w:szCs w:val="22"/>
                <w:lang w:eastAsia="pt-BR"/>
              </w:rPr>
              <w:t>agulha</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eletripolida com ponta em "V" e bisel</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trifacetado;</w:t>
            </w:r>
            <w:r>
              <w:rPr>
                <w:rFonts w:ascii="Cambria" w:hAnsi="Cambria" w:eastAsia="Calibri" w:cs="Times New Roman"/>
                <w:sz w:val="20"/>
                <w:szCs w:val="20"/>
                <w:lang w:eastAsia="pt-BR"/>
              </w:rPr>
              <w:t xml:space="preserve"> </w:t>
            </w:r>
            <w:r>
              <w:rPr>
                <w:rFonts w:ascii="Cambria" w:hAnsi="Cambria" w:eastAsia="Calibri" w:cs="Times New Roman"/>
                <w:sz w:val="22"/>
                <w:szCs w:val="22"/>
                <w:lang w:eastAsia="pt-BR"/>
              </w:rPr>
              <w:t xml:space="preserve">sistema de segurança </w:t>
            </w:r>
            <w:r>
              <w:rPr>
                <w:rFonts w:ascii="Cambria" w:hAnsi="Cambria" w:eastAsia="Calibri" w:cs="Times New Roman"/>
                <w:sz w:val="20"/>
                <w:szCs w:val="20"/>
                <w:lang w:eastAsia="pt-BR"/>
              </w:rPr>
              <w:t>ergonômico</w:t>
            </w:r>
            <w:r>
              <w:rPr>
                <w:rFonts w:ascii="Cambria" w:hAnsi="Cambria" w:eastAsia="Calibri" w:cs="Times New Roman"/>
                <w:sz w:val="22"/>
                <w:szCs w:val="22"/>
                <w:lang w:eastAsia="pt-BR"/>
              </w:rPr>
              <w:t>, alerta</w:t>
            </w:r>
            <w:r>
              <w:rPr>
                <w:rFonts w:ascii="Cambria" w:hAnsi="Cambria" w:eastAsia="Calibri" w:cs="Times New Roman"/>
                <w:spacing w:val="-37"/>
                <w:sz w:val="22"/>
                <w:szCs w:val="22"/>
                <w:lang w:eastAsia="pt-BR"/>
              </w:rPr>
              <w:t xml:space="preserve"> </w:t>
            </w:r>
            <w:r>
              <w:rPr>
                <w:rFonts w:ascii="Cambria" w:hAnsi="Cambria" w:eastAsia="Calibri" w:cs="Times New Roman"/>
                <w:sz w:val="22"/>
                <w:szCs w:val="22"/>
                <w:lang w:eastAsia="pt-BR"/>
              </w:rPr>
              <w:t xml:space="preserve">indicadora da </w:t>
            </w:r>
            <w:r>
              <w:rPr>
                <w:rFonts w:ascii="Cambria" w:hAnsi="Cambria" w:eastAsia="Calibri" w:cs="Times New Roman"/>
                <w:sz w:val="20"/>
                <w:szCs w:val="20"/>
                <w:lang w:eastAsia="pt-BR"/>
              </w:rPr>
              <w:t>posição</w:t>
            </w:r>
            <w:r>
              <w:rPr>
                <w:rFonts w:ascii="Cambria" w:hAnsi="Cambria" w:eastAsia="Calibri" w:cs="Times New Roman"/>
                <w:sz w:val="22"/>
                <w:szCs w:val="22"/>
                <w:lang w:eastAsia="pt-BR"/>
              </w:rPr>
              <w:t xml:space="preserve"> do bisel e </w:t>
            </w:r>
            <w:r>
              <w:rPr>
                <w:rFonts w:ascii="Cambria" w:hAnsi="Cambria" w:eastAsia="Calibri" w:cs="Times New Roman"/>
                <w:sz w:val="20"/>
                <w:szCs w:val="20"/>
                <w:lang w:eastAsia="pt-BR"/>
              </w:rPr>
              <w:t>câmara</w:t>
            </w:r>
            <w:r>
              <w:rPr>
                <w:rFonts w:ascii="Cambria" w:hAnsi="Cambria" w:eastAsia="Calibri" w:cs="Times New Roman"/>
                <w:sz w:val="22"/>
                <w:szCs w:val="22"/>
                <w:lang w:eastAsia="pt-BR"/>
              </w:rPr>
              <w:t xml:space="preserve"> de refluxo</w:t>
            </w:r>
            <w:r>
              <w:rPr>
                <w:rFonts w:ascii="Cambria" w:hAnsi="Cambria" w:eastAsia="Calibri" w:cs="Times New Roman"/>
                <w:spacing w:val="1"/>
                <w:sz w:val="22"/>
                <w:szCs w:val="22"/>
                <w:lang w:eastAsia="pt-BR"/>
              </w:rPr>
              <w:t xml:space="preserve"> </w:t>
            </w:r>
            <w:r>
              <w:rPr>
                <w:rFonts w:ascii="Cambria" w:hAnsi="Cambria" w:eastAsia="Calibri" w:cs="Times New Roman"/>
                <w:sz w:val="22"/>
                <w:szCs w:val="22"/>
                <w:lang w:eastAsia="pt-BR"/>
              </w:rPr>
              <w:t>transparente com filtro poroso.</w:t>
            </w:r>
          </w:p>
        </w:tc>
        <w:tc>
          <w:tcPr>
            <w:tcW w:w="1047" w:type="dxa"/>
            <w:vAlign w:val="center"/>
          </w:tcPr>
          <w:p w14:paraId="5CE1E275">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60B995A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80.000</w:t>
            </w:r>
          </w:p>
        </w:tc>
      </w:tr>
      <w:tr w14:paraId="0E156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4EE3F503">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86</w:t>
            </w:r>
          </w:p>
        </w:tc>
        <w:tc>
          <w:tcPr>
            <w:tcW w:w="6206" w:type="dxa"/>
            <w:vAlign w:val="center"/>
          </w:tcPr>
          <w:p w14:paraId="1A3B4DDB">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Cateter</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intravenoso</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periférico</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24g</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x</w:t>
            </w:r>
            <w:r>
              <w:rPr>
                <w:rFonts w:ascii="Cambria" w:hAnsi="Cambria" w:eastAsia="Calibri" w:cs="Times New Roman"/>
                <w:spacing w:val="-7"/>
                <w:sz w:val="22"/>
                <w:szCs w:val="22"/>
                <w:lang w:eastAsia="pt-BR"/>
              </w:rPr>
              <w:t xml:space="preserve"> </w:t>
            </w:r>
            <w:r>
              <w:rPr>
                <w:rFonts w:ascii="Cambria" w:hAnsi="Cambria" w:eastAsia="Calibri" w:cs="Times New Roman"/>
                <w:sz w:val="22"/>
                <w:szCs w:val="22"/>
                <w:lang w:eastAsia="pt-BR"/>
              </w:rPr>
              <w:t>50</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mm, com dispositivo de proteção,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composto de cânula em vialon -</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radiopaco e transparente, agulha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eletripolida com ponta em "v" e bisel tri</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facetado, sistema de segurança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ergonômico, alerta indicadora da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posição do bisel e câmara de refluxo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transparente com filtro poroso. Caixa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com 100 unidades</w:t>
            </w:r>
          </w:p>
        </w:tc>
        <w:tc>
          <w:tcPr>
            <w:tcW w:w="1047" w:type="dxa"/>
            <w:vAlign w:val="center"/>
          </w:tcPr>
          <w:p w14:paraId="70269542">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133908DA">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800</w:t>
            </w:r>
          </w:p>
        </w:tc>
      </w:tr>
      <w:tr w14:paraId="4878B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6538D8A2">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87</w:t>
            </w:r>
          </w:p>
        </w:tc>
        <w:tc>
          <w:tcPr>
            <w:tcW w:w="6206" w:type="dxa"/>
            <w:vAlign w:val="center"/>
          </w:tcPr>
          <w:p w14:paraId="50DB9F6F">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Abaixador de língua confeccionado em</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madeira com embalagem individual de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papel.</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Pacote</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com</w:t>
            </w:r>
            <w:r>
              <w:rPr>
                <w:rFonts w:ascii="Cambria" w:hAnsi="Cambria" w:eastAsia="Calibri" w:cs="Times New Roman"/>
                <w:spacing w:val="-7"/>
                <w:sz w:val="22"/>
                <w:szCs w:val="22"/>
                <w:lang w:eastAsia="pt-BR"/>
              </w:rPr>
              <w:t xml:space="preserve"> </w:t>
            </w:r>
            <w:r>
              <w:rPr>
                <w:rFonts w:ascii="Cambria" w:hAnsi="Cambria" w:eastAsia="Calibri" w:cs="Times New Roman"/>
                <w:sz w:val="22"/>
                <w:szCs w:val="22"/>
                <w:lang w:eastAsia="pt-BR"/>
              </w:rPr>
              <w:t>100</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unidades,</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indicado</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para exames clínicos relacionados à</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 xml:space="preserve">garganta. Sua apresentação </w:t>
            </w:r>
            <w:r>
              <w:rPr>
                <w:rFonts w:ascii="Cambria" w:hAnsi="Cambria" w:eastAsia="Calibri" w:cs="Times New Roman"/>
                <w:sz w:val="20"/>
                <w:szCs w:val="20"/>
                <w:lang w:eastAsia="pt-BR"/>
              </w:rPr>
              <w:t>garante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maior segurança</w:t>
            </w:r>
            <w:r>
              <w:rPr>
                <w:rFonts w:ascii="Cambria" w:hAnsi="Cambria" w:eastAsia="Calibri" w:cs="Times New Roman"/>
                <w:spacing w:val="-16"/>
                <w:sz w:val="22"/>
                <w:szCs w:val="22"/>
                <w:lang w:eastAsia="pt-BR"/>
              </w:rPr>
              <w:t xml:space="preserve"> </w:t>
            </w:r>
            <w:r>
              <w:rPr>
                <w:rFonts w:ascii="Cambria" w:hAnsi="Cambria" w:eastAsia="Calibri" w:cs="Times New Roman"/>
                <w:sz w:val="20"/>
                <w:szCs w:val="20"/>
                <w:lang w:eastAsia="pt-BR"/>
              </w:rPr>
              <w:t>ao usuário.</w:t>
            </w:r>
          </w:p>
        </w:tc>
        <w:tc>
          <w:tcPr>
            <w:tcW w:w="1047" w:type="dxa"/>
            <w:vAlign w:val="center"/>
          </w:tcPr>
          <w:p w14:paraId="1480445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Pct</w:t>
            </w:r>
          </w:p>
        </w:tc>
        <w:tc>
          <w:tcPr>
            <w:tcW w:w="1417" w:type="dxa"/>
            <w:vAlign w:val="center"/>
          </w:tcPr>
          <w:p w14:paraId="17CA5702">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300</w:t>
            </w:r>
          </w:p>
        </w:tc>
      </w:tr>
      <w:tr w14:paraId="262CE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936E569">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88</w:t>
            </w:r>
          </w:p>
        </w:tc>
        <w:tc>
          <w:tcPr>
            <w:tcW w:w="6206" w:type="dxa"/>
            <w:vAlign w:val="center"/>
          </w:tcPr>
          <w:p w14:paraId="2A0BD273">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Papel</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grau</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cirúrgico</w:t>
            </w:r>
            <w:r>
              <w:rPr>
                <w:rFonts w:ascii="Cambria" w:hAnsi="Cambria" w:eastAsia="Calibri" w:cs="Times New Roman"/>
                <w:spacing w:val="-2"/>
                <w:sz w:val="22"/>
                <w:szCs w:val="22"/>
                <w:lang w:eastAsia="pt-BR"/>
              </w:rPr>
              <w:t xml:space="preserve"> </w:t>
            </w:r>
            <w:r>
              <w:rPr>
                <w:rFonts w:ascii="Cambria" w:hAnsi="Cambria" w:eastAsia="Calibri" w:cs="Times New Roman"/>
                <w:sz w:val="22"/>
                <w:szCs w:val="22"/>
                <w:lang w:eastAsia="pt-BR"/>
              </w:rPr>
              <w:t>15</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cm</w:t>
            </w:r>
            <w:r>
              <w:rPr>
                <w:rFonts w:ascii="Cambria" w:hAnsi="Cambria" w:eastAsia="Calibri" w:cs="Times New Roman"/>
                <w:spacing w:val="-4"/>
                <w:sz w:val="22"/>
                <w:szCs w:val="22"/>
                <w:lang w:eastAsia="pt-BR"/>
              </w:rPr>
              <w:t xml:space="preserve"> </w:t>
            </w:r>
            <w:r>
              <w:rPr>
                <w:rFonts w:ascii="Cambria" w:hAnsi="Cambria" w:eastAsia="Calibri" w:cs="Times New Roman"/>
                <w:sz w:val="20"/>
                <w:szCs w:val="20"/>
                <w:lang w:eastAsia="pt-BR"/>
              </w:rPr>
              <w:t>tipo</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envelope</w:t>
            </w:r>
          </w:p>
        </w:tc>
        <w:tc>
          <w:tcPr>
            <w:tcW w:w="1047" w:type="dxa"/>
            <w:vAlign w:val="center"/>
          </w:tcPr>
          <w:p w14:paraId="22954F6F">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55151E01">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50,0000</w:t>
            </w:r>
          </w:p>
        </w:tc>
      </w:tr>
      <w:tr w14:paraId="107E9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24A1DDE4">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89</w:t>
            </w:r>
          </w:p>
        </w:tc>
        <w:tc>
          <w:tcPr>
            <w:tcW w:w="6206" w:type="dxa"/>
            <w:vAlign w:val="center"/>
          </w:tcPr>
          <w:p w14:paraId="70CA38FC">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Seringa 3ml com agulha 25x7 (corpo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transparente, cilindro com anel de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retenção. Siliconada, embaladas</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individualmente em blister de filme</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termoplástico + papel grau cirúrgico,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seladas</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termicamente.).</w:t>
            </w:r>
            <w:r>
              <w:rPr>
                <w:rFonts w:ascii="Cambria" w:hAnsi="Cambria" w:eastAsia="Calibri" w:cs="Times New Roman"/>
                <w:spacing w:val="-5"/>
                <w:sz w:val="22"/>
                <w:szCs w:val="22"/>
                <w:lang w:eastAsia="pt-BR"/>
              </w:rPr>
              <w:t xml:space="preserve"> </w:t>
            </w:r>
            <w:r>
              <w:rPr>
                <w:rFonts w:ascii="Cambria" w:hAnsi="Cambria" w:eastAsia="Calibri" w:cs="Times New Roman"/>
                <w:sz w:val="20"/>
                <w:szCs w:val="20"/>
                <w:lang w:eastAsia="pt-BR"/>
              </w:rPr>
              <w:t>Com</w:t>
            </w:r>
            <w:r>
              <w:rPr>
                <w:rFonts w:ascii="Cambria" w:hAnsi="Cambria" w:eastAsia="Calibri" w:cs="Times New Roman"/>
                <w:spacing w:val="-5"/>
                <w:sz w:val="22"/>
                <w:szCs w:val="22"/>
                <w:lang w:eastAsia="pt-BR"/>
              </w:rPr>
              <w:t xml:space="preserve"> </w:t>
            </w:r>
            <w:r>
              <w:rPr>
                <w:rFonts w:ascii="Cambria" w:hAnsi="Cambria" w:eastAsia="Calibri" w:cs="Times New Roman"/>
                <w:sz w:val="20"/>
                <w:szCs w:val="20"/>
                <w:lang w:eastAsia="pt-BR"/>
              </w:rPr>
              <w:t>dispositivo</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segurança</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em</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atendimento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à</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nr32.</w:t>
            </w:r>
          </w:p>
        </w:tc>
        <w:tc>
          <w:tcPr>
            <w:tcW w:w="1047" w:type="dxa"/>
            <w:vAlign w:val="center"/>
          </w:tcPr>
          <w:p w14:paraId="18F90E7D">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25AD9D7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60.000</w:t>
            </w:r>
          </w:p>
        </w:tc>
      </w:tr>
      <w:tr w14:paraId="7642A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64C2263D">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90</w:t>
            </w:r>
          </w:p>
        </w:tc>
        <w:tc>
          <w:tcPr>
            <w:tcW w:w="6206" w:type="dxa"/>
            <w:vAlign w:val="center"/>
          </w:tcPr>
          <w:p w14:paraId="0741EE8B">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Escova plástica com dupla face, sendo</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constituída</w:t>
            </w:r>
            <w:r>
              <w:rPr>
                <w:rFonts w:ascii="Cambria" w:hAnsi="Cambria" w:eastAsia="Calibri" w:cs="Times New Roman"/>
                <w:spacing w:val="-9"/>
                <w:sz w:val="22"/>
                <w:szCs w:val="22"/>
                <w:lang w:eastAsia="pt-BR"/>
              </w:rPr>
              <w:t xml:space="preserve"> </w:t>
            </w:r>
            <w:r>
              <w:rPr>
                <w:rFonts w:ascii="Cambria" w:hAnsi="Cambria" w:eastAsia="Calibri" w:cs="Times New Roman"/>
                <w:spacing w:val="-1"/>
                <w:sz w:val="20"/>
                <w:szCs w:val="20"/>
                <w:lang w:eastAsia="pt-BR"/>
              </w:rPr>
              <w:t>de uma</w:t>
            </w:r>
            <w:r>
              <w:rPr>
                <w:rFonts w:ascii="Cambria" w:hAnsi="Cambria" w:eastAsia="Calibri" w:cs="Times New Roman"/>
                <w:spacing w:val="-8"/>
                <w:sz w:val="22"/>
                <w:szCs w:val="22"/>
                <w:lang w:eastAsia="pt-BR"/>
              </w:rPr>
              <w:t xml:space="preserve"> </w:t>
            </w:r>
            <w:r>
              <w:rPr>
                <w:rFonts w:ascii="Cambria" w:hAnsi="Cambria" w:eastAsia="Calibri" w:cs="Times New Roman"/>
                <w:spacing w:val="-1"/>
                <w:sz w:val="20"/>
                <w:szCs w:val="20"/>
                <w:lang w:eastAsia="pt-BR"/>
              </w:rPr>
              <w:t>escova</w:t>
            </w:r>
            <w:r>
              <w:rPr>
                <w:rFonts w:ascii="Cambria" w:hAnsi="Cambria" w:eastAsia="Calibri" w:cs="Times New Roman"/>
                <w:spacing w:val="-9"/>
                <w:sz w:val="22"/>
                <w:szCs w:val="22"/>
                <w:lang w:eastAsia="pt-BR"/>
              </w:rPr>
              <w:t xml:space="preserve"> </w:t>
            </w:r>
            <w:r>
              <w:rPr>
                <w:rFonts w:ascii="Cambria" w:hAnsi="Cambria" w:eastAsia="Calibri" w:cs="Times New Roman"/>
                <w:spacing w:val="-1"/>
                <w:sz w:val="20"/>
                <w:szCs w:val="20"/>
                <w:lang w:eastAsia="pt-BR"/>
              </w:rPr>
              <w:t>de</w:t>
            </w:r>
            <w:r>
              <w:rPr>
                <w:rFonts w:ascii="Cambria" w:hAnsi="Cambria" w:eastAsia="Calibri" w:cs="Times New Roman"/>
                <w:sz w:val="20"/>
                <w:szCs w:val="20"/>
                <w:lang w:eastAsia="pt-BR"/>
              </w:rPr>
              <w:t xml:space="preserve"> polietileno</w:t>
            </w:r>
            <w:r>
              <w:rPr>
                <w:rFonts w:ascii="Cambria" w:hAnsi="Cambria" w:eastAsia="Calibri" w:cs="Times New Roman"/>
                <w:spacing w:val="-36"/>
                <w:sz w:val="22"/>
                <w:szCs w:val="22"/>
                <w:lang w:eastAsia="pt-BR"/>
              </w:rPr>
              <w:t xml:space="preserve"> </w:t>
            </w:r>
            <w:r>
              <w:rPr>
                <w:rFonts w:ascii="Cambria" w:hAnsi="Cambria" w:eastAsia="Calibri" w:cs="Times New Roman"/>
                <w:spacing w:val="-1"/>
                <w:sz w:val="20"/>
                <w:szCs w:val="20"/>
                <w:lang w:eastAsia="pt-BR"/>
              </w:rPr>
              <w:t xml:space="preserve">acoplada a uma </w:t>
            </w:r>
            <w:r>
              <w:rPr>
                <w:rFonts w:ascii="Cambria" w:hAnsi="Cambria" w:eastAsia="Calibri" w:cs="Times New Roman"/>
                <w:sz w:val="20"/>
                <w:szCs w:val="20"/>
                <w:lang w:eastAsia="pt-BR"/>
              </w:rPr>
              <w:t>esponja de poliuretano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contendo clorexidina degermante para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degermação pré-operatória. Embalagem</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individual trazendo externamente os</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dados de identificação, procedência,</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número</w:t>
            </w:r>
            <w:r>
              <w:rPr>
                <w:rFonts w:ascii="Cambria" w:hAnsi="Cambria" w:eastAsia="Calibri" w:cs="Times New Roman"/>
                <w:spacing w:val="-3"/>
                <w:sz w:val="22"/>
                <w:szCs w:val="22"/>
                <w:lang w:eastAsia="pt-BR"/>
              </w:rPr>
              <w:t xml:space="preserve"> </w:t>
            </w:r>
            <w:r>
              <w:rPr>
                <w:rFonts w:ascii="Cambria" w:hAnsi="Cambria" w:eastAsia="Calibri" w:cs="Times New Roman"/>
                <w:spacing w:val="-1"/>
                <w:sz w:val="20"/>
                <w:szCs w:val="20"/>
                <w:lang w:eastAsia="pt-BR"/>
              </w:rPr>
              <w:t>de</w:t>
            </w:r>
            <w:r>
              <w:rPr>
                <w:rFonts w:ascii="Cambria" w:hAnsi="Cambria" w:eastAsia="Calibri" w:cs="Times New Roman"/>
                <w:spacing w:val="-2"/>
                <w:sz w:val="22"/>
                <w:szCs w:val="22"/>
                <w:lang w:eastAsia="pt-BR"/>
              </w:rPr>
              <w:t xml:space="preserve"> </w:t>
            </w:r>
            <w:r>
              <w:rPr>
                <w:rFonts w:ascii="Cambria" w:hAnsi="Cambria" w:eastAsia="Calibri" w:cs="Times New Roman"/>
                <w:spacing w:val="-1"/>
                <w:sz w:val="20"/>
                <w:szCs w:val="20"/>
                <w:lang w:eastAsia="pt-BR"/>
              </w:rPr>
              <w:t>lote,</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data</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fabricação,</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pra</w:t>
            </w:r>
            <w:r>
              <w:rPr>
                <w:rFonts w:ascii="Cambria" w:hAnsi="Cambria" w:eastAsia="Calibri" w:cs="Times New Roman"/>
                <w:spacing w:val="-1"/>
                <w:sz w:val="20"/>
                <w:szCs w:val="20"/>
                <w:lang w:eastAsia="pt-BR"/>
              </w:rPr>
              <w:t xml:space="preserve">zo de validade. Caixa contendo </w:t>
            </w:r>
            <w:r>
              <w:rPr>
                <w:rFonts w:ascii="Cambria" w:hAnsi="Cambria" w:eastAsia="Calibri" w:cs="Times New Roman"/>
                <w:sz w:val="22"/>
                <w:szCs w:val="22"/>
                <w:lang w:eastAsia="pt-BR"/>
              </w:rPr>
              <w:t>80</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unidades.</w:t>
            </w:r>
          </w:p>
        </w:tc>
        <w:tc>
          <w:tcPr>
            <w:tcW w:w="1047" w:type="dxa"/>
            <w:vAlign w:val="center"/>
          </w:tcPr>
          <w:p w14:paraId="0769120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64E66878">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100</w:t>
            </w:r>
          </w:p>
        </w:tc>
      </w:tr>
      <w:tr w14:paraId="3C1F2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75C3AFCD">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91</w:t>
            </w:r>
          </w:p>
        </w:tc>
        <w:tc>
          <w:tcPr>
            <w:tcW w:w="6206" w:type="dxa"/>
            <w:vAlign w:val="center"/>
          </w:tcPr>
          <w:p w14:paraId="6F3C4CDF">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Sonda</w:t>
            </w:r>
            <w:r>
              <w:rPr>
                <w:rFonts w:ascii="Cambria" w:hAnsi="Cambria" w:eastAsia="Calibri" w:cs="Times New Roman"/>
                <w:spacing w:val="-9"/>
                <w:sz w:val="22"/>
                <w:szCs w:val="22"/>
                <w:lang w:eastAsia="pt-BR"/>
              </w:rPr>
              <w:t xml:space="preserve"> </w:t>
            </w:r>
            <w:r>
              <w:rPr>
                <w:rFonts w:ascii="Cambria" w:hAnsi="Cambria" w:eastAsia="Calibri" w:cs="Times New Roman"/>
                <w:spacing w:val="-1"/>
                <w:sz w:val="20"/>
                <w:szCs w:val="20"/>
                <w:lang w:eastAsia="pt-BR"/>
              </w:rPr>
              <w:t>nasogástrica</w:t>
            </w:r>
            <w:r>
              <w:rPr>
                <w:rFonts w:ascii="Cambria" w:hAnsi="Cambria" w:eastAsia="Calibri" w:cs="Times New Roman"/>
                <w:spacing w:val="-8"/>
                <w:sz w:val="22"/>
                <w:szCs w:val="22"/>
                <w:lang w:eastAsia="pt-BR"/>
              </w:rPr>
              <w:t xml:space="preserve"> </w:t>
            </w:r>
            <w:r>
              <w:rPr>
                <w:rFonts w:ascii="Cambria" w:hAnsi="Cambria" w:eastAsia="Calibri" w:cs="Times New Roman"/>
                <w:spacing w:val="-1"/>
                <w:sz w:val="20"/>
                <w:szCs w:val="20"/>
                <w:lang w:eastAsia="pt-BR"/>
              </w:rPr>
              <w:t>curta</w:t>
            </w:r>
            <w:r>
              <w:rPr>
                <w:rFonts w:ascii="Cambria" w:hAnsi="Cambria" w:eastAsia="Calibri" w:cs="Times New Roman"/>
                <w:spacing w:val="-9"/>
                <w:sz w:val="22"/>
                <w:szCs w:val="22"/>
                <w:lang w:eastAsia="pt-BR"/>
              </w:rPr>
              <w:t xml:space="preserve"> </w:t>
            </w:r>
            <w:r>
              <w:rPr>
                <w:rFonts w:ascii="Cambria" w:hAnsi="Cambria" w:eastAsia="Calibri" w:cs="Times New Roman"/>
                <w:spacing w:val="-1"/>
                <w:sz w:val="20"/>
                <w:szCs w:val="20"/>
                <w:lang w:eastAsia="pt-BR"/>
              </w:rPr>
              <w:t>n°</w:t>
            </w:r>
            <w:r>
              <w:rPr>
                <w:rFonts w:ascii="Cambria" w:hAnsi="Cambria" w:eastAsia="Calibri" w:cs="Times New Roman"/>
                <w:sz w:val="22"/>
                <w:szCs w:val="22"/>
                <w:lang w:eastAsia="pt-BR"/>
              </w:rPr>
              <w:t xml:space="preserve"> </w:t>
            </w:r>
            <w:r>
              <w:rPr>
                <w:rFonts w:ascii="Cambria" w:hAnsi="Cambria" w:eastAsia="Calibri" w:cs="Times New Roman"/>
                <w:spacing w:val="-1"/>
                <w:sz w:val="22"/>
                <w:szCs w:val="22"/>
                <w:lang w:eastAsia="pt-BR"/>
              </w:rPr>
              <w:t xml:space="preserve">10 </w:t>
            </w:r>
            <w:r>
              <w:rPr>
                <w:rFonts w:ascii="Cambria" w:hAnsi="Cambria" w:eastAsia="Calibri" w:cs="Times New Roman"/>
                <w:sz w:val="22"/>
                <w:szCs w:val="22"/>
                <w:lang w:eastAsia="pt-BR"/>
              </w:rPr>
              <w:t>-</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caixa</w:t>
            </w:r>
            <w:r>
              <w:rPr>
                <w:rFonts w:ascii="Cambria" w:hAnsi="Cambria" w:eastAsia="Calibri" w:cs="Times New Roman"/>
                <w:spacing w:val="-35"/>
                <w:sz w:val="22"/>
                <w:szCs w:val="22"/>
                <w:lang w:eastAsia="pt-BR"/>
              </w:rPr>
              <w:t xml:space="preserve"> </w:t>
            </w:r>
            <w:r>
              <w:rPr>
                <w:rFonts w:ascii="Cambria" w:hAnsi="Cambria" w:eastAsia="Calibri" w:cs="Times New Roman"/>
                <w:sz w:val="20"/>
                <w:szCs w:val="20"/>
                <w:lang w:eastAsia="pt-BR"/>
              </w:rPr>
              <w:t>com 10 unidades</w:t>
            </w:r>
          </w:p>
        </w:tc>
        <w:tc>
          <w:tcPr>
            <w:tcW w:w="1047" w:type="dxa"/>
            <w:vAlign w:val="center"/>
          </w:tcPr>
          <w:p w14:paraId="775DFB8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6B872EE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200</w:t>
            </w:r>
          </w:p>
        </w:tc>
      </w:tr>
      <w:tr w14:paraId="1FF21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12C3C1E2">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92</w:t>
            </w:r>
          </w:p>
        </w:tc>
        <w:tc>
          <w:tcPr>
            <w:tcW w:w="6206" w:type="dxa"/>
            <w:vAlign w:val="center"/>
          </w:tcPr>
          <w:p w14:paraId="7AF1AFFF">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Sonda</w:t>
            </w:r>
            <w:r>
              <w:rPr>
                <w:rFonts w:ascii="Cambria" w:hAnsi="Cambria" w:eastAsia="Calibri" w:cs="Times New Roman"/>
                <w:spacing w:val="-9"/>
                <w:sz w:val="22"/>
                <w:szCs w:val="22"/>
                <w:lang w:eastAsia="pt-BR"/>
              </w:rPr>
              <w:t xml:space="preserve"> </w:t>
            </w:r>
            <w:r>
              <w:rPr>
                <w:rFonts w:ascii="Cambria" w:hAnsi="Cambria" w:eastAsia="Calibri" w:cs="Times New Roman"/>
                <w:spacing w:val="-1"/>
                <w:sz w:val="20"/>
                <w:szCs w:val="20"/>
                <w:lang w:eastAsia="pt-BR"/>
              </w:rPr>
              <w:t>nasogástrica</w:t>
            </w:r>
            <w:r>
              <w:rPr>
                <w:rFonts w:ascii="Cambria" w:hAnsi="Cambria" w:eastAsia="Calibri" w:cs="Times New Roman"/>
                <w:spacing w:val="-8"/>
                <w:sz w:val="22"/>
                <w:szCs w:val="22"/>
                <w:lang w:eastAsia="pt-BR"/>
              </w:rPr>
              <w:t xml:space="preserve"> </w:t>
            </w:r>
            <w:r>
              <w:rPr>
                <w:rFonts w:ascii="Cambria" w:hAnsi="Cambria" w:eastAsia="Calibri" w:cs="Times New Roman"/>
                <w:spacing w:val="-1"/>
                <w:sz w:val="20"/>
                <w:szCs w:val="20"/>
                <w:lang w:eastAsia="pt-BR"/>
              </w:rPr>
              <w:t>curta</w:t>
            </w:r>
            <w:r>
              <w:rPr>
                <w:rFonts w:ascii="Cambria" w:hAnsi="Cambria" w:eastAsia="Calibri" w:cs="Times New Roman"/>
                <w:spacing w:val="-9"/>
                <w:sz w:val="22"/>
                <w:szCs w:val="22"/>
                <w:lang w:eastAsia="pt-BR"/>
              </w:rPr>
              <w:t xml:space="preserve"> </w:t>
            </w:r>
            <w:r>
              <w:rPr>
                <w:rFonts w:ascii="Cambria" w:hAnsi="Cambria" w:eastAsia="Calibri" w:cs="Times New Roman"/>
                <w:spacing w:val="-1"/>
                <w:sz w:val="20"/>
                <w:szCs w:val="20"/>
                <w:lang w:eastAsia="pt-BR"/>
              </w:rPr>
              <w:t>n°</w:t>
            </w:r>
            <w:r>
              <w:rPr>
                <w:rFonts w:ascii="Cambria" w:hAnsi="Cambria" w:eastAsia="Calibri" w:cs="Times New Roman"/>
                <w:sz w:val="22"/>
                <w:szCs w:val="22"/>
                <w:lang w:eastAsia="pt-BR"/>
              </w:rPr>
              <w:t xml:space="preserve"> </w:t>
            </w:r>
            <w:r>
              <w:rPr>
                <w:rFonts w:ascii="Cambria" w:hAnsi="Cambria" w:eastAsia="Calibri" w:cs="Times New Roman"/>
                <w:spacing w:val="-1"/>
                <w:sz w:val="22"/>
                <w:szCs w:val="22"/>
                <w:lang w:eastAsia="pt-BR"/>
              </w:rPr>
              <w:t xml:space="preserve">12 </w:t>
            </w:r>
            <w:r>
              <w:rPr>
                <w:rFonts w:ascii="Cambria" w:hAnsi="Cambria" w:eastAsia="Calibri" w:cs="Times New Roman"/>
                <w:sz w:val="22"/>
                <w:szCs w:val="22"/>
                <w:lang w:eastAsia="pt-BR"/>
              </w:rPr>
              <w:t>-</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caixa</w:t>
            </w:r>
            <w:r>
              <w:rPr>
                <w:rFonts w:ascii="Cambria" w:hAnsi="Cambria" w:eastAsia="Calibri" w:cs="Times New Roman"/>
                <w:spacing w:val="-35"/>
                <w:sz w:val="22"/>
                <w:szCs w:val="22"/>
                <w:lang w:eastAsia="pt-BR"/>
              </w:rPr>
              <w:t xml:space="preserve"> </w:t>
            </w:r>
            <w:r>
              <w:rPr>
                <w:rFonts w:ascii="Cambria" w:hAnsi="Cambria" w:eastAsia="Calibri" w:cs="Times New Roman"/>
                <w:sz w:val="20"/>
                <w:szCs w:val="20"/>
                <w:lang w:eastAsia="pt-BR"/>
              </w:rPr>
              <w:t>com 10 unidades</w:t>
            </w:r>
          </w:p>
        </w:tc>
        <w:tc>
          <w:tcPr>
            <w:tcW w:w="1047" w:type="dxa"/>
            <w:vAlign w:val="center"/>
          </w:tcPr>
          <w:p w14:paraId="24F9D2F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1F1FBF14">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200</w:t>
            </w:r>
          </w:p>
        </w:tc>
      </w:tr>
      <w:tr w14:paraId="12C43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2597C76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93</w:t>
            </w:r>
          </w:p>
        </w:tc>
        <w:tc>
          <w:tcPr>
            <w:tcW w:w="6206" w:type="dxa"/>
            <w:vAlign w:val="center"/>
          </w:tcPr>
          <w:p w14:paraId="4ACA8B72">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Sonda</w:t>
            </w:r>
            <w:r>
              <w:rPr>
                <w:rFonts w:ascii="Cambria" w:hAnsi="Cambria" w:eastAsia="Calibri" w:cs="Times New Roman"/>
                <w:spacing w:val="-9"/>
                <w:sz w:val="22"/>
                <w:szCs w:val="22"/>
                <w:lang w:eastAsia="pt-BR"/>
              </w:rPr>
              <w:t xml:space="preserve"> </w:t>
            </w:r>
            <w:r>
              <w:rPr>
                <w:rFonts w:ascii="Cambria" w:hAnsi="Cambria" w:eastAsia="Calibri" w:cs="Times New Roman"/>
                <w:spacing w:val="-1"/>
                <w:sz w:val="20"/>
                <w:szCs w:val="20"/>
                <w:lang w:eastAsia="pt-BR"/>
              </w:rPr>
              <w:t>nasogástrica</w:t>
            </w:r>
            <w:r>
              <w:rPr>
                <w:rFonts w:ascii="Cambria" w:hAnsi="Cambria" w:eastAsia="Calibri" w:cs="Times New Roman"/>
                <w:spacing w:val="-8"/>
                <w:sz w:val="22"/>
                <w:szCs w:val="22"/>
                <w:lang w:eastAsia="pt-BR"/>
              </w:rPr>
              <w:t xml:space="preserve"> </w:t>
            </w:r>
            <w:r>
              <w:rPr>
                <w:rFonts w:ascii="Cambria" w:hAnsi="Cambria" w:eastAsia="Calibri" w:cs="Times New Roman"/>
                <w:spacing w:val="-1"/>
                <w:sz w:val="20"/>
                <w:szCs w:val="20"/>
                <w:lang w:eastAsia="pt-BR"/>
              </w:rPr>
              <w:t>curta</w:t>
            </w:r>
            <w:r>
              <w:rPr>
                <w:rFonts w:ascii="Cambria" w:hAnsi="Cambria" w:eastAsia="Calibri" w:cs="Times New Roman"/>
                <w:spacing w:val="-9"/>
                <w:sz w:val="22"/>
                <w:szCs w:val="22"/>
                <w:lang w:eastAsia="pt-BR"/>
              </w:rPr>
              <w:t xml:space="preserve"> </w:t>
            </w:r>
            <w:r>
              <w:rPr>
                <w:rFonts w:ascii="Cambria" w:hAnsi="Cambria" w:eastAsia="Calibri" w:cs="Times New Roman"/>
                <w:spacing w:val="-1"/>
                <w:sz w:val="20"/>
                <w:szCs w:val="20"/>
                <w:lang w:eastAsia="pt-BR"/>
              </w:rPr>
              <w:t>n°</w:t>
            </w:r>
            <w:r>
              <w:rPr>
                <w:rFonts w:ascii="Cambria" w:hAnsi="Cambria" w:eastAsia="Calibri" w:cs="Times New Roman"/>
                <w:sz w:val="22"/>
                <w:szCs w:val="22"/>
                <w:lang w:eastAsia="pt-BR"/>
              </w:rPr>
              <w:t xml:space="preserve"> </w:t>
            </w:r>
            <w:r>
              <w:rPr>
                <w:rFonts w:ascii="Cambria" w:hAnsi="Cambria" w:eastAsia="Calibri" w:cs="Times New Roman"/>
                <w:spacing w:val="-1"/>
                <w:sz w:val="22"/>
                <w:szCs w:val="22"/>
                <w:lang w:eastAsia="pt-BR"/>
              </w:rPr>
              <w:t xml:space="preserve">16 </w:t>
            </w:r>
            <w:r>
              <w:rPr>
                <w:rFonts w:ascii="Cambria" w:hAnsi="Cambria" w:eastAsia="Calibri" w:cs="Times New Roman"/>
                <w:sz w:val="22"/>
                <w:szCs w:val="22"/>
                <w:lang w:eastAsia="pt-BR"/>
              </w:rPr>
              <w:t>-</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caixa</w:t>
            </w:r>
            <w:r>
              <w:rPr>
                <w:rFonts w:ascii="Cambria" w:hAnsi="Cambria" w:eastAsia="Calibri" w:cs="Times New Roman"/>
                <w:spacing w:val="-35"/>
                <w:sz w:val="22"/>
                <w:szCs w:val="22"/>
                <w:lang w:eastAsia="pt-BR"/>
              </w:rPr>
              <w:t xml:space="preserve"> </w:t>
            </w:r>
            <w:r>
              <w:rPr>
                <w:rFonts w:ascii="Cambria" w:hAnsi="Cambria" w:eastAsia="Calibri" w:cs="Times New Roman"/>
                <w:sz w:val="20"/>
                <w:szCs w:val="20"/>
                <w:lang w:eastAsia="pt-BR"/>
              </w:rPr>
              <w:t>com 10 unidades</w:t>
            </w:r>
          </w:p>
        </w:tc>
        <w:tc>
          <w:tcPr>
            <w:tcW w:w="1047" w:type="dxa"/>
            <w:vAlign w:val="center"/>
          </w:tcPr>
          <w:p w14:paraId="57546F00">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5D3343F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300</w:t>
            </w:r>
          </w:p>
        </w:tc>
      </w:tr>
      <w:tr w14:paraId="0A000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0D844CE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94</w:t>
            </w:r>
          </w:p>
        </w:tc>
        <w:tc>
          <w:tcPr>
            <w:tcW w:w="6206" w:type="dxa"/>
            <w:vAlign w:val="center"/>
          </w:tcPr>
          <w:p w14:paraId="2786E275">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Sonda</w:t>
            </w:r>
            <w:r>
              <w:rPr>
                <w:rFonts w:ascii="Cambria" w:hAnsi="Cambria" w:eastAsia="Calibri" w:cs="Times New Roman"/>
                <w:spacing w:val="-9"/>
                <w:sz w:val="22"/>
                <w:szCs w:val="22"/>
                <w:lang w:eastAsia="pt-BR"/>
              </w:rPr>
              <w:t xml:space="preserve"> </w:t>
            </w:r>
            <w:r>
              <w:rPr>
                <w:rFonts w:ascii="Cambria" w:hAnsi="Cambria" w:eastAsia="Calibri" w:cs="Times New Roman"/>
                <w:spacing w:val="-1"/>
                <w:sz w:val="20"/>
                <w:szCs w:val="20"/>
                <w:lang w:eastAsia="pt-BR"/>
              </w:rPr>
              <w:t>nasogástrica</w:t>
            </w:r>
            <w:r>
              <w:rPr>
                <w:rFonts w:ascii="Cambria" w:hAnsi="Cambria" w:eastAsia="Calibri" w:cs="Times New Roman"/>
                <w:spacing w:val="-8"/>
                <w:sz w:val="22"/>
                <w:szCs w:val="22"/>
                <w:lang w:eastAsia="pt-BR"/>
              </w:rPr>
              <w:t xml:space="preserve"> </w:t>
            </w:r>
            <w:r>
              <w:rPr>
                <w:rFonts w:ascii="Cambria" w:hAnsi="Cambria" w:eastAsia="Calibri" w:cs="Times New Roman"/>
                <w:spacing w:val="-1"/>
                <w:sz w:val="20"/>
                <w:szCs w:val="20"/>
                <w:lang w:eastAsia="pt-BR"/>
              </w:rPr>
              <w:t>curta</w:t>
            </w:r>
            <w:r>
              <w:rPr>
                <w:rFonts w:ascii="Cambria" w:hAnsi="Cambria" w:eastAsia="Calibri" w:cs="Times New Roman"/>
                <w:spacing w:val="-9"/>
                <w:sz w:val="22"/>
                <w:szCs w:val="22"/>
                <w:lang w:eastAsia="pt-BR"/>
              </w:rPr>
              <w:t xml:space="preserve"> </w:t>
            </w:r>
            <w:r>
              <w:rPr>
                <w:rFonts w:ascii="Cambria" w:hAnsi="Cambria" w:eastAsia="Calibri" w:cs="Times New Roman"/>
                <w:spacing w:val="-1"/>
                <w:sz w:val="20"/>
                <w:szCs w:val="20"/>
                <w:lang w:eastAsia="pt-BR"/>
              </w:rPr>
              <w:t>n°</w:t>
            </w:r>
            <w:r>
              <w:rPr>
                <w:rFonts w:ascii="Cambria" w:hAnsi="Cambria" w:eastAsia="Calibri" w:cs="Times New Roman"/>
                <w:sz w:val="22"/>
                <w:szCs w:val="22"/>
                <w:lang w:eastAsia="pt-BR"/>
              </w:rPr>
              <w:t xml:space="preserve"> </w:t>
            </w:r>
            <w:r>
              <w:rPr>
                <w:rFonts w:ascii="Cambria" w:hAnsi="Cambria" w:eastAsia="Calibri" w:cs="Times New Roman"/>
                <w:spacing w:val="-1"/>
                <w:sz w:val="22"/>
                <w:szCs w:val="22"/>
                <w:lang w:eastAsia="pt-BR"/>
              </w:rPr>
              <w:t xml:space="preserve">18 </w:t>
            </w:r>
            <w:r>
              <w:rPr>
                <w:rFonts w:ascii="Cambria" w:hAnsi="Cambria" w:eastAsia="Calibri" w:cs="Times New Roman"/>
                <w:sz w:val="22"/>
                <w:szCs w:val="22"/>
                <w:lang w:eastAsia="pt-BR"/>
              </w:rPr>
              <w:t>-</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caixa</w:t>
            </w:r>
            <w:r>
              <w:rPr>
                <w:rFonts w:ascii="Cambria" w:hAnsi="Cambria" w:eastAsia="Calibri" w:cs="Times New Roman"/>
                <w:spacing w:val="-35"/>
                <w:sz w:val="22"/>
                <w:szCs w:val="22"/>
                <w:lang w:eastAsia="pt-BR"/>
              </w:rPr>
              <w:t xml:space="preserve"> </w:t>
            </w:r>
            <w:r>
              <w:rPr>
                <w:rFonts w:ascii="Cambria" w:hAnsi="Cambria" w:eastAsia="Calibri" w:cs="Times New Roman"/>
                <w:sz w:val="20"/>
                <w:szCs w:val="20"/>
                <w:lang w:eastAsia="pt-BR"/>
              </w:rPr>
              <w:t>com 10 unidades</w:t>
            </w:r>
          </w:p>
        </w:tc>
        <w:tc>
          <w:tcPr>
            <w:tcW w:w="1047" w:type="dxa"/>
            <w:vAlign w:val="center"/>
          </w:tcPr>
          <w:p w14:paraId="7CAA603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2F3B1E24">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400</w:t>
            </w:r>
          </w:p>
        </w:tc>
      </w:tr>
      <w:tr w14:paraId="48BB7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3E67CD2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95</w:t>
            </w:r>
          </w:p>
        </w:tc>
        <w:tc>
          <w:tcPr>
            <w:tcW w:w="6206" w:type="dxa"/>
            <w:vAlign w:val="center"/>
          </w:tcPr>
          <w:p w14:paraId="2F36290F">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Sonda</w:t>
            </w:r>
            <w:r>
              <w:rPr>
                <w:rFonts w:ascii="Cambria" w:hAnsi="Cambria" w:eastAsia="Calibri" w:cs="Times New Roman"/>
                <w:spacing w:val="-9"/>
                <w:sz w:val="22"/>
                <w:szCs w:val="22"/>
                <w:lang w:eastAsia="pt-BR"/>
              </w:rPr>
              <w:t xml:space="preserve"> </w:t>
            </w:r>
            <w:r>
              <w:rPr>
                <w:rFonts w:ascii="Cambria" w:hAnsi="Cambria" w:eastAsia="Calibri" w:cs="Times New Roman"/>
                <w:spacing w:val="-1"/>
                <w:sz w:val="20"/>
                <w:szCs w:val="20"/>
                <w:lang w:eastAsia="pt-BR"/>
              </w:rPr>
              <w:t>nasogástrica</w:t>
            </w:r>
            <w:r>
              <w:rPr>
                <w:rFonts w:ascii="Cambria" w:hAnsi="Cambria" w:eastAsia="Calibri" w:cs="Times New Roman"/>
                <w:spacing w:val="-8"/>
                <w:sz w:val="22"/>
                <w:szCs w:val="22"/>
                <w:lang w:eastAsia="pt-BR"/>
              </w:rPr>
              <w:t xml:space="preserve"> </w:t>
            </w:r>
            <w:r>
              <w:rPr>
                <w:rFonts w:ascii="Cambria" w:hAnsi="Cambria" w:eastAsia="Calibri" w:cs="Times New Roman"/>
                <w:spacing w:val="-1"/>
                <w:sz w:val="20"/>
                <w:szCs w:val="20"/>
                <w:lang w:eastAsia="pt-BR"/>
              </w:rPr>
              <w:t>curta</w:t>
            </w:r>
            <w:r>
              <w:rPr>
                <w:rFonts w:ascii="Cambria" w:hAnsi="Cambria" w:eastAsia="Calibri" w:cs="Times New Roman"/>
                <w:spacing w:val="-9"/>
                <w:sz w:val="22"/>
                <w:szCs w:val="22"/>
                <w:lang w:eastAsia="pt-BR"/>
              </w:rPr>
              <w:t xml:space="preserve"> </w:t>
            </w:r>
            <w:r>
              <w:rPr>
                <w:rFonts w:ascii="Cambria" w:hAnsi="Cambria" w:eastAsia="Calibri" w:cs="Times New Roman"/>
                <w:spacing w:val="-1"/>
                <w:sz w:val="20"/>
                <w:szCs w:val="20"/>
                <w:lang w:eastAsia="pt-BR"/>
              </w:rPr>
              <w:t>nº 14</w:t>
            </w:r>
            <w:r>
              <w:rPr>
                <w:rFonts w:ascii="Cambria" w:hAnsi="Cambria" w:eastAsia="Calibri" w:cs="Times New Roman"/>
                <w:sz w:val="22"/>
                <w:szCs w:val="22"/>
                <w:lang w:eastAsia="pt-BR"/>
              </w:rPr>
              <w:t xml:space="preserve"> -</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caixa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com 10 unidades</w:t>
            </w:r>
          </w:p>
        </w:tc>
        <w:tc>
          <w:tcPr>
            <w:tcW w:w="1047" w:type="dxa"/>
            <w:vAlign w:val="center"/>
          </w:tcPr>
          <w:p w14:paraId="4BD200C3">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52740A49">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500</w:t>
            </w:r>
          </w:p>
        </w:tc>
      </w:tr>
      <w:tr w14:paraId="0BA82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BC559BC">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96</w:t>
            </w:r>
          </w:p>
        </w:tc>
        <w:tc>
          <w:tcPr>
            <w:tcW w:w="6206" w:type="dxa"/>
            <w:vAlign w:val="center"/>
          </w:tcPr>
          <w:p w14:paraId="3D10724A">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Sonda</w:t>
            </w:r>
            <w:r>
              <w:rPr>
                <w:rFonts w:ascii="Cambria" w:hAnsi="Cambria" w:eastAsia="Calibri" w:cs="Times New Roman"/>
                <w:spacing w:val="-8"/>
                <w:sz w:val="22"/>
                <w:szCs w:val="22"/>
                <w:lang w:eastAsia="pt-BR"/>
              </w:rPr>
              <w:t xml:space="preserve"> </w:t>
            </w:r>
            <w:r>
              <w:rPr>
                <w:rFonts w:ascii="Cambria" w:hAnsi="Cambria" w:eastAsia="Calibri" w:cs="Times New Roman"/>
                <w:spacing w:val="-1"/>
                <w:sz w:val="20"/>
                <w:szCs w:val="20"/>
                <w:lang w:eastAsia="pt-BR"/>
              </w:rPr>
              <w:t>nasogástrica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longa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n° 12 - caixa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com 10 unidades</w:t>
            </w:r>
          </w:p>
        </w:tc>
        <w:tc>
          <w:tcPr>
            <w:tcW w:w="1047" w:type="dxa"/>
            <w:vAlign w:val="center"/>
          </w:tcPr>
          <w:p w14:paraId="3AFD576D">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240FC292">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300</w:t>
            </w:r>
          </w:p>
        </w:tc>
      </w:tr>
      <w:tr w14:paraId="7685F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4D5DC04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97</w:t>
            </w:r>
          </w:p>
        </w:tc>
        <w:tc>
          <w:tcPr>
            <w:tcW w:w="6206" w:type="dxa"/>
            <w:vAlign w:val="center"/>
          </w:tcPr>
          <w:p w14:paraId="20A6CA80">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Sonda</w:t>
            </w:r>
            <w:r>
              <w:rPr>
                <w:rFonts w:ascii="Cambria" w:hAnsi="Cambria" w:eastAsia="Calibri" w:cs="Times New Roman"/>
                <w:spacing w:val="-8"/>
                <w:sz w:val="22"/>
                <w:szCs w:val="22"/>
                <w:lang w:eastAsia="pt-BR"/>
              </w:rPr>
              <w:t xml:space="preserve"> </w:t>
            </w:r>
            <w:r>
              <w:rPr>
                <w:rFonts w:ascii="Cambria" w:hAnsi="Cambria" w:eastAsia="Calibri" w:cs="Times New Roman"/>
                <w:spacing w:val="-1"/>
                <w:sz w:val="20"/>
                <w:szCs w:val="20"/>
                <w:lang w:eastAsia="pt-BR"/>
              </w:rPr>
              <w:t>nasogástrica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longa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n° 14 - caixa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com 10 unidades</w:t>
            </w:r>
          </w:p>
        </w:tc>
        <w:tc>
          <w:tcPr>
            <w:tcW w:w="1047" w:type="dxa"/>
            <w:vAlign w:val="center"/>
          </w:tcPr>
          <w:p w14:paraId="39B34E64">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2ED32D84">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350</w:t>
            </w:r>
          </w:p>
        </w:tc>
      </w:tr>
      <w:tr w14:paraId="336E1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0D466BAC">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98</w:t>
            </w:r>
          </w:p>
        </w:tc>
        <w:tc>
          <w:tcPr>
            <w:tcW w:w="6206" w:type="dxa"/>
            <w:vAlign w:val="center"/>
          </w:tcPr>
          <w:p w14:paraId="619D542A">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Sonda</w:t>
            </w:r>
            <w:r>
              <w:rPr>
                <w:rFonts w:ascii="Cambria" w:hAnsi="Cambria" w:eastAsia="Calibri" w:cs="Times New Roman"/>
                <w:spacing w:val="-8"/>
                <w:sz w:val="22"/>
                <w:szCs w:val="22"/>
                <w:lang w:eastAsia="pt-BR"/>
              </w:rPr>
              <w:t xml:space="preserve"> </w:t>
            </w:r>
            <w:r>
              <w:rPr>
                <w:rFonts w:ascii="Cambria" w:hAnsi="Cambria" w:eastAsia="Calibri" w:cs="Times New Roman"/>
                <w:spacing w:val="-1"/>
                <w:sz w:val="20"/>
                <w:szCs w:val="20"/>
                <w:lang w:eastAsia="pt-BR"/>
              </w:rPr>
              <w:t>nasogástrica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longa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n° 16 - caixa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com 10 unidades</w:t>
            </w:r>
          </w:p>
        </w:tc>
        <w:tc>
          <w:tcPr>
            <w:tcW w:w="1047" w:type="dxa"/>
            <w:vAlign w:val="center"/>
          </w:tcPr>
          <w:p w14:paraId="6BB2AF50">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40FC8B05">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500</w:t>
            </w:r>
          </w:p>
        </w:tc>
      </w:tr>
      <w:tr w14:paraId="7DC21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2221F1CA">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99</w:t>
            </w:r>
          </w:p>
        </w:tc>
        <w:tc>
          <w:tcPr>
            <w:tcW w:w="6206" w:type="dxa"/>
            <w:vAlign w:val="center"/>
          </w:tcPr>
          <w:p w14:paraId="0B45A8A1">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Sonda</w:t>
            </w:r>
            <w:r>
              <w:rPr>
                <w:rFonts w:ascii="Cambria" w:hAnsi="Cambria" w:eastAsia="Calibri" w:cs="Times New Roman"/>
                <w:spacing w:val="-8"/>
                <w:sz w:val="22"/>
                <w:szCs w:val="22"/>
                <w:lang w:eastAsia="pt-BR"/>
              </w:rPr>
              <w:t xml:space="preserve"> </w:t>
            </w:r>
            <w:r>
              <w:rPr>
                <w:rFonts w:ascii="Cambria" w:hAnsi="Cambria" w:eastAsia="Calibri" w:cs="Times New Roman"/>
                <w:spacing w:val="-1"/>
                <w:sz w:val="20"/>
                <w:szCs w:val="20"/>
                <w:lang w:eastAsia="pt-BR"/>
              </w:rPr>
              <w:t>nasogástrica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longa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n° 18 - caixa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com 10 unidades</w:t>
            </w:r>
          </w:p>
        </w:tc>
        <w:tc>
          <w:tcPr>
            <w:tcW w:w="1047" w:type="dxa"/>
            <w:vAlign w:val="center"/>
          </w:tcPr>
          <w:p w14:paraId="0A62DE9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0E01FFE1">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500</w:t>
            </w:r>
          </w:p>
        </w:tc>
      </w:tr>
      <w:tr w14:paraId="06E42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19F8768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100</w:t>
            </w:r>
          </w:p>
        </w:tc>
        <w:tc>
          <w:tcPr>
            <w:tcW w:w="6206" w:type="dxa"/>
            <w:vAlign w:val="center"/>
          </w:tcPr>
          <w:p w14:paraId="6BE7B656">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Sonda</w:t>
            </w:r>
            <w:r>
              <w:rPr>
                <w:rFonts w:ascii="Cambria" w:hAnsi="Cambria" w:eastAsia="Calibri" w:cs="Times New Roman"/>
                <w:spacing w:val="-8"/>
                <w:sz w:val="22"/>
                <w:szCs w:val="22"/>
                <w:lang w:eastAsia="pt-BR"/>
              </w:rPr>
              <w:t xml:space="preserve"> </w:t>
            </w:r>
            <w:r>
              <w:rPr>
                <w:rFonts w:ascii="Cambria" w:hAnsi="Cambria" w:eastAsia="Calibri" w:cs="Times New Roman"/>
                <w:spacing w:val="-1"/>
                <w:sz w:val="20"/>
                <w:szCs w:val="20"/>
                <w:lang w:eastAsia="pt-BR"/>
              </w:rPr>
              <w:t>nasogástrica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longa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nº 06 - caixa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com 10 unidades</w:t>
            </w:r>
          </w:p>
        </w:tc>
        <w:tc>
          <w:tcPr>
            <w:tcW w:w="1047" w:type="dxa"/>
            <w:vAlign w:val="center"/>
          </w:tcPr>
          <w:p w14:paraId="334B0245">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5FA2E2D0">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100</w:t>
            </w:r>
          </w:p>
        </w:tc>
      </w:tr>
      <w:tr w14:paraId="5F5F6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798F98D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101</w:t>
            </w:r>
          </w:p>
        </w:tc>
        <w:tc>
          <w:tcPr>
            <w:tcW w:w="6206" w:type="dxa"/>
            <w:vAlign w:val="center"/>
          </w:tcPr>
          <w:p w14:paraId="14E73C3C">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Sonda</w:t>
            </w:r>
            <w:r>
              <w:rPr>
                <w:rFonts w:ascii="Cambria" w:hAnsi="Cambria" w:eastAsia="Calibri" w:cs="Times New Roman"/>
                <w:spacing w:val="-8"/>
                <w:sz w:val="22"/>
                <w:szCs w:val="22"/>
                <w:lang w:eastAsia="pt-BR"/>
              </w:rPr>
              <w:t xml:space="preserve"> </w:t>
            </w:r>
            <w:r>
              <w:rPr>
                <w:rFonts w:ascii="Cambria" w:hAnsi="Cambria" w:eastAsia="Calibri" w:cs="Times New Roman"/>
                <w:spacing w:val="-1"/>
                <w:sz w:val="20"/>
                <w:szCs w:val="20"/>
                <w:lang w:eastAsia="pt-BR"/>
              </w:rPr>
              <w:t>nasogástrica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longa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nº 10 - caixa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com 10 unidades</w:t>
            </w:r>
          </w:p>
        </w:tc>
        <w:tc>
          <w:tcPr>
            <w:tcW w:w="1047" w:type="dxa"/>
            <w:vAlign w:val="center"/>
          </w:tcPr>
          <w:p w14:paraId="05FE9242">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123D93E5">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250</w:t>
            </w:r>
          </w:p>
        </w:tc>
      </w:tr>
      <w:tr w14:paraId="529E3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6A2E16BD">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102</w:t>
            </w:r>
          </w:p>
        </w:tc>
        <w:tc>
          <w:tcPr>
            <w:tcW w:w="6206" w:type="dxa"/>
            <w:vAlign w:val="center"/>
          </w:tcPr>
          <w:p w14:paraId="052B4E2B">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 xml:space="preserve">Fio de sutura polipropileno </w:t>
            </w:r>
            <w:r>
              <w:rPr>
                <w:rFonts w:ascii="Cambria" w:hAnsi="Cambria" w:eastAsia="Calibri" w:cs="Times New Roman"/>
                <w:sz w:val="20"/>
                <w:szCs w:val="20"/>
                <w:lang w:eastAsia="pt-BR"/>
              </w:rPr>
              <w:t>3.0, agulha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2,5cm</w:t>
            </w:r>
          </w:p>
        </w:tc>
        <w:tc>
          <w:tcPr>
            <w:tcW w:w="1047" w:type="dxa"/>
            <w:vAlign w:val="center"/>
          </w:tcPr>
          <w:p w14:paraId="6962849C">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03864F55">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w:t>
            </w:r>
          </w:p>
        </w:tc>
      </w:tr>
      <w:tr w14:paraId="2D47C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19BBF4D8">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103</w:t>
            </w:r>
          </w:p>
        </w:tc>
        <w:tc>
          <w:tcPr>
            <w:tcW w:w="6206" w:type="dxa"/>
            <w:vAlign w:val="center"/>
          </w:tcPr>
          <w:p w14:paraId="5AACB4F8">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Tela cirúrgica de marlex em</w:t>
            </w:r>
            <w:r>
              <w:rPr>
                <w:rFonts w:ascii="Cambria" w:hAnsi="Cambria" w:eastAsia="Calibri" w:cs="Times New Roman"/>
                <w:spacing w:val="1"/>
                <w:sz w:val="22"/>
                <w:szCs w:val="22"/>
                <w:lang w:eastAsia="pt-BR"/>
              </w:rPr>
              <w:t xml:space="preserve"> </w:t>
            </w:r>
            <w:r>
              <w:rPr>
                <w:rFonts w:ascii="Cambria" w:hAnsi="Cambria" w:eastAsia="Calibri" w:cs="Times New Roman"/>
                <w:spacing w:val="-1"/>
                <w:sz w:val="20"/>
                <w:szCs w:val="20"/>
                <w:lang w:eastAsia="pt-BR"/>
              </w:rPr>
              <w:t>polipropileno,</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tamanho</w:t>
            </w:r>
            <w:r>
              <w:rPr>
                <w:rFonts w:ascii="Cambria" w:hAnsi="Cambria" w:eastAsia="Calibri" w:cs="Times New Roman"/>
                <w:spacing w:val="-6"/>
                <w:sz w:val="22"/>
                <w:szCs w:val="22"/>
                <w:lang w:eastAsia="pt-BR"/>
              </w:rPr>
              <w:t xml:space="preserve"> </w:t>
            </w:r>
            <w:r>
              <w:rPr>
                <w:rFonts w:ascii="Cambria" w:hAnsi="Cambria" w:eastAsia="Calibri" w:cs="Times New Roman"/>
                <w:sz w:val="20"/>
                <w:szCs w:val="20"/>
                <w:lang w:eastAsia="pt-BR"/>
              </w:rPr>
              <w:t>10x15cm</w:t>
            </w:r>
          </w:p>
        </w:tc>
        <w:tc>
          <w:tcPr>
            <w:tcW w:w="1047" w:type="dxa"/>
            <w:vAlign w:val="center"/>
          </w:tcPr>
          <w:p w14:paraId="2EA77845">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69BDB14D">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100</w:t>
            </w:r>
          </w:p>
        </w:tc>
      </w:tr>
      <w:tr w14:paraId="0097B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359E4779">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104</w:t>
            </w:r>
          </w:p>
        </w:tc>
        <w:tc>
          <w:tcPr>
            <w:tcW w:w="6206" w:type="dxa"/>
            <w:vAlign w:val="center"/>
          </w:tcPr>
          <w:p w14:paraId="1428B843">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Solução</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clorexidina</w:t>
            </w:r>
            <w:r>
              <w:rPr>
                <w:rFonts w:ascii="Cambria" w:hAnsi="Cambria" w:eastAsia="Calibri" w:cs="Times New Roman"/>
                <w:spacing w:val="-10"/>
                <w:sz w:val="22"/>
                <w:szCs w:val="22"/>
                <w:lang w:eastAsia="pt-BR"/>
              </w:rPr>
              <w:t xml:space="preserve"> </w:t>
            </w:r>
            <w:r>
              <w:rPr>
                <w:rFonts w:ascii="Cambria" w:hAnsi="Cambria" w:eastAsia="Calibri" w:cs="Times New Roman"/>
                <w:sz w:val="20"/>
                <w:szCs w:val="20"/>
                <w:lang w:eastAsia="pt-BR"/>
              </w:rPr>
              <w:t>degermante</w:t>
            </w:r>
            <w:r>
              <w:rPr>
                <w:rFonts w:ascii="Cambria" w:hAnsi="Cambria" w:eastAsia="Calibri" w:cs="Times New Roman"/>
                <w:spacing w:val="-9"/>
                <w:sz w:val="22"/>
                <w:szCs w:val="22"/>
                <w:lang w:eastAsia="pt-BR"/>
              </w:rPr>
              <w:t xml:space="preserve"> </w:t>
            </w:r>
            <w:r>
              <w:rPr>
                <w:rFonts w:ascii="Cambria" w:hAnsi="Cambria" w:eastAsia="Calibri" w:cs="Times New Roman"/>
                <w:sz w:val="20"/>
                <w:szCs w:val="20"/>
                <w:lang w:eastAsia="pt-BR"/>
              </w:rPr>
              <w:t>a</w:t>
            </w:r>
            <w:r>
              <w:rPr>
                <w:rFonts w:ascii="Cambria" w:hAnsi="Cambria" w:eastAsia="Calibri" w:cs="Times New Roman"/>
                <w:spacing w:val="-10"/>
                <w:sz w:val="22"/>
                <w:szCs w:val="22"/>
                <w:lang w:eastAsia="pt-BR"/>
              </w:rPr>
              <w:t xml:space="preserve"> </w:t>
            </w:r>
            <w:r>
              <w:rPr>
                <w:rFonts w:ascii="Cambria" w:hAnsi="Cambria" w:eastAsia="Calibri" w:cs="Times New Roman"/>
                <w:sz w:val="22"/>
                <w:szCs w:val="22"/>
                <w:lang w:eastAsia="pt-BR"/>
              </w:rPr>
              <w:t>2%,</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1 litro</w:t>
            </w:r>
          </w:p>
        </w:tc>
        <w:tc>
          <w:tcPr>
            <w:tcW w:w="1047" w:type="dxa"/>
            <w:vAlign w:val="center"/>
          </w:tcPr>
          <w:p w14:paraId="7931AAD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01750043">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100</w:t>
            </w:r>
          </w:p>
        </w:tc>
      </w:tr>
      <w:tr w14:paraId="594F3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73A5988">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105</w:t>
            </w:r>
          </w:p>
        </w:tc>
        <w:tc>
          <w:tcPr>
            <w:tcW w:w="6206" w:type="dxa"/>
            <w:vAlign w:val="center"/>
          </w:tcPr>
          <w:p w14:paraId="74899167">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Sensor free style libre para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monitoramento</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contínuo</w:t>
            </w:r>
            <w:r>
              <w:rPr>
                <w:rFonts w:ascii="Cambria" w:hAnsi="Cambria" w:eastAsia="Calibri" w:cs="Times New Roman"/>
                <w:spacing w:val="-6"/>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6"/>
                <w:sz w:val="22"/>
                <w:szCs w:val="22"/>
                <w:lang w:eastAsia="pt-BR"/>
              </w:rPr>
              <w:t xml:space="preserve"> </w:t>
            </w:r>
            <w:r>
              <w:rPr>
                <w:rFonts w:ascii="Cambria" w:hAnsi="Cambria" w:eastAsia="Calibri" w:cs="Times New Roman"/>
                <w:sz w:val="20"/>
                <w:szCs w:val="20"/>
                <w:lang w:eastAsia="pt-BR"/>
              </w:rPr>
              <w:t>glicose</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intersticial</w:t>
            </w:r>
          </w:p>
        </w:tc>
        <w:tc>
          <w:tcPr>
            <w:tcW w:w="1047" w:type="dxa"/>
            <w:vAlign w:val="center"/>
          </w:tcPr>
          <w:p w14:paraId="5C9C099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6928B25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60</w:t>
            </w:r>
          </w:p>
        </w:tc>
      </w:tr>
      <w:tr w14:paraId="679AC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4F31D918">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106</w:t>
            </w:r>
          </w:p>
        </w:tc>
        <w:tc>
          <w:tcPr>
            <w:tcW w:w="6206" w:type="dxa"/>
            <w:vAlign w:val="center"/>
          </w:tcPr>
          <w:p w14:paraId="466245FC">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 xml:space="preserve">Coletor de urina tipo saco </w:t>
            </w:r>
            <w:r>
              <w:rPr>
                <w:rFonts w:ascii="Cambria" w:hAnsi="Cambria" w:eastAsia="Calibri" w:cs="Times New Roman"/>
                <w:sz w:val="20"/>
                <w:szCs w:val="20"/>
                <w:lang w:eastAsia="pt-BR"/>
              </w:rPr>
              <w:t>com cordão</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2000ml descartável. Embalagem com 100</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unidades</w:t>
            </w:r>
          </w:p>
        </w:tc>
        <w:tc>
          <w:tcPr>
            <w:tcW w:w="1047" w:type="dxa"/>
            <w:vAlign w:val="center"/>
          </w:tcPr>
          <w:p w14:paraId="4323AD5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Pct</w:t>
            </w:r>
          </w:p>
        </w:tc>
        <w:tc>
          <w:tcPr>
            <w:tcW w:w="1417" w:type="dxa"/>
            <w:vAlign w:val="center"/>
          </w:tcPr>
          <w:p w14:paraId="4ABD9F72">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300</w:t>
            </w:r>
          </w:p>
        </w:tc>
      </w:tr>
      <w:tr w14:paraId="50529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378998B2">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107</w:t>
            </w:r>
          </w:p>
        </w:tc>
        <w:tc>
          <w:tcPr>
            <w:tcW w:w="6206" w:type="dxa"/>
            <w:vAlign w:val="center"/>
          </w:tcPr>
          <w:p w14:paraId="34B3BB5B">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1"/>
                <w:sz w:val="20"/>
                <w:szCs w:val="20"/>
                <w:lang w:eastAsia="pt-BR"/>
              </w:rPr>
              <w:t>Decanoato</w:t>
            </w:r>
            <w:r>
              <w:rPr>
                <w:rFonts w:ascii="Cambria" w:hAnsi="Cambria" w:eastAsia="Calibri" w:cs="Times New Roman"/>
                <w:spacing w:val="-4"/>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haloperidol</w:t>
            </w:r>
            <w:r>
              <w:rPr>
                <w:rFonts w:ascii="Cambria" w:hAnsi="Cambria" w:eastAsia="Calibri" w:cs="Times New Roman"/>
                <w:spacing w:val="-8"/>
                <w:sz w:val="22"/>
                <w:szCs w:val="22"/>
                <w:lang w:eastAsia="pt-BR"/>
              </w:rPr>
              <w:t xml:space="preserve"> </w:t>
            </w:r>
            <w:r>
              <w:rPr>
                <w:rFonts w:ascii="Cambria" w:hAnsi="Cambria" w:eastAsia="Calibri" w:cs="Times New Roman"/>
                <w:sz w:val="22"/>
                <w:szCs w:val="22"/>
                <w:lang w:eastAsia="pt-BR"/>
              </w:rPr>
              <w:t>50</w:t>
            </w:r>
            <w:r>
              <w:rPr>
                <w:rFonts w:ascii="Cambria" w:hAnsi="Cambria" w:eastAsia="Calibri" w:cs="Times New Roman"/>
                <w:spacing w:val="-4"/>
                <w:sz w:val="22"/>
                <w:szCs w:val="22"/>
                <w:lang w:eastAsia="pt-BR"/>
              </w:rPr>
              <w:t xml:space="preserve"> </w:t>
            </w:r>
            <w:r>
              <w:rPr>
                <w:rFonts w:ascii="Cambria" w:hAnsi="Cambria" w:eastAsia="Calibri" w:cs="Times New Roman"/>
                <w:sz w:val="20"/>
                <w:szCs w:val="20"/>
                <w:lang w:eastAsia="pt-BR"/>
              </w:rPr>
              <w:t>mg</w:t>
            </w:r>
            <w:r>
              <w:rPr>
                <w:rFonts w:ascii="Cambria" w:hAnsi="Cambria" w:eastAsia="Calibri" w:cs="Times New Roman"/>
                <w:spacing w:val="-3"/>
                <w:sz w:val="22"/>
                <w:szCs w:val="22"/>
                <w:lang w:eastAsia="pt-BR"/>
              </w:rPr>
              <w:t xml:space="preserve"> </w:t>
            </w:r>
            <w:r>
              <w:rPr>
                <w:rFonts w:ascii="Cambria" w:hAnsi="Cambria" w:eastAsia="Calibri" w:cs="Times New Roman"/>
                <w:sz w:val="22"/>
                <w:szCs w:val="22"/>
                <w:lang w:eastAsia="pt-BR"/>
              </w:rPr>
              <w:t>/</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ml</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ampola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com 1 ml.</w:t>
            </w:r>
          </w:p>
        </w:tc>
        <w:tc>
          <w:tcPr>
            <w:tcW w:w="1047" w:type="dxa"/>
            <w:vAlign w:val="center"/>
          </w:tcPr>
          <w:p w14:paraId="6E2771F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7A4BFDBF">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1.500</w:t>
            </w:r>
          </w:p>
        </w:tc>
      </w:tr>
      <w:tr w14:paraId="6577B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0AF84777">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108</w:t>
            </w:r>
          </w:p>
        </w:tc>
        <w:tc>
          <w:tcPr>
            <w:tcW w:w="6206" w:type="dxa"/>
            <w:vAlign w:val="center"/>
          </w:tcPr>
          <w:p w14:paraId="71DA5E1E">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2"/>
                <w:szCs w:val="22"/>
                <w:lang w:eastAsia="pt-BR"/>
              </w:rPr>
              <w:t>Hidrocortisona 100 mg injetável com diluente</w:t>
            </w:r>
          </w:p>
        </w:tc>
        <w:tc>
          <w:tcPr>
            <w:tcW w:w="1047" w:type="dxa"/>
            <w:vAlign w:val="center"/>
          </w:tcPr>
          <w:p w14:paraId="6159A673">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475365DD">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4.000</w:t>
            </w:r>
          </w:p>
        </w:tc>
      </w:tr>
      <w:tr w14:paraId="796CA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3BFBD2A6">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109</w:t>
            </w:r>
          </w:p>
        </w:tc>
        <w:tc>
          <w:tcPr>
            <w:tcW w:w="6206" w:type="dxa"/>
            <w:vAlign w:val="center"/>
          </w:tcPr>
          <w:p w14:paraId="46CD03C5">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pacing w:val="-2"/>
                <w:sz w:val="20"/>
                <w:szCs w:val="20"/>
                <w:lang w:eastAsia="pt-BR"/>
              </w:rPr>
              <w:t xml:space="preserve">Equipo </w:t>
            </w:r>
            <w:r>
              <w:rPr>
                <w:rFonts w:ascii="Cambria" w:hAnsi="Cambria" w:eastAsia="Calibri" w:cs="Times New Roman"/>
                <w:spacing w:val="-1"/>
                <w:sz w:val="20"/>
                <w:szCs w:val="20"/>
                <w:lang w:eastAsia="pt-BR"/>
              </w:rPr>
              <w:t>parenteral universal para todos</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os modelos de bomba de infusão;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embalado individualmente, câmara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gotejadora</w:t>
            </w:r>
            <w:r>
              <w:rPr>
                <w:rFonts w:ascii="Cambria" w:hAnsi="Cambria" w:eastAsia="Calibri" w:cs="Times New Roman"/>
                <w:spacing w:val="-8"/>
                <w:sz w:val="22"/>
                <w:szCs w:val="22"/>
                <w:lang w:eastAsia="pt-BR"/>
              </w:rPr>
              <w:t xml:space="preserve"> </w:t>
            </w:r>
            <w:r>
              <w:rPr>
                <w:rFonts w:ascii="Cambria" w:hAnsi="Cambria" w:eastAsia="Calibri" w:cs="Times New Roman"/>
                <w:sz w:val="20"/>
                <w:szCs w:val="20"/>
                <w:lang w:eastAsia="pt-BR"/>
              </w:rPr>
              <w:t>flexível.</w:t>
            </w:r>
          </w:p>
        </w:tc>
        <w:tc>
          <w:tcPr>
            <w:tcW w:w="1047" w:type="dxa"/>
            <w:vAlign w:val="center"/>
          </w:tcPr>
          <w:p w14:paraId="421671C3">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72170D78">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200</w:t>
            </w:r>
          </w:p>
        </w:tc>
      </w:tr>
      <w:tr w14:paraId="6C734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85B5F22">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110</w:t>
            </w:r>
          </w:p>
        </w:tc>
        <w:tc>
          <w:tcPr>
            <w:tcW w:w="6206" w:type="dxa"/>
            <w:vAlign w:val="center"/>
          </w:tcPr>
          <w:p w14:paraId="445D88AC">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Água</w:t>
            </w:r>
            <w:r>
              <w:rPr>
                <w:rFonts w:ascii="Cambria" w:hAnsi="Cambria" w:eastAsia="Calibri" w:cs="Times New Roman"/>
                <w:spacing w:val="-10"/>
                <w:sz w:val="22"/>
                <w:szCs w:val="22"/>
                <w:lang w:eastAsia="pt-BR"/>
              </w:rPr>
              <w:t xml:space="preserve"> </w:t>
            </w:r>
            <w:r>
              <w:rPr>
                <w:rFonts w:ascii="Cambria" w:hAnsi="Cambria" w:eastAsia="Calibri" w:cs="Times New Roman"/>
                <w:sz w:val="20"/>
                <w:szCs w:val="20"/>
                <w:lang w:eastAsia="pt-BR"/>
              </w:rPr>
              <w:t>para</w:t>
            </w:r>
            <w:r>
              <w:rPr>
                <w:rFonts w:ascii="Cambria" w:hAnsi="Cambria" w:eastAsia="Calibri" w:cs="Times New Roman"/>
                <w:spacing w:val="-10"/>
                <w:sz w:val="22"/>
                <w:szCs w:val="22"/>
                <w:lang w:eastAsia="pt-BR"/>
              </w:rPr>
              <w:t xml:space="preserve"> </w:t>
            </w:r>
            <w:r>
              <w:rPr>
                <w:rFonts w:ascii="Cambria" w:hAnsi="Cambria" w:eastAsia="Calibri" w:cs="Times New Roman"/>
                <w:sz w:val="20"/>
                <w:szCs w:val="20"/>
                <w:lang w:eastAsia="pt-BR"/>
              </w:rPr>
              <w:t>injeção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de</w:t>
            </w:r>
            <w:r>
              <w:rPr>
                <w:rFonts w:ascii="Cambria" w:hAnsi="Cambria" w:eastAsia="Calibri" w:cs="Times New Roman"/>
                <w:spacing w:val="-2"/>
                <w:sz w:val="22"/>
                <w:szCs w:val="22"/>
                <w:lang w:eastAsia="pt-BR"/>
              </w:rPr>
              <w:t xml:space="preserve"> </w:t>
            </w:r>
            <w:r>
              <w:rPr>
                <w:rFonts w:ascii="Cambria" w:hAnsi="Cambria" w:eastAsia="Calibri" w:cs="Times New Roman"/>
                <w:sz w:val="22"/>
                <w:szCs w:val="22"/>
                <w:lang w:eastAsia="pt-BR"/>
              </w:rPr>
              <w:t>500</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ml</w:t>
            </w:r>
          </w:p>
        </w:tc>
        <w:tc>
          <w:tcPr>
            <w:tcW w:w="1047" w:type="dxa"/>
            <w:vAlign w:val="center"/>
          </w:tcPr>
          <w:p w14:paraId="535108D9">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Un</w:t>
            </w:r>
          </w:p>
        </w:tc>
        <w:tc>
          <w:tcPr>
            <w:tcW w:w="1417" w:type="dxa"/>
            <w:vAlign w:val="center"/>
          </w:tcPr>
          <w:p w14:paraId="66CD48EB">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240</w:t>
            </w:r>
          </w:p>
        </w:tc>
      </w:tr>
      <w:tr w14:paraId="36618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1CC26EA5">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111</w:t>
            </w:r>
          </w:p>
        </w:tc>
        <w:tc>
          <w:tcPr>
            <w:tcW w:w="6206" w:type="dxa"/>
            <w:vAlign w:val="center"/>
          </w:tcPr>
          <w:p w14:paraId="6A1B631D">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0"/>
                <w:szCs w:val="20"/>
                <w:lang w:eastAsia="pt-BR"/>
              </w:rPr>
              <w:t>Cateter</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intravenoso</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periférico</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22g</w:t>
            </w:r>
            <w:r>
              <w:rPr>
                <w:rFonts w:ascii="Cambria" w:hAnsi="Cambria" w:eastAsia="Calibri" w:cs="Times New Roman"/>
                <w:spacing w:val="-7"/>
                <w:sz w:val="22"/>
                <w:szCs w:val="22"/>
                <w:lang w:eastAsia="pt-BR"/>
              </w:rPr>
              <w:t xml:space="preserve"> </w:t>
            </w:r>
            <w:r>
              <w:rPr>
                <w:rFonts w:ascii="Cambria" w:hAnsi="Cambria" w:eastAsia="Calibri" w:cs="Times New Roman"/>
                <w:sz w:val="20"/>
                <w:szCs w:val="20"/>
                <w:lang w:eastAsia="pt-BR"/>
              </w:rPr>
              <w:t>x</w:t>
            </w:r>
            <w:r>
              <w:rPr>
                <w:rFonts w:ascii="Cambria" w:hAnsi="Cambria" w:eastAsia="Calibri" w:cs="Times New Roman"/>
                <w:spacing w:val="-7"/>
                <w:sz w:val="22"/>
                <w:szCs w:val="22"/>
                <w:lang w:eastAsia="pt-BR"/>
              </w:rPr>
              <w:t xml:space="preserve"> </w:t>
            </w:r>
            <w:r>
              <w:rPr>
                <w:rFonts w:ascii="Cambria" w:hAnsi="Cambria" w:eastAsia="Calibri" w:cs="Times New Roman"/>
                <w:sz w:val="22"/>
                <w:szCs w:val="22"/>
                <w:lang w:eastAsia="pt-BR"/>
              </w:rPr>
              <w:t>25</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mm, com dispositivo de proteção,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composto de cânula em vialon -</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radiopaco e transparente, agulha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eletripolida com ponta em "v" e bisel tri</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facetado, sistema de segurança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ergonômico, alerta indicadora da</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posição do bisel e câmara de refluxo</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transparente</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com</w:t>
            </w:r>
            <w:r>
              <w:rPr>
                <w:rFonts w:ascii="Cambria" w:hAnsi="Cambria" w:eastAsia="Calibri" w:cs="Times New Roman"/>
                <w:spacing w:val="-1"/>
                <w:sz w:val="22"/>
                <w:szCs w:val="22"/>
                <w:lang w:eastAsia="pt-BR"/>
              </w:rPr>
              <w:t xml:space="preserve"> </w:t>
            </w:r>
            <w:r>
              <w:rPr>
                <w:rFonts w:ascii="Cambria" w:hAnsi="Cambria" w:eastAsia="Calibri" w:cs="Times New Roman"/>
                <w:sz w:val="20"/>
                <w:szCs w:val="20"/>
                <w:lang w:eastAsia="pt-BR"/>
              </w:rPr>
              <w:t>filtro</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poroso.</w:t>
            </w:r>
          </w:p>
        </w:tc>
        <w:tc>
          <w:tcPr>
            <w:tcW w:w="1047" w:type="dxa"/>
            <w:vAlign w:val="center"/>
          </w:tcPr>
          <w:p w14:paraId="37B65210">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U</w:t>
            </w:r>
            <w:r>
              <w:rPr>
                <w:rFonts w:ascii="Cambria" w:hAnsi="Cambria" w:eastAsia="Calibri" w:cs="Times New Roman"/>
                <w:sz w:val="20"/>
                <w:szCs w:val="20"/>
                <w:lang w:eastAsia="pt-BR"/>
              </w:rPr>
              <w:t>n</w:t>
            </w:r>
          </w:p>
        </w:tc>
        <w:tc>
          <w:tcPr>
            <w:tcW w:w="1417" w:type="dxa"/>
            <w:vAlign w:val="center"/>
          </w:tcPr>
          <w:p w14:paraId="6876F352">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80.000</w:t>
            </w:r>
          </w:p>
        </w:tc>
      </w:tr>
      <w:tr w14:paraId="68E5F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6" w:type="dxa"/>
            <w:vAlign w:val="center"/>
          </w:tcPr>
          <w:p w14:paraId="560D2894">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112</w:t>
            </w:r>
          </w:p>
        </w:tc>
        <w:tc>
          <w:tcPr>
            <w:tcW w:w="6206" w:type="dxa"/>
            <w:vAlign w:val="center"/>
          </w:tcPr>
          <w:p w14:paraId="51DA8770">
            <w:pPr>
              <w:spacing w:before="240" w:after="0" w:line="240" w:lineRule="auto"/>
              <w:jc w:val="both"/>
              <w:rPr>
                <w:rFonts w:ascii="Cambria" w:hAnsi="Cambria" w:eastAsia="Calibri" w:cs="Times New Roman"/>
                <w:sz w:val="22"/>
                <w:szCs w:val="22"/>
                <w:lang w:eastAsia="pt-BR"/>
              </w:rPr>
            </w:pPr>
            <w:r>
              <w:rPr>
                <w:rFonts w:ascii="Cambria" w:hAnsi="Cambria" w:eastAsia="Calibri" w:cs="Times New Roman"/>
                <w:sz w:val="22"/>
                <w:szCs w:val="22"/>
                <w:lang w:eastAsia="pt-BR"/>
              </w:rPr>
              <w:t>I</w:t>
            </w:r>
            <w:r>
              <w:rPr>
                <w:rFonts w:ascii="Cambria" w:hAnsi="Cambria" w:eastAsia="Calibri" w:cs="Times New Roman"/>
                <w:spacing w:val="-3"/>
                <w:sz w:val="22"/>
                <w:szCs w:val="22"/>
                <w:lang w:eastAsia="pt-BR"/>
              </w:rPr>
              <w:t xml:space="preserve"> </w:t>
            </w:r>
            <w:r>
              <w:rPr>
                <w:rFonts w:ascii="Cambria" w:hAnsi="Cambria" w:eastAsia="Calibri" w:cs="Times New Roman"/>
                <w:sz w:val="22"/>
                <w:szCs w:val="22"/>
                <w:lang w:eastAsia="pt-BR"/>
              </w:rPr>
              <w:t>15</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cartucho</w:t>
            </w:r>
            <w:r>
              <w:rPr>
                <w:rFonts w:ascii="Cambria" w:hAnsi="Cambria" w:eastAsia="Calibri" w:cs="Times New Roman"/>
                <w:spacing w:val="-5"/>
                <w:sz w:val="22"/>
                <w:szCs w:val="22"/>
                <w:lang w:eastAsia="pt-BR"/>
              </w:rPr>
              <w:t xml:space="preserve"> </w:t>
            </w:r>
            <w:r>
              <w:rPr>
                <w:rFonts w:ascii="Cambria" w:hAnsi="Cambria" w:eastAsia="Calibri" w:cs="Times New Roman"/>
                <w:sz w:val="20"/>
                <w:szCs w:val="20"/>
                <w:lang w:eastAsia="pt-BR"/>
              </w:rPr>
              <w:t>teste</w:t>
            </w:r>
            <w:r>
              <w:rPr>
                <w:rFonts w:ascii="Cambria" w:hAnsi="Cambria" w:eastAsia="Calibri" w:cs="Times New Roman"/>
                <w:spacing w:val="-3"/>
                <w:sz w:val="22"/>
                <w:szCs w:val="22"/>
                <w:lang w:eastAsia="pt-BR"/>
              </w:rPr>
              <w:t xml:space="preserve"> </w:t>
            </w:r>
            <w:r>
              <w:rPr>
                <w:rFonts w:ascii="Cambria" w:hAnsi="Cambria" w:eastAsia="Calibri" w:cs="Times New Roman"/>
                <w:sz w:val="20"/>
                <w:szCs w:val="20"/>
                <w:lang w:eastAsia="pt-BR"/>
              </w:rPr>
              <w:t>bg10</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c/25</w:t>
            </w:r>
            <w:r>
              <w:rPr>
                <w:rFonts w:ascii="Cambria" w:hAnsi="Cambria" w:eastAsia="Calibri" w:cs="Times New Roman"/>
                <w:spacing w:val="-3"/>
                <w:sz w:val="22"/>
                <w:szCs w:val="22"/>
                <w:lang w:eastAsia="pt-BR"/>
              </w:rPr>
              <w:t xml:space="preserve"> </w:t>
            </w:r>
            <w:r>
              <w:rPr>
                <w:rFonts w:ascii="Cambria" w:hAnsi="Cambria" w:eastAsia="Calibri" w:cs="Times New Roman"/>
                <w:sz w:val="22"/>
                <w:szCs w:val="22"/>
                <w:lang w:eastAsia="pt-BR"/>
              </w:rPr>
              <w:t>-</w:t>
            </w:r>
            <w:r>
              <w:rPr>
                <w:rFonts w:ascii="Cambria" w:hAnsi="Cambria" w:eastAsia="Calibri" w:cs="Times New Roman"/>
                <w:spacing w:val="-2"/>
                <w:sz w:val="22"/>
                <w:szCs w:val="22"/>
                <w:lang w:eastAsia="pt-BR"/>
              </w:rPr>
              <w:t xml:space="preserve"> </w:t>
            </w:r>
            <w:r>
              <w:rPr>
                <w:rFonts w:ascii="Cambria" w:hAnsi="Cambria" w:eastAsia="Calibri" w:cs="Times New Roman"/>
                <w:sz w:val="20"/>
                <w:szCs w:val="20"/>
                <w:lang w:eastAsia="pt-BR"/>
              </w:rPr>
              <w:t>marca</w:t>
            </w:r>
            <w:r>
              <w:rPr>
                <w:rFonts w:ascii="Cambria" w:hAnsi="Cambria" w:eastAsia="Calibri" w:cs="Times New Roman"/>
                <w:spacing w:val="-36"/>
                <w:sz w:val="22"/>
                <w:szCs w:val="22"/>
                <w:lang w:eastAsia="pt-BR"/>
              </w:rPr>
              <w:t xml:space="preserve"> </w:t>
            </w:r>
            <w:r>
              <w:rPr>
                <w:rFonts w:ascii="Cambria" w:hAnsi="Cambria" w:eastAsia="Calibri" w:cs="Times New Roman"/>
                <w:sz w:val="20"/>
                <w:szCs w:val="20"/>
                <w:lang w:eastAsia="pt-BR"/>
              </w:rPr>
              <w:t>aceitável: labtest</w:t>
            </w:r>
          </w:p>
        </w:tc>
        <w:tc>
          <w:tcPr>
            <w:tcW w:w="1047" w:type="dxa"/>
            <w:vAlign w:val="center"/>
          </w:tcPr>
          <w:p w14:paraId="478AAD14">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0"/>
                <w:szCs w:val="20"/>
                <w:lang w:eastAsia="pt-BR"/>
              </w:rPr>
              <w:t>Cx</w:t>
            </w:r>
          </w:p>
        </w:tc>
        <w:tc>
          <w:tcPr>
            <w:tcW w:w="1417" w:type="dxa"/>
            <w:vAlign w:val="center"/>
          </w:tcPr>
          <w:p w14:paraId="2E1EA67E">
            <w:pPr>
              <w:spacing w:before="240" w:after="0" w:line="240" w:lineRule="auto"/>
              <w:jc w:val="center"/>
              <w:rPr>
                <w:rFonts w:ascii="Cambria" w:hAnsi="Cambria" w:eastAsia="Calibri" w:cs="Times New Roman"/>
                <w:sz w:val="22"/>
                <w:szCs w:val="22"/>
                <w:lang w:eastAsia="pt-BR"/>
              </w:rPr>
            </w:pPr>
            <w:r>
              <w:rPr>
                <w:rFonts w:ascii="Cambria" w:hAnsi="Cambria" w:eastAsia="Calibri" w:cs="Times New Roman"/>
                <w:sz w:val="22"/>
                <w:szCs w:val="22"/>
                <w:lang w:eastAsia="pt-BR"/>
              </w:rPr>
              <w:t>20</w:t>
            </w:r>
          </w:p>
        </w:tc>
      </w:tr>
    </w:tbl>
    <w:p w14:paraId="511F9605">
      <w:pPr>
        <w:spacing w:before="240" w:after="60"/>
        <w:jc w:val="both"/>
        <w:rPr>
          <w:rFonts w:ascii="Cambria" w:hAnsi="Cambria" w:eastAsia="Times New Roman" w:cs="Times New Roman"/>
        </w:rPr>
      </w:pPr>
      <w:r>
        <w:rPr>
          <w:rFonts w:ascii="Cambria" w:hAnsi="Cambria" w:cs="Times New Roman"/>
          <w:b/>
          <w:u w:val="single"/>
        </w:rPr>
        <w:t>OBS: OS ITENS – 037-038-039-040</w:t>
      </w:r>
      <w:r>
        <w:rPr>
          <w:rFonts w:ascii="Cambria" w:hAnsi="Cambria" w:cs="Times New Roman"/>
          <w:b/>
        </w:rPr>
        <w:t xml:space="preserve">- </w:t>
      </w:r>
      <w:r>
        <w:rPr>
          <w:rFonts w:ascii="Cambria" w:hAnsi="Cambria" w:cs="Times New Roman"/>
        </w:rPr>
        <w:t>INSUMOS A SEREM ADQUIRIDOS, PARA APARELHO DE F200 TEM QUE SER DA MARCA ECO teste, POIS O APARELHO DE F200 CONTÉM UM QRCODE QUE ACEITA SOMENTE OS REAGENTES ESCÍFICOS DA MARCA DO APARELHO QUE É DA MARCA ECO 200</w:t>
      </w:r>
      <w:r>
        <w:rPr>
          <w:rFonts w:ascii="Cambria" w:hAnsi="Cambria" w:cs="Times New Roman"/>
          <w:b/>
        </w:rPr>
        <w:t>.</w:t>
      </w:r>
    </w:p>
    <w:p w14:paraId="43CB0E11">
      <w:pPr>
        <w:spacing w:after="0"/>
        <w:jc w:val="both"/>
        <w:rPr>
          <w:rFonts w:ascii="Cambria" w:hAnsi="Cambria" w:cs="Times New Roman"/>
        </w:rPr>
      </w:pPr>
      <w:r>
        <w:rPr>
          <w:rFonts w:ascii="Cambria" w:hAnsi="Cambria" w:cs="Times New Roman"/>
          <w:b/>
          <w:u w:val="single"/>
        </w:rPr>
        <w:t>OS ITENS –041-042-043-044-0112</w:t>
      </w:r>
      <w:r>
        <w:rPr>
          <w:rFonts w:ascii="Cambria" w:hAnsi="Cambria" w:cs="Times New Roman"/>
          <w:b/>
        </w:rPr>
        <w:t xml:space="preserve"> </w:t>
      </w:r>
      <w:r>
        <w:rPr>
          <w:rFonts w:ascii="Cambria" w:hAnsi="Cambria" w:cs="Times New Roman"/>
        </w:rPr>
        <w:t>QUE SÃO INSUMOS A SEREM ADQUIRIDOS, PARA APARELHO DE GASOMETRIA TEM QUE SER DA MARCA LABTEST, POIS O APARELHO DE GASOMETRIA CONTÉM UM QRCODE QUE ACEITA SOMENTE OS REAGENTES ESCÍFICOS DA MARCA DO GASOMETRO QUE É DA MARCA LABTEST.</w:t>
      </w:r>
    </w:p>
    <w:p w14:paraId="4BE435C6">
      <w:pPr>
        <w:spacing w:before="240"/>
        <w:jc w:val="both"/>
        <w:rPr>
          <w:rFonts w:ascii="Cambria" w:hAnsi="Cambria" w:cs="Times New Roman"/>
          <w:b/>
          <w:bCs/>
        </w:rPr>
      </w:pPr>
      <w:r>
        <w:rPr>
          <w:rFonts w:ascii="Cambria" w:hAnsi="Cambria" w:cs="Times New Roman"/>
        </w:rPr>
        <w:t xml:space="preserve">As unidades e especificações de itens presentes na tabela são justificadas com base nos seguintes critérios, </w:t>
      </w:r>
      <w:r>
        <w:rPr>
          <w:rFonts w:ascii="Cambria" w:hAnsi="Cambria" w:cs="Times New Roman"/>
          <w:b/>
          <w:bCs/>
        </w:rPr>
        <w:t>justifica que são as unidades de medida parametrizadas para compras no território nacional.</w:t>
      </w:r>
    </w:p>
    <w:p w14:paraId="683B879F">
      <w:pPr>
        <w:spacing w:before="240"/>
        <w:jc w:val="both"/>
        <w:rPr>
          <w:rFonts w:ascii="Cambria" w:hAnsi="Cambria" w:cs="Times New Roman"/>
        </w:rPr>
      </w:pPr>
      <w:r>
        <w:rPr>
          <w:rFonts w:ascii="Cambria" w:hAnsi="Cambria" w:cs="Times New Roman"/>
        </w:rPr>
        <w:t xml:space="preserve">Salientamos que após os levantamentos realizados, constatou-se a necessidades de aquisição dos </w:t>
      </w:r>
      <w:r>
        <w:rPr>
          <w:rFonts w:ascii="Cambria" w:hAnsi="Cambria" w:cs="Times New Roman"/>
          <w:b/>
          <w:u w:val="single"/>
        </w:rPr>
        <w:t>medicamentos, materiais médicos hospitalares e laboratoriais</w:t>
      </w:r>
      <w:r>
        <w:rPr>
          <w:rFonts w:ascii="Cambria" w:hAnsi="Cambria"/>
          <w:b/>
        </w:rPr>
        <w:t xml:space="preserve">, </w:t>
      </w:r>
      <w:r>
        <w:rPr>
          <w:rFonts w:ascii="Cambria" w:hAnsi="Cambria" w:cs="Times New Roman"/>
        </w:rPr>
        <w:t>para consumo sendo elaborada uma planilha com a relação aos itens essenciais já cometidos para processo licitatório por meio de sistema de registro de Preço no sentido de suprir as demandas precípuas do ano em curso da Secretaria Municipal de Saúde e também seus departamentos vinculados.</w:t>
      </w:r>
    </w:p>
    <w:p w14:paraId="6DC8C3E1">
      <w:pPr>
        <w:spacing w:before="240"/>
        <w:jc w:val="both"/>
        <w:rPr>
          <w:rFonts w:ascii="Cambria" w:hAnsi="Cambria" w:cs="Times New Roman"/>
        </w:rPr>
      </w:pPr>
      <w:r>
        <w:rPr>
          <w:rFonts w:ascii="Cambria" w:hAnsi="Cambria" w:cs="Times New Roman"/>
        </w:rPr>
        <w:t xml:space="preserve">A relação dos materiais e quantitativos estão descritos no Termo de Referência distribuídos </w:t>
      </w:r>
      <w:r>
        <w:rPr>
          <w:rFonts w:ascii="Cambria" w:hAnsi="Cambria"/>
          <w:b/>
          <w:u w:val="single"/>
        </w:rPr>
        <w:t>em 112 itens</w:t>
      </w:r>
      <w:r>
        <w:rPr>
          <w:rFonts w:ascii="Cambria" w:hAnsi="Cambria" w:cs="Times New Roman"/>
        </w:rPr>
        <w:t>.</w:t>
      </w:r>
    </w:p>
    <w:tbl>
      <w:tblPr>
        <w:tblStyle w:val="18"/>
        <w:tblW w:w="93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1"/>
      </w:tblGrid>
      <w:tr w14:paraId="1AA66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shd w:val="clear" w:color="auto" w:fill="8EAADB" w:themeFill="accent1" w:themeFillTint="99"/>
          </w:tcPr>
          <w:p w14:paraId="4FAF7EF5">
            <w:pPr>
              <w:spacing w:after="0" w:line="240" w:lineRule="auto"/>
              <w:jc w:val="both"/>
              <w:rPr>
                <w:rFonts w:ascii="Cambria" w:hAnsi="Cambria" w:eastAsia="Calibri" w:cs="Times New Roman"/>
                <w:b/>
                <w:sz w:val="22"/>
                <w:szCs w:val="22"/>
                <w:lang w:eastAsia="pt-BR"/>
              </w:rPr>
            </w:pPr>
            <w:r>
              <w:rPr>
                <w:rFonts w:ascii="Cambria" w:hAnsi="Cambria" w:eastAsia="Calibri" w:cs="Times New Roman"/>
                <w:b/>
                <w:sz w:val="22"/>
                <w:szCs w:val="22"/>
                <w:lang w:eastAsia="pt-BR"/>
              </w:rPr>
              <w:t>8 – ESTIMATIVA DE VALORES</w:t>
            </w:r>
          </w:p>
        </w:tc>
      </w:tr>
    </w:tbl>
    <w:p w14:paraId="21238E06">
      <w:pPr>
        <w:spacing w:before="240"/>
        <w:jc w:val="both"/>
        <w:rPr>
          <w:rFonts w:ascii="Cambria" w:hAnsi="Cambria" w:cs="Times New Roman"/>
          <w:bCs/>
        </w:rPr>
      </w:pPr>
      <w:r>
        <w:rPr>
          <w:rFonts w:ascii="Cambria" w:hAnsi="Cambria" w:cs="Times New Roman"/>
          <w:bCs/>
        </w:rPr>
        <w:t>Estimativa dos valores unitários e globais da contratação, com base em pesquisa simplificada de mercado, a fim de realizar o levantamento do eventual gasto com a solução escolhida (de modo a avaliar a viabilidade econômica da opção) é o seguinte: será realizado pelo Departamento de compras da Prefeitura de Piracanjuba/GO, nos moldes estipulado no art. 23, da Lei Federal nº 14.133 de 01 de abril de 2021.</w:t>
      </w:r>
    </w:p>
    <w:tbl>
      <w:tblPr>
        <w:tblStyle w:val="18"/>
        <w:tblW w:w="93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1"/>
      </w:tblGrid>
      <w:tr w14:paraId="72A3D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shd w:val="clear" w:color="auto" w:fill="8EAADB" w:themeFill="accent1" w:themeFillTint="99"/>
          </w:tcPr>
          <w:p w14:paraId="2D8F6F0C">
            <w:pPr>
              <w:spacing w:after="0" w:line="240" w:lineRule="auto"/>
              <w:jc w:val="both"/>
              <w:rPr>
                <w:rFonts w:ascii="Cambria" w:hAnsi="Cambria" w:eastAsia="Calibri" w:cs="Times New Roman"/>
                <w:b/>
                <w:sz w:val="22"/>
                <w:szCs w:val="22"/>
                <w:lang w:eastAsia="pt-BR"/>
              </w:rPr>
            </w:pPr>
            <w:r>
              <w:rPr>
                <w:rFonts w:ascii="Cambria" w:hAnsi="Cambria" w:eastAsia="Calibri" w:cs="Times New Roman"/>
                <w:b/>
                <w:sz w:val="22"/>
                <w:szCs w:val="22"/>
                <w:lang w:eastAsia="pt-BR"/>
              </w:rPr>
              <w:t>9 - JUSTIFICATIVA PARA O PARCELAMENTO OU NÃO DA CONTRATAÇÃO</w:t>
            </w:r>
          </w:p>
        </w:tc>
      </w:tr>
    </w:tbl>
    <w:p w14:paraId="136219AE">
      <w:pPr>
        <w:spacing w:before="240"/>
        <w:jc w:val="both"/>
        <w:rPr>
          <w:rFonts w:ascii="Cambria" w:hAnsi="Cambria" w:cs="Times New Roman"/>
        </w:rPr>
      </w:pPr>
      <w:r>
        <w:rPr>
          <w:rFonts w:ascii="Cambria" w:hAnsi="Cambria" w:cs="Times New Roman"/>
        </w:rPr>
        <w:t>Em regra, conforme disposições estabelecidas na alínea b, inciso V, do art. 40 da Lei n.º 14.133/21, o planejamento da compra deverá atender, entre outros, ao princípio do parcelamento, quando for tecnicamente viável e economicamente vantajoso, com vistas ao melhor aproveitamento dos recursos disponíveis no mercado e à ampliação da competitividade sem perda da economia de escala.</w:t>
      </w:r>
    </w:p>
    <w:p w14:paraId="058BDB92">
      <w:pPr>
        <w:spacing w:before="240"/>
        <w:jc w:val="both"/>
        <w:rPr>
          <w:rFonts w:ascii="Cambria" w:hAnsi="Cambria" w:cs="Times New Roman"/>
        </w:rPr>
      </w:pPr>
      <w:r>
        <w:rPr>
          <w:rFonts w:ascii="Cambria" w:hAnsi="Cambria" w:cs="Times New Roman"/>
        </w:rPr>
        <w:t>Considerando as especificidades do presente objeto a demanda será parcelada, haja visto, se comprovarem ser técnica e economicamente viável, com vistas a propiciar o melhor aproveitamento do mercado e a ampliação da competitividade.</w:t>
      </w:r>
    </w:p>
    <w:tbl>
      <w:tblPr>
        <w:tblStyle w:val="18"/>
        <w:tblW w:w="93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1"/>
      </w:tblGrid>
      <w:tr w14:paraId="0F9B4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shd w:val="clear" w:color="auto" w:fill="8EAADB" w:themeFill="accent1" w:themeFillTint="99"/>
          </w:tcPr>
          <w:p w14:paraId="17FE3DF3">
            <w:pPr>
              <w:spacing w:after="0" w:line="240" w:lineRule="auto"/>
              <w:jc w:val="both"/>
              <w:rPr>
                <w:rFonts w:ascii="Cambria" w:hAnsi="Cambria" w:eastAsia="Calibri" w:cs="Times New Roman"/>
                <w:b/>
                <w:sz w:val="22"/>
                <w:szCs w:val="22"/>
                <w:lang w:eastAsia="pt-BR"/>
              </w:rPr>
            </w:pPr>
            <w:r>
              <w:rPr>
                <w:rFonts w:ascii="Cambria" w:hAnsi="Cambria" w:eastAsia="Calibri" w:cs="Times New Roman"/>
                <w:b/>
                <w:sz w:val="22"/>
                <w:szCs w:val="22"/>
                <w:lang w:eastAsia="pt-BR"/>
              </w:rPr>
              <w:t>10 – CONTRATAÇÕES CORRELATAS E/OU INTERDEPENDENTES</w:t>
            </w:r>
          </w:p>
        </w:tc>
      </w:tr>
    </w:tbl>
    <w:p w14:paraId="6A67C274">
      <w:pPr>
        <w:spacing w:before="240"/>
        <w:jc w:val="both"/>
        <w:rPr>
          <w:rFonts w:ascii="Cambria" w:hAnsi="Cambria" w:cs="Times New Roman"/>
        </w:rPr>
      </w:pPr>
      <w:r>
        <w:rPr>
          <w:rFonts w:ascii="Cambria" w:hAnsi="Cambria" w:cs="Times New Roman"/>
        </w:rPr>
        <w:t xml:space="preserve">Importante a continuação dos trabalhos prestados para melhor andamento dos Setores, </w:t>
      </w:r>
      <w:r>
        <w:rPr>
          <w:rFonts w:ascii="Cambria" w:hAnsi="Cambria" w:cs="Times New Roman"/>
          <w:bCs/>
        </w:rPr>
        <w:t>já que são produtos utilizados nas atividades diárias da presente Secretaria, bem como nos Programas e Projetos Federais desenvolvidos</w:t>
      </w:r>
      <w:r>
        <w:rPr>
          <w:rFonts w:ascii="Cambria" w:hAnsi="Cambria" w:cs="Times New Roman"/>
        </w:rPr>
        <w:t>.</w:t>
      </w:r>
    </w:p>
    <w:tbl>
      <w:tblPr>
        <w:tblStyle w:val="18"/>
        <w:tblW w:w="93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1"/>
      </w:tblGrid>
      <w:tr w14:paraId="13094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shd w:val="clear" w:color="auto" w:fill="8EAADB" w:themeFill="accent1" w:themeFillTint="99"/>
          </w:tcPr>
          <w:p w14:paraId="5B27703A">
            <w:pPr>
              <w:spacing w:after="0" w:line="240" w:lineRule="auto"/>
              <w:jc w:val="both"/>
              <w:rPr>
                <w:rFonts w:ascii="Cambria" w:hAnsi="Cambria" w:eastAsia="Calibri" w:cs="Times New Roman"/>
                <w:b/>
                <w:sz w:val="22"/>
                <w:szCs w:val="22"/>
                <w:lang w:eastAsia="pt-BR"/>
              </w:rPr>
            </w:pPr>
            <w:r>
              <w:rPr>
                <w:rFonts w:ascii="Cambria" w:hAnsi="Cambria" w:eastAsia="Calibri" w:cs="Times New Roman"/>
                <w:b/>
                <w:sz w:val="22"/>
                <w:szCs w:val="22"/>
                <w:lang w:eastAsia="pt-BR"/>
              </w:rPr>
              <w:t>11 – RESULTADOS PRETENDIDOS</w:t>
            </w:r>
          </w:p>
        </w:tc>
      </w:tr>
    </w:tbl>
    <w:p w14:paraId="40A9C729">
      <w:pPr>
        <w:spacing w:before="240"/>
        <w:jc w:val="both"/>
        <w:rPr>
          <w:rFonts w:ascii="Cambria" w:hAnsi="Cambria" w:cs="Times New Roman"/>
        </w:rPr>
      </w:pPr>
      <w:r>
        <w:rPr>
          <w:rFonts w:ascii="Cambria" w:hAnsi="Cambria" w:cs="Times New Roman"/>
        </w:rPr>
        <w:t>Os resultados pretendidos com as Aquisições são:</w:t>
      </w:r>
    </w:p>
    <w:p w14:paraId="5B2C09C0">
      <w:pPr>
        <w:spacing w:before="240"/>
        <w:jc w:val="both"/>
        <w:rPr>
          <w:rFonts w:ascii="Cambria" w:hAnsi="Cambria" w:cs="Times New Roman"/>
        </w:rPr>
      </w:pPr>
      <w:r>
        <w:rPr>
          <w:rFonts w:ascii="Cambria" w:hAnsi="Cambria" w:cs="Times New Roman"/>
        </w:rPr>
        <w:t xml:space="preserve">• Em relação à eficácia: atendimento de todas as demandas da aquisição de </w:t>
      </w:r>
      <w:r>
        <w:rPr>
          <w:rFonts w:ascii="Cambria" w:hAnsi="Cambria" w:cs="Times New Roman"/>
          <w:b/>
          <w:u w:val="single"/>
        </w:rPr>
        <w:t>medicamentos, materiais médicos hospitalares e laboratoriais</w:t>
      </w:r>
      <w:r>
        <w:rPr>
          <w:rFonts w:ascii="Cambria" w:hAnsi="Cambria" w:cs="Times New Roman"/>
        </w:rPr>
        <w:t>, no suporte à atividade finalística do órgão;</w:t>
      </w:r>
    </w:p>
    <w:p w14:paraId="7650A3CF">
      <w:pPr>
        <w:spacing w:before="240"/>
        <w:jc w:val="both"/>
        <w:rPr>
          <w:rFonts w:ascii="Cambria" w:hAnsi="Cambria" w:cs="Times New Roman"/>
        </w:rPr>
      </w:pPr>
      <w:r>
        <w:rPr>
          <w:rFonts w:ascii="Cambria" w:hAnsi="Cambria" w:cs="Times New Roman"/>
        </w:rPr>
        <w:t xml:space="preserve">• Quanto à eficiência: assegurar a continuidade e a manutenção dos </w:t>
      </w:r>
      <w:r>
        <w:rPr>
          <w:rFonts w:ascii="Cambria" w:hAnsi="Cambria" w:cs="Times New Roman"/>
          <w:b/>
          <w:u w:val="single"/>
        </w:rPr>
        <w:t>medicamentos, materiais médicos hospitalares e laboratoriais</w:t>
      </w:r>
      <w:r>
        <w:rPr>
          <w:rFonts w:ascii="Cambria" w:hAnsi="Cambria"/>
          <w:b/>
        </w:rPr>
        <w:t xml:space="preserve">, </w:t>
      </w:r>
      <w:r>
        <w:rPr>
          <w:rFonts w:ascii="Cambria" w:hAnsi="Cambria" w:cs="Times New Roman"/>
        </w:rPr>
        <w:t>em tela, na Secretaria, bem como o uso racional dos recursos financeiros;</w:t>
      </w:r>
    </w:p>
    <w:p w14:paraId="0BF53EF6">
      <w:pPr>
        <w:spacing w:before="240"/>
        <w:jc w:val="both"/>
        <w:rPr>
          <w:rFonts w:ascii="Cambria" w:hAnsi="Cambria" w:cs="Times New Roman"/>
        </w:rPr>
      </w:pPr>
      <w:r>
        <w:rPr>
          <w:rFonts w:ascii="Cambria" w:hAnsi="Cambria" w:cs="Times New Roman"/>
        </w:rPr>
        <w:t xml:space="preserve">• Com a Aquisição de </w:t>
      </w:r>
      <w:r>
        <w:rPr>
          <w:rFonts w:ascii="Cambria" w:hAnsi="Cambria" w:cs="Times New Roman"/>
          <w:b/>
          <w:u w:val="single"/>
        </w:rPr>
        <w:t>medicamentos, materiais médicos hospitalares e laboratoriais</w:t>
      </w:r>
      <w:r>
        <w:rPr>
          <w:rFonts w:ascii="Cambria" w:hAnsi="Cambria"/>
          <w:b/>
        </w:rPr>
        <w:t xml:space="preserve">, </w:t>
      </w:r>
      <w:r>
        <w:rPr>
          <w:rFonts w:ascii="Cambria" w:hAnsi="Cambria" w:cs="Times New Roman"/>
        </w:rPr>
        <w:t xml:space="preserve">buscam-se também, atender ao princípio da economicidade, cuja meta é a obtenção da melhor relação custo benefício possível de </w:t>
      </w:r>
      <w:r>
        <w:rPr>
          <w:rFonts w:ascii="Cambria" w:hAnsi="Cambria" w:cs="Times New Roman"/>
          <w:b/>
          <w:u w:val="single"/>
        </w:rPr>
        <w:t>medicamentos, materiais médicos hospitalares e laboratoriais</w:t>
      </w:r>
      <w:r>
        <w:rPr>
          <w:rFonts w:ascii="Cambria" w:hAnsi="Cambria" w:cs="Times New Roman"/>
        </w:rPr>
        <w:t xml:space="preserve"> em recursos financeiros, econômicos e administrativos possa alcançar, permitindo assim que as aquisições sejam realizadas de forma rápida, econômica e sustentável.</w:t>
      </w:r>
    </w:p>
    <w:tbl>
      <w:tblPr>
        <w:tblStyle w:val="18"/>
        <w:tblW w:w="92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09"/>
      </w:tblGrid>
      <w:tr w14:paraId="12B16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09" w:type="dxa"/>
            <w:shd w:val="clear" w:color="auto" w:fill="8EAADB" w:themeFill="accent1" w:themeFillTint="99"/>
          </w:tcPr>
          <w:p w14:paraId="0C46C99E">
            <w:pPr>
              <w:spacing w:after="0" w:line="240" w:lineRule="auto"/>
              <w:jc w:val="both"/>
              <w:rPr>
                <w:rFonts w:ascii="Cambria" w:hAnsi="Cambria" w:eastAsia="Calibri" w:cs="Times New Roman"/>
                <w:b/>
                <w:sz w:val="22"/>
                <w:szCs w:val="22"/>
                <w:lang w:eastAsia="pt-BR"/>
              </w:rPr>
            </w:pPr>
            <w:r>
              <w:rPr>
                <w:rFonts w:ascii="Cambria" w:hAnsi="Cambria" w:eastAsia="Calibri" w:cs="Times New Roman"/>
                <w:b/>
                <w:sz w:val="22"/>
                <w:szCs w:val="22"/>
                <w:lang w:eastAsia="pt-BR"/>
              </w:rPr>
              <w:t>12- PROVIDÊNCIAS PREVIAMENTE À CELEBRAÇÃO DO CONTRATO</w:t>
            </w:r>
          </w:p>
        </w:tc>
      </w:tr>
    </w:tbl>
    <w:p w14:paraId="43A24EF5">
      <w:pPr>
        <w:spacing w:before="240"/>
        <w:jc w:val="both"/>
        <w:rPr>
          <w:rFonts w:ascii="Cambria" w:hAnsi="Cambria" w:cs="Times New Roman"/>
        </w:rPr>
      </w:pPr>
      <w:r>
        <w:rPr>
          <w:rFonts w:ascii="Cambria" w:hAnsi="Cambria" w:cs="Times New Roman"/>
        </w:rPr>
        <w:t xml:space="preserve">Para fins de melhorias quanto ao alcance do objetivo pretendido, os </w:t>
      </w:r>
      <w:r>
        <w:rPr>
          <w:rFonts w:ascii="Cambria" w:hAnsi="Cambria" w:cs="Times New Roman"/>
          <w:b/>
          <w:u w:val="single"/>
        </w:rPr>
        <w:t>medicamentos, materiais médicos hospitalares e laboratoriais</w:t>
      </w:r>
      <w:r>
        <w:rPr>
          <w:rFonts w:ascii="Cambria" w:hAnsi="Cambria" w:cs="Times New Roman"/>
        </w:rPr>
        <w:t xml:space="preserve"> adquiridos serão recebidos e acondicionados de forma a manter a sua qualidade até que sejam efetivamente utilizados, quanto à forma correta de manuseio e armazenamento.</w:t>
      </w:r>
    </w:p>
    <w:tbl>
      <w:tblPr>
        <w:tblStyle w:val="18"/>
        <w:tblW w:w="92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09"/>
      </w:tblGrid>
      <w:tr w14:paraId="27645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09" w:type="dxa"/>
            <w:shd w:val="clear" w:color="auto" w:fill="8EAADB" w:themeFill="accent1" w:themeFillTint="99"/>
          </w:tcPr>
          <w:p w14:paraId="76A808BE">
            <w:pPr>
              <w:spacing w:after="0" w:line="240" w:lineRule="auto"/>
              <w:jc w:val="both"/>
              <w:rPr>
                <w:rFonts w:ascii="Cambria" w:hAnsi="Cambria" w:eastAsia="Calibri" w:cs="Times New Roman"/>
                <w:b/>
                <w:sz w:val="22"/>
                <w:szCs w:val="22"/>
                <w:lang w:eastAsia="pt-BR"/>
              </w:rPr>
            </w:pPr>
            <w:r>
              <w:rPr>
                <w:rFonts w:ascii="Cambria" w:hAnsi="Cambria" w:eastAsia="Calibri" w:cs="Times New Roman"/>
                <w:b/>
                <w:sz w:val="22"/>
                <w:szCs w:val="22"/>
                <w:lang w:eastAsia="pt-BR"/>
              </w:rPr>
              <w:t>13- POSSÍVEIS IMPACTOS AMBIENTAIS E TRATAMENTOS</w:t>
            </w:r>
          </w:p>
        </w:tc>
      </w:tr>
    </w:tbl>
    <w:p w14:paraId="3F1A90A8">
      <w:pPr>
        <w:spacing w:before="240"/>
        <w:jc w:val="both"/>
        <w:rPr>
          <w:rFonts w:ascii="Cambria" w:hAnsi="Cambria" w:cs="Times New Roman"/>
        </w:rPr>
      </w:pPr>
      <w:r>
        <w:rPr>
          <w:rFonts w:ascii="Cambria" w:hAnsi="Cambria" w:cs="Times New Roman"/>
        </w:rPr>
        <w:t xml:space="preserve">Os principais impactos ambientais dos </w:t>
      </w:r>
      <w:r>
        <w:rPr>
          <w:rFonts w:ascii="Cambria" w:hAnsi="Cambria" w:cs="Times New Roman"/>
          <w:b/>
          <w:u w:val="single"/>
        </w:rPr>
        <w:t>medicamentos, materiais médicos hospitalares e laboratoriais</w:t>
      </w:r>
      <w:r>
        <w:rPr>
          <w:rFonts w:ascii="Cambria" w:hAnsi="Cambria" w:cs="Times New Roman"/>
        </w:rPr>
        <w:t xml:space="preserve"> adquiridos, podem estar associados tanto ao processo produtivo, como à geração de efluentes, ao próprio uso dos </w:t>
      </w:r>
      <w:r>
        <w:rPr>
          <w:rFonts w:ascii="Cambria" w:hAnsi="Cambria" w:cs="Times New Roman"/>
          <w:b/>
          <w:u w:val="single"/>
        </w:rPr>
        <w:t>medicamentos, materiais médicos hospitalares e laboratoriais</w:t>
      </w:r>
      <w:r>
        <w:rPr>
          <w:rFonts w:ascii="Cambria" w:hAnsi="Cambria" w:cs="Times New Roman"/>
        </w:rPr>
        <w:t xml:space="preserve"> ou mesmo à geração de resíduos de embalagem pós-uso.</w:t>
      </w:r>
    </w:p>
    <w:p w14:paraId="329AD6E1">
      <w:pPr>
        <w:spacing w:before="240"/>
        <w:jc w:val="both"/>
        <w:rPr>
          <w:rFonts w:ascii="Cambria" w:hAnsi="Cambria" w:cs="Times New Roman"/>
        </w:rPr>
      </w:pPr>
      <w:r>
        <w:rPr>
          <w:rFonts w:ascii="Cambria" w:hAnsi="Cambria" w:cs="Times New Roman"/>
        </w:rPr>
        <w:t>Os riscos de impactos ocasionados devido a produção nas indústrias, as empresas deverão atentar para as práticas de mitigação dos impactos na produção, em como as lei e Resoluções que orientam a produção sustentável dessas atividades.</w:t>
      </w:r>
    </w:p>
    <w:p w14:paraId="16B9D9C1">
      <w:pPr>
        <w:spacing w:before="240"/>
        <w:jc w:val="both"/>
        <w:rPr>
          <w:rFonts w:ascii="Cambria" w:hAnsi="Cambria" w:cs="Times New Roman"/>
        </w:rPr>
      </w:pPr>
      <w:r>
        <w:rPr>
          <w:rFonts w:ascii="Cambria" w:hAnsi="Cambria" w:cs="Times New Roman"/>
        </w:rPr>
        <w:t>Que sejam observados os requisitos ambientais para a obtenção de certificação do Instituto Nacional de Metrologia, Normalização e Qualidade Industrial – INMETRO como produtos sustentáveis ou de menor impacto ambiental em relação aos seus similares.</w:t>
      </w:r>
    </w:p>
    <w:p w14:paraId="1EB6EB98">
      <w:pPr>
        <w:spacing w:before="240"/>
        <w:jc w:val="both"/>
        <w:rPr>
          <w:rFonts w:ascii="Cambria" w:hAnsi="Cambria" w:cs="Times New Roman"/>
        </w:rPr>
      </w:pPr>
      <w:r>
        <w:rPr>
          <w:rFonts w:ascii="Cambria" w:hAnsi="Cambria" w:cs="Times New Roman"/>
        </w:rPr>
        <w:t xml:space="preserve">Que os </w:t>
      </w:r>
      <w:r>
        <w:rPr>
          <w:rFonts w:ascii="Cambria" w:hAnsi="Cambria" w:cs="Times New Roman"/>
          <w:b/>
          <w:u w:val="single"/>
        </w:rPr>
        <w:t>medicamentos, materiais médicos hospitalares e laboratoriais</w:t>
      </w:r>
      <w:r>
        <w:rPr>
          <w:rFonts w:ascii="Cambria" w:hAnsi="Cambria" w:cs="Times New Roman"/>
        </w:rPr>
        <w:t xml:space="preserve"> devam ser preferencialmente, acondicionados em embalagem individual adequada, com o menor volume possível, que utilize materiais recicláveis, de forma a garantir a máxima proteção durante o transporte e o armazenamento.</w:t>
      </w:r>
    </w:p>
    <w:tbl>
      <w:tblPr>
        <w:tblStyle w:val="18"/>
        <w:tblW w:w="93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1"/>
      </w:tblGrid>
      <w:tr w14:paraId="6B736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shd w:val="clear" w:color="auto" w:fill="8EAADB" w:themeFill="accent1" w:themeFillTint="99"/>
          </w:tcPr>
          <w:p w14:paraId="3B273D9C">
            <w:pPr>
              <w:spacing w:after="0" w:line="240" w:lineRule="auto"/>
              <w:jc w:val="both"/>
              <w:rPr>
                <w:rFonts w:ascii="Cambria" w:hAnsi="Cambria" w:eastAsia="Calibri" w:cs="Times New Roman"/>
                <w:b/>
                <w:sz w:val="22"/>
                <w:szCs w:val="22"/>
                <w:lang w:eastAsia="pt-BR"/>
              </w:rPr>
            </w:pPr>
            <w:r>
              <w:rPr>
                <w:rFonts w:ascii="Cambria" w:hAnsi="Cambria" w:eastAsia="Calibri" w:cs="Times New Roman"/>
                <w:b/>
                <w:sz w:val="22"/>
                <w:szCs w:val="22"/>
                <w:lang w:eastAsia="pt-BR"/>
              </w:rPr>
              <w:t>14 - DECLARAÇÃO DE VIABILIDADE</w:t>
            </w:r>
          </w:p>
        </w:tc>
      </w:tr>
    </w:tbl>
    <w:p w14:paraId="44672E24">
      <w:pPr>
        <w:spacing w:before="240"/>
        <w:jc w:val="both"/>
        <w:rPr>
          <w:rFonts w:ascii="Cambria" w:hAnsi="Cambria" w:cs="Times New Roman"/>
        </w:rPr>
      </w:pPr>
      <w:r>
        <w:rPr>
          <w:rFonts w:ascii="Cambria" w:hAnsi="Cambria" w:cs="Times New Roman"/>
        </w:rPr>
        <w:t>Justificativa da Viabilidade:</w:t>
      </w:r>
    </w:p>
    <w:p w14:paraId="5B341F13">
      <w:pPr>
        <w:spacing w:before="240"/>
        <w:jc w:val="both"/>
        <w:rPr>
          <w:rFonts w:ascii="Cambria" w:hAnsi="Cambria" w:cs="Times New Roman"/>
        </w:rPr>
      </w:pPr>
      <w:r>
        <w:rPr>
          <w:rFonts w:ascii="Cambria" w:hAnsi="Cambria" w:cs="Times New Roman"/>
        </w:rPr>
        <w:t xml:space="preserve">A Secretaria Municipal de Saúde necessita adquirir </w:t>
      </w:r>
      <w:r>
        <w:rPr>
          <w:rFonts w:ascii="Cambria" w:hAnsi="Cambria" w:cs="Times New Roman"/>
          <w:b/>
          <w:u w:val="single"/>
        </w:rPr>
        <w:t>medicamentos, materiais médicos hospitalares e laboratoriais</w:t>
      </w:r>
      <w:r>
        <w:rPr>
          <w:rFonts w:ascii="Cambria" w:hAnsi="Cambria" w:cs="Times New Roman"/>
        </w:rPr>
        <w:t xml:space="preserve"> para atender os pacientes que fazem uso para tratamentos. As Unidades de Saúde são: Hospital Municipal de Piracanjuba Thuany Garcia Ribeiro, EMAD, e Farmácia Básica.</w:t>
      </w:r>
    </w:p>
    <w:p w14:paraId="79990493">
      <w:pPr>
        <w:spacing w:before="240"/>
        <w:jc w:val="both"/>
        <w:rPr>
          <w:rFonts w:ascii="Cambria" w:hAnsi="Cambria" w:cs="Times New Roman"/>
        </w:rPr>
      </w:pPr>
      <w:r>
        <w:rPr>
          <w:rFonts w:ascii="Cambria" w:hAnsi="Cambria" w:cs="Times New Roman"/>
        </w:rPr>
        <w:t>O município de Piracanjuba possui cinco Unidades Básicas de Saúde e um Centro de Saúde além da Unidade do ROCHEDO onde são realizadas consultas médicas, de enfermagem, coleta de exames citopatológico, curativos, campanhas de vacinação, reuniões de grupos com gestantes, hipertensos, diabéticos, idosos, programa do tabagismo e outras ações.</w:t>
      </w:r>
    </w:p>
    <w:p w14:paraId="7E517216">
      <w:pPr>
        <w:spacing w:before="240" w:line="276" w:lineRule="auto"/>
        <w:ind w:right="-1"/>
        <w:jc w:val="both"/>
        <w:rPr>
          <w:rFonts w:ascii="Cambria" w:hAnsi="Cambria" w:cs="Times New Roman"/>
        </w:rPr>
      </w:pPr>
      <w:r>
        <w:rPr>
          <w:rFonts w:ascii="Cambria" w:hAnsi="Cambria" w:cs="Times New Roman"/>
        </w:rPr>
        <w:t>Nas Unidades Básicas de Saúde e Centro de Saúde são realizadas em média 2.714 consultas/meses (estimativa, baseada nas produções mensais fornecidas por cada unidade), a Atenção Básica é o primeiro nível de atenção em saúde e se caracteriza por um conjunto de ações de saúde, no âmbito individual e coletivo, que abrange a promoção e a proteção da saúde, a prevenção de agravos, o diagnóstico, o tratamento, a reabilitação, a redução de danos e manutenção da saúde. Os procedimentos realizados nas mesmas são: curativos, aerossol, administração de medicamentos, consultas médicas, consultas de enfermagem, aferição de pressão arterial, dentro outros procedimentos preconizados pelo Ministério da Saúde.</w:t>
      </w:r>
    </w:p>
    <w:p w14:paraId="1592AB68">
      <w:pPr>
        <w:spacing w:before="240"/>
        <w:jc w:val="both"/>
        <w:rPr>
          <w:rFonts w:ascii="Cambria" w:hAnsi="Cambria" w:cs="Times New Roman"/>
          <w:b/>
        </w:rPr>
      </w:pPr>
      <w:r>
        <w:rPr>
          <w:rFonts w:ascii="Cambria" w:hAnsi="Cambria" w:cs="Times New Roman"/>
        </w:rPr>
        <w:t xml:space="preserve">Centro Clínico de Especialidades são serviços de referência no Município para atendimento a pessoas que requerem cuidados de reabilitação motora, fonoaudiologia e psicológica. Também tem  atendimentos de especialidade que o município oferece: ortopedia, ginecologia, psiquiatria, pediatria cardiologia e urologia. </w:t>
      </w:r>
    </w:p>
    <w:p w14:paraId="36C68089">
      <w:pPr>
        <w:spacing w:before="240"/>
        <w:jc w:val="both"/>
        <w:rPr>
          <w:rFonts w:ascii="Cambria" w:hAnsi="Cambria" w:cs="Times New Roman"/>
        </w:rPr>
      </w:pPr>
      <w:r>
        <w:rPr>
          <w:rFonts w:ascii="Cambria" w:hAnsi="Cambria" w:cs="Times New Roman"/>
        </w:rPr>
        <w:t>-O Hospital Municipal de Piracanjuba Thuany Garcia Ribeiro presta atendimento de urgência e emergência, eletivo, possuindo 34 (trinta e quatro) leitos para internação. O fluxo de pacientes nesse estabelecimento de Saúde é variável e destacamos a demanda por atendimento diante de casos de surtos de dengue, gripes. O atendimento é feito ininterruptamente (24 horas diárias) sendo fornecidos medicamentos orais e endovenosos.</w:t>
      </w:r>
    </w:p>
    <w:p w14:paraId="783DD3BE">
      <w:pPr>
        <w:spacing w:before="240"/>
        <w:jc w:val="both"/>
        <w:rPr>
          <w:rFonts w:ascii="Cambria" w:hAnsi="Cambria" w:cs="Times New Roman"/>
        </w:rPr>
      </w:pPr>
      <w:r>
        <w:rPr>
          <w:rFonts w:ascii="Cambria" w:hAnsi="Cambria" w:cs="Times New Roman"/>
        </w:rPr>
        <w:t>O EMAD por sua vez, presta assistência domiciliar, durante 12 horas diárias a aproximadamente</w:t>
      </w:r>
    </w:p>
    <w:p w14:paraId="76F12744">
      <w:pPr>
        <w:spacing w:before="240"/>
        <w:jc w:val="both"/>
        <w:rPr>
          <w:rFonts w:ascii="Cambria" w:hAnsi="Cambria" w:cs="Times New Roman"/>
        </w:rPr>
      </w:pPr>
      <w:r>
        <w:rPr>
          <w:rFonts w:ascii="Cambria" w:hAnsi="Cambria" w:cs="Times New Roman"/>
        </w:rPr>
        <w:t>40 pessoas/mês fornecendo medicamentos orais e endovenosos. Tendo em vista que no final de 2016, parte da equipe fora capacitada, e com isso haverá acréscimo de condutas clínicas e médicas incorporando novas técnicas de tratamento e de realização de curativo.</w:t>
      </w:r>
    </w:p>
    <w:p w14:paraId="1C7C56AA">
      <w:pPr>
        <w:spacing w:before="240"/>
        <w:jc w:val="both"/>
        <w:rPr>
          <w:rFonts w:ascii="Cambria" w:hAnsi="Cambria" w:cs="Times New Roman"/>
        </w:rPr>
      </w:pPr>
      <w:r>
        <w:rPr>
          <w:rFonts w:ascii="Cambria" w:hAnsi="Cambria" w:cs="Times New Roman"/>
        </w:rPr>
        <w:t xml:space="preserve">Medicação Contínua: são fornecidos aos pacientes mediante avaliação pela Câmara Técnica em Saúde (CATS), mediante convênio entre Secretaria Municipal de Saúde e Promotoria de Justiça de Piracanjuba, além da distribuição de medicamentos por ordem judicial. </w:t>
      </w:r>
    </w:p>
    <w:p w14:paraId="69156E14">
      <w:pPr>
        <w:spacing w:before="240"/>
        <w:jc w:val="both"/>
        <w:rPr>
          <w:rFonts w:ascii="Cambria" w:hAnsi="Cambria" w:cs="Times New Roman"/>
        </w:rPr>
      </w:pPr>
      <w:r>
        <w:rPr>
          <w:rFonts w:ascii="Cambria" w:hAnsi="Cambria" w:cs="Times New Roman"/>
        </w:rPr>
        <w:t>Pacientes usuários de análogos de insulina.</w:t>
      </w:r>
    </w:p>
    <w:p w14:paraId="762CE98D">
      <w:pPr>
        <w:spacing w:before="240"/>
        <w:jc w:val="both"/>
        <w:rPr>
          <w:rFonts w:ascii="Cambria" w:hAnsi="Cambria" w:cs="Times New Roman"/>
        </w:rPr>
      </w:pPr>
      <w:r>
        <w:rPr>
          <w:rFonts w:ascii="Cambria" w:hAnsi="Cambria" w:cs="Times New Roman"/>
        </w:rPr>
        <w:t>Assim, os medicamentos que constituem este processo foram selecionados de acordo com as diretrizes da Relação Nacional de Medicamentos Essenciais (RENAME) de 2017 do Ministério da Saúde e as necessidades do Município de Piracanjuba.</w:t>
      </w:r>
    </w:p>
    <w:p w14:paraId="3408C2D4">
      <w:pPr>
        <w:spacing w:before="240"/>
        <w:jc w:val="both"/>
        <w:rPr>
          <w:rFonts w:ascii="Cambria" w:hAnsi="Cambria" w:cs="Times New Roman"/>
        </w:rPr>
      </w:pPr>
      <w:r>
        <w:rPr>
          <w:rFonts w:ascii="Cambria" w:hAnsi="Cambria" w:cs="Times New Roman"/>
        </w:rPr>
        <w:t xml:space="preserve">Sendo assim, considerando que tais medicamentos são essenciais para que os princípios do Sistema Único de Saúde sejam garantidos, a aquisição do quantitativo estimado é de grande relevância a fim de evitar o desabastecimento das Unidades de Saúde sem causar prejuízo à saúde dos pacientes atendidos. Salientamos ainda que o estoque ora existente não será suficiente para atender as demandas de todas as Unidades de Saúde do Município pelo período de até 12 meses. </w:t>
      </w:r>
    </w:p>
    <w:p w14:paraId="4F271B8D">
      <w:pPr>
        <w:spacing w:before="240"/>
        <w:jc w:val="both"/>
        <w:rPr>
          <w:rFonts w:ascii="Cambria" w:hAnsi="Cambria" w:cs="Times New Roman"/>
        </w:rPr>
      </w:pPr>
      <w:r>
        <w:rPr>
          <w:rFonts w:ascii="Cambria" w:hAnsi="Cambria" w:cs="Times New Roman"/>
        </w:rPr>
        <w:t>Sendo assim, considerando que tais medicamentos são essenciais para que os princípios do Sistema Único de Saúde sejam garantidos, a aquisição do quantitativo estimado é de grande relevância a fim de evitar o desabastecimento das Unidades de Saúde sem causar prejuízo à saúde dos pacientes atendidos</w:t>
      </w:r>
    </w:p>
    <w:tbl>
      <w:tblPr>
        <w:tblStyle w:val="18"/>
        <w:tblW w:w="92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09"/>
      </w:tblGrid>
      <w:tr w14:paraId="79BDF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09" w:type="dxa"/>
            <w:shd w:val="clear" w:color="auto" w:fill="8EAADB" w:themeFill="accent1" w:themeFillTint="99"/>
          </w:tcPr>
          <w:p w14:paraId="2498172E">
            <w:pPr>
              <w:spacing w:after="0" w:line="240" w:lineRule="auto"/>
              <w:jc w:val="both"/>
              <w:rPr>
                <w:rFonts w:ascii="Cambria" w:hAnsi="Cambria" w:eastAsia="Calibri" w:cs="Times New Roman"/>
                <w:b/>
                <w:sz w:val="22"/>
                <w:szCs w:val="22"/>
                <w:lang w:eastAsia="pt-BR"/>
              </w:rPr>
            </w:pPr>
            <w:r>
              <w:rPr>
                <w:rFonts w:ascii="Cambria" w:hAnsi="Cambria" w:eastAsia="Calibri" w:cs="Times New Roman"/>
                <w:b/>
                <w:sz w:val="22"/>
                <w:szCs w:val="22"/>
                <w:lang w:eastAsia="pt-BR"/>
              </w:rPr>
              <w:t>15- ANEXOS</w:t>
            </w:r>
          </w:p>
        </w:tc>
      </w:tr>
    </w:tbl>
    <w:p w14:paraId="7D1866A4">
      <w:pPr>
        <w:spacing w:before="240"/>
        <w:jc w:val="both"/>
        <w:rPr>
          <w:rFonts w:ascii="Cambria" w:hAnsi="Cambria" w:cs="Times New Roman"/>
        </w:rPr>
      </w:pPr>
      <w:r>
        <w:rPr>
          <w:rFonts w:ascii="Cambria" w:hAnsi="Cambria" w:cs="Times New Roman"/>
        </w:rPr>
        <w:t>Em anexo a este:</w:t>
      </w:r>
    </w:p>
    <w:p w14:paraId="2E033F4B">
      <w:pPr>
        <w:pStyle w:val="42"/>
        <w:numPr>
          <w:ilvl w:val="0"/>
          <w:numId w:val="3"/>
        </w:numPr>
        <w:spacing w:before="240"/>
        <w:jc w:val="both"/>
        <w:rPr>
          <w:rFonts w:ascii="Cambria" w:hAnsi="Cambria"/>
        </w:rPr>
      </w:pPr>
      <w:r>
        <w:rPr>
          <w:rFonts w:ascii="Cambria" w:hAnsi="Cambria"/>
        </w:rPr>
        <w:t>Justificativa para padronização de marca específica, nos termos do disposto no art. 41, da Lei Federal nº 14.133, de 01 de abril de 2021.</w:t>
      </w:r>
    </w:p>
    <w:p w14:paraId="3A8CE4A7">
      <w:pPr>
        <w:spacing w:after="0"/>
        <w:jc w:val="center"/>
        <w:rPr>
          <w:rFonts w:ascii="Cambria" w:hAnsi="Cambria" w:cs="Times New Roman"/>
          <w:color w:val="C00000"/>
        </w:rPr>
      </w:pPr>
      <w:r>
        <w:rPr>
          <w:rFonts w:ascii="Cambria" w:hAnsi="Cambria" w:cs="Times New Roman"/>
          <w:color w:val="C00000"/>
        </w:rPr>
        <w:drawing>
          <wp:inline distT="0" distB="0" distL="0" distR="0">
            <wp:extent cx="5781675" cy="7137400"/>
            <wp:effectExtent l="0" t="0" r="0" b="6350"/>
            <wp:docPr id="150135740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57407" name="Imagem 2"/>
                    <pic:cNvPicPr>
                      <a:picLocks noChangeAspect="1"/>
                    </pic:cNvPicPr>
                  </pic:nvPicPr>
                  <pic:blipFill>
                    <a:blip r:embed="rId10" cstate="print">
                      <a:extLst>
                        <a:ext uri="{28A0092B-C50C-407E-A947-70E740481C1C}">
                          <a14:useLocalDpi xmlns:a14="http://schemas.microsoft.com/office/drawing/2010/main" val="0"/>
                        </a:ext>
                      </a:extLst>
                    </a:blip>
                    <a:srcRect l="11084" t="6868" r="9349" b="24285"/>
                    <a:stretch>
                      <a:fillRect/>
                    </a:stretch>
                  </pic:blipFill>
                  <pic:spPr>
                    <a:xfrm>
                      <a:off x="0" y="0"/>
                      <a:ext cx="5797978" cy="7157713"/>
                    </a:xfrm>
                    <a:prstGeom prst="rect">
                      <a:avLst/>
                    </a:prstGeom>
                    <a:ln>
                      <a:noFill/>
                    </a:ln>
                  </pic:spPr>
                </pic:pic>
              </a:graphicData>
            </a:graphic>
          </wp:inline>
        </w:drawing>
      </w:r>
    </w:p>
    <w:p w14:paraId="32A6DC3A">
      <w:pPr>
        <w:spacing w:after="0"/>
        <w:jc w:val="center"/>
        <w:rPr>
          <w:rFonts w:ascii="Cambria" w:hAnsi="Cambria" w:cs="Times New Roman"/>
          <w:color w:val="C00000"/>
        </w:rPr>
      </w:pPr>
    </w:p>
    <w:p w14:paraId="7884CD2D">
      <w:pPr>
        <w:spacing w:after="0"/>
        <w:jc w:val="center"/>
        <w:rPr>
          <w:rFonts w:ascii="Cambria" w:hAnsi="Cambria" w:cs="Times New Roman"/>
          <w:color w:val="C00000"/>
        </w:rPr>
      </w:pPr>
      <w:r>
        <w:rPr>
          <w:rFonts w:ascii="Cambria" w:hAnsi="Cambria" w:cs="Times New Roman"/>
          <w:color w:val="C00000"/>
        </w:rPr>
        <w:drawing>
          <wp:inline distT="0" distB="0" distL="0" distR="0">
            <wp:extent cx="5876925" cy="8024495"/>
            <wp:effectExtent l="0" t="0" r="9525" b="0"/>
            <wp:docPr id="182526799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67992" name="Imagem 3"/>
                    <pic:cNvPicPr>
                      <a:picLocks noChangeAspect="1"/>
                    </pic:cNvPicPr>
                  </pic:nvPicPr>
                  <pic:blipFill>
                    <a:blip r:embed="rId11" cstate="print">
                      <a:extLst>
                        <a:ext uri="{28A0092B-C50C-407E-A947-70E740481C1C}">
                          <a14:useLocalDpi xmlns:a14="http://schemas.microsoft.com/office/drawing/2010/main" val="0"/>
                        </a:ext>
                      </a:extLst>
                    </a:blip>
                    <a:srcRect l="10037" t="8994" r="6313" b="10953"/>
                    <a:stretch>
                      <a:fillRect/>
                    </a:stretch>
                  </pic:blipFill>
                  <pic:spPr>
                    <a:xfrm>
                      <a:off x="0" y="0"/>
                      <a:ext cx="5896018" cy="8050319"/>
                    </a:xfrm>
                    <a:prstGeom prst="rect">
                      <a:avLst/>
                    </a:prstGeom>
                    <a:ln>
                      <a:noFill/>
                    </a:ln>
                  </pic:spPr>
                </pic:pic>
              </a:graphicData>
            </a:graphic>
          </wp:inline>
        </w:drawing>
      </w:r>
    </w:p>
    <w:p w14:paraId="090A3463">
      <w:pPr>
        <w:spacing w:after="0"/>
        <w:jc w:val="center"/>
        <w:rPr>
          <w:rFonts w:ascii="Cambria" w:hAnsi="Cambria" w:cs="Times New Roman"/>
        </w:rPr>
      </w:pPr>
      <w:r>
        <w:rPr>
          <w:rFonts w:ascii="Cambria" w:hAnsi="Cambria" w:cs="Times New Roman"/>
        </w:rPr>
        <w:drawing>
          <wp:inline distT="0" distB="0" distL="0" distR="0">
            <wp:extent cx="5798185" cy="8208010"/>
            <wp:effectExtent l="0" t="0" r="0" b="2540"/>
            <wp:docPr id="153103001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30017" name="Imagem 4"/>
                    <pic:cNvPicPr>
                      <a:picLocks noChangeAspect="1"/>
                    </pic:cNvPicPr>
                  </pic:nvPicPr>
                  <pic:blipFill>
                    <a:blip r:embed="rId12" cstate="print">
                      <a:extLst>
                        <a:ext uri="{28A0092B-C50C-407E-A947-70E740481C1C}">
                          <a14:useLocalDpi xmlns:a14="http://schemas.microsoft.com/office/drawing/2010/main" val="0"/>
                        </a:ext>
                      </a:extLst>
                    </a:blip>
                    <a:srcRect l="9684" t="10139" r="10048" b="10220"/>
                    <a:stretch>
                      <a:fillRect/>
                    </a:stretch>
                  </pic:blipFill>
                  <pic:spPr>
                    <a:xfrm>
                      <a:off x="0" y="0"/>
                      <a:ext cx="5804505" cy="8216789"/>
                    </a:xfrm>
                    <a:prstGeom prst="rect">
                      <a:avLst/>
                    </a:prstGeom>
                    <a:ln>
                      <a:noFill/>
                    </a:ln>
                  </pic:spPr>
                </pic:pic>
              </a:graphicData>
            </a:graphic>
          </wp:inline>
        </w:drawing>
      </w:r>
    </w:p>
    <w:p w14:paraId="778ADD57">
      <w:pPr>
        <w:spacing w:after="0"/>
        <w:jc w:val="both"/>
        <w:rPr>
          <w:rFonts w:ascii="Cambria" w:hAnsi="Cambria" w:cs="Times New Roman"/>
        </w:rPr>
      </w:pPr>
    </w:p>
    <w:p w14:paraId="3A65DE0E">
      <w:pPr>
        <w:spacing w:after="0"/>
        <w:jc w:val="both"/>
        <w:rPr>
          <w:rFonts w:ascii="Cambria" w:hAnsi="Cambria" w:cs="Times New Roman"/>
        </w:rPr>
      </w:pPr>
    </w:p>
    <w:p w14:paraId="58D3091D">
      <w:pPr>
        <w:spacing w:after="0"/>
        <w:jc w:val="both"/>
        <w:rPr>
          <w:rFonts w:ascii="Cambria" w:hAnsi="Cambria" w:cs="Times New Roman"/>
        </w:rPr>
      </w:pPr>
    </w:p>
    <w:tbl>
      <w:tblPr>
        <w:tblStyle w:val="1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94"/>
      </w:tblGrid>
      <w:tr w14:paraId="1521E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94" w:type="dxa"/>
            <w:shd w:val="clear" w:color="auto" w:fill="8EAADB" w:themeFill="accent1" w:themeFillTint="99"/>
          </w:tcPr>
          <w:p w14:paraId="255A52A9">
            <w:pPr>
              <w:spacing w:after="0" w:line="240" w:lineRule="auto"/>
              <w:rPr>
                <w:rFonts w:ascii="Cambria" w:hAnsi="Cambria" w:eastAsia="Calibri" w:cs="Times New Roman"/>
                <w:b/>
                <w:sz w:val="22"/>
                <w:szCs w:val="22"/>
                <w:lang w:eastAsia="pt-BR"/>
              </w:rPr>
            </w:pPr>
            <w:r>
              <w:rPr>
                <w:rFonts w:ascii="Cambria" w:hAnsi="Cambria" w:eastAsia="Calibri" w:cs="Times New Roman"/>
                <w:b/>
                <w:sz w:val="22"/>
                <w:szCs w:val="22"/>
                <w:lang w:eastAsia="pt-BR"/>
              </w:rPr>
              <w:t>16- RESPONSÁVEIS PELA ELABORAÇÃO DO ETP</w:t>
            </w:r>
          </w:p>
        </w:tc>
      </w:tr>
    </w:tbl>
    <w:p w14:paraId="4FC9707D">
      <w:pPr>
        <w:spacing w:after="0"/>
        <w:rPr>
          <w:rFonts w:ascii="Cambria" w:hAnsi="Cambria" w:cs="Times New Roman"/>
        </w:rPr>
      </w:pPr>
    </w:p>
    <w:p w14:paraId="15CDD429">
      <w:pPr>
        <w:spacing w:after="0"/>
        <w:jc w:val="both"/>
        <w:rPr>
          <w:rFonts w:ascii="Cambria" w:hAnsi="Cambria" w:cs="Times New Roman"/>
        </w:rPr>
      </w:pPr>
    </w:p>
    <w:p w14:paraId="1450F45A">
      <w:pPr>
        <w:spacing w:before="240" w:line="240" w:lineRule="auto"/>
        <w:ind w:hanging="2"/>
        <w:jc w:val="center"/>
        <w:rPr>
          <w:rFonts w:ascii="Cambria" w:hAnsi="Cambria" w:cs="Times New Roman"/>
        </w:rPr>
      </w:pPr>
      <w:r>
        <w:rPr>
          <w:rFonts w:ascii="Cambria" w:hAnsi="Cambria" w:cs="Times New Roman"/>
          <w:b/>
        </w:rPr>
        <w:t>Karini Gonçalves Barreto</w:t>
      </w:r>
      <w:r>
        <w:rPr>
          <w:rFonts w:ascii="Cambria" w:hAnsi="Cambria" w:cs="Times New Roman"/>
        </w:rPr>
        <w:t xml:space="preserve"> </w:t>
      </w:r>
    </w:p>
    <w:p w14:paraId="00BAD0CE">
      <w:pPr>
        <w:spacing w:before="240" w:line="240" w:lineRule="auto"/>
        <w:ind w:hanging="2"/>
        <w:jc w:val="center"/>
        <w:rPr>
          <w:rFonts w:ascii="Cambria" w:hAnsi="Cambria" w:cs="Times New Roman"/>
        </w:rPr>
      </w:pPr>
      <w:r>
        <w:rPr>
          <w:rFonts w:ascii="Cambria" w:hAnsi="Cambria" w:cs="Times New Roman"/>
        </w:rPr>
        <w:t>Responsável pela Formalização da Demanda</w:t>
      </w:r>
    </w:p>
    <w:p w14:paraId="19E9137B">
      <w:pPr>
        <w:tabs>
          <w:tab w:val="left" w:pos="5865"/>
        </w:tabs>
        <w:spacing w:before="240" w:after="240" w:line="360" w:lineRule="auto"/>
        <w:ind w:hanging="2"/>
        <w:jc w:val="center"/>
        <w:rPr>
          <w:rFonts w:ascii="Cambria" w:hAnsi="Cambria" w:cs="Times New Roman"/>
        </w:rPr>
      </w:pPr>
      <w:r>
        <w:rPr>
          <w:rFonts w:ascii="Cambria" w:hAnsi="Cambria" w:cs="Times New Roman"/>
        </w:rPr>
        <w:t>Matrícula nº 51494013</w:t>
      </w:r>
    </w:p>
    <w:p w14:paraId="1D9D0258">
      <w:pPr>
        <w:spacing w:after="0"/>
        <w:jc w:val="center"/>
        <w:rPr>
          <w:rFonts w:ascii="Cambria" w:hAnsi="Cambria" w:cs="Times New Roman"/>
        </w:rPr>
      </w:pPr>
    </w:p>
    <w:p w14:paraId="2B6FB2D7">
      <w:pPr>
        <w:spacing w:before="240" w:line="240" w:lineRule="auto"/>
        <w:ind w:hanging="2"/>
        <w:jc w:val="center"/>
        <w:rPr>
          <w:rFonts w:ascii="Cambria" w:hAnsi="Cambria" w:cs="Times New Roman"/>
          <w:b/>
        </w:rPr>
      </w:pPr>
      <w:r>
        <w:rPr>
          <w:rFonts w:ascii="Cambria" w:hAnsi="Cambria" w:cs="Times New Roman"/>
          <w:b/>
        </w:rPr>
        <w:t>Marcela Elias Castro</w:t>
      </w:r>
    </w:p>
    <w:p w14:paraId="772C9B29">
      <w:pPr>
        <w:spacing w:before="240" w:line="240" w:lineRule="auto"/>
        <w:ind w:hanging="2"/>
        <w:jc w:val="center"/>
        <w:rPr>
          <w:rFonts w:ascii="Cambria" w:hAnsi="Cambria" w:cs="Times New Roman"/>
        </w:rPr>
      </w:pPr>
      <w:r>
        <w:rPr>
          <w:rFonts w:ascii="Cambria" w:hAnsi="Cambria" w:cs="Times New Roman"/>
        </w:rPr>
        <w:t>Responsável pela Formalização da Demanda</w:t>
      </w:r>
    </w:p>
    <w:p w14:paraId="05496D2B">
      <w:pPr>
        <w:tabs>
          <w:tab w:val="left" w:pos="5865"/>
        </w:tabs>
        <w:spacing w:before="240" w:after="240" w:line="360" w:lineRule="auto"/>
        <w:ind w:hanging="2"/>
        <w:jc w:val="center"/>
        <w:rPr>
          <w:rFonts w:ascii="Cambria" w:hAnsi="Cambria" w:cs="Times New Roman"/>
        </w:rPr>
      </w:pPr>
      <w:r>
        <w:rPr>
          <w:rFonts w:ascii="Cambria" w:hAnsi="Cambria" w:cs="Times New Roman"/>
        </w:rPr>
        <w:t>Matrícula nº 51494012</w:t>
      </w:r>
    </w:p>
    <w:p w14:paraId="6CEDD0D4">
      <w:pPr>
        <w:tabs>
          <w:tab w:val="left" w:pos="5865"/>
        </w:tabs>
        <w:spacing w:before="240" w:after="240" w:line="360" w:lineRule="auto"/>
        <w:ind w:hanging="2"/>
        <w:jc w:val="center"/>
        <w:rPr>
          <w:rFonts w:ascii="Cambria" w:hAnsi="Cambria" w:cs="Times New Roman"/>
        </w:rPr>
      </w:pPr>
    </w:p>
    <w:p w14:paraId="7A71366B">
      <w:pPr>
        <w:spacing w:before="240"/>
        <w:ind w:hanging="2"/>
        <w:jc w:val="center"/>
        <w:rPr>
          <w:rFonts w:ascii="Cambria" w:hAnsi="Cambria" w:cs="Times New Roman"/>
          <w:b/>
        </w:rPr>
      </w:pPr>
      <w:r>
        <w:rPr>
          <w:rFonts w:ascii="Cambria" w:hAnsi="Cambria" w:cs="Times New Roman"/>
          <w:b/>
        </w:rPr>
        <w:t>Daniela Gonçalves Silva</w:t>
      </w:r>
    </w:p>
    <w:p w14:paraId="6441AC2B">
      <w:pPr>
        <w:spacing w:before="240"/>
        <w:ind w:hanging="2"/>
        <w:jc w:val="center"/>
        <w:rPr>
          <w:rFonts w:ascii="Cambria" w:hAnsi="Cambria" w:cs="Times New Roman"/>
        </w:rPr>
      </w:pPr>
      <w:r>
        <w:rPr>
          <w:rFonts w:ascii="Cambria" w:hAnsi="Cambria" w:cs="Times New Roman"/>
        </w:rPr>
        <w:t>Responsável pela Formalização da Demanda</w:t>
      </w:r>
    </w:p>
    <w:p w14:paraId="4676CCDB">
      <w:pPr>
        <w:tabs>
          <w:tab w:val="left" w:pos="5865"/>
        </w:tabs>
        <w:spacing w:before="240" w:after="240" w:line="360" w:lineRule="auto"/>
        <w:ind w:hanging="2"/>
        <w:jc w:val="center"/>
        <w:rPr>
          <w:rFonts w:ascii="Cambria" w:hAnsi="Cambria" w:cs="Times New Roman"/>
        </w:rPr>
      </w:pPr>
      <w:r>
        <w:rPr>
          <w:rFonts w:ascii="Cambria" w:hAnsi="Cambria" w:cs="Times New Roman"/>
        </w:rPr>
        <w:t>Matrícula nº 51495799</w:t>
      </w:r>
    </w:p>
    <w:p w14:paraId="569DC23A">
      <w:pPr>
        <w:tabs>
          <w:tab w:val="left" w:pos="5865"/>
        </w:tabs>
        <w:spacing w:before="240" w:after="240" w:line="360" w:lineRule="auto"/>
        <w:ind w:hanging="2"/>
        <w:jc w:val="center"/>
        <w:rPr>
          <w:rFonts w:ascii="Cambria" w:hAnsi="Cambria" w:cs="Times New Roman"/>
        </w:rPr>
      </w:pPr>
    </w:p>
    <w:p w14:paraId="7D310EA6">
      <w:pPr>
        <w:tabs>
          <w:tab w:val="left" w:pos="5865"/>
        </w:tabs>
        <w:spacing w:before="240" w:after="240" w:line="360" w:lineRule="auto"/>
        <w:ind w:hanging="2"/>
        <w:jc w:val="center"/>
        <w:rPr>
          <w:rFonts w:ascii="Cambria" w:hAnsi="Cambria" w:cs="Times New Roman"/>
        </w:rPr>
      </w:pPr>
    </w:p>
    <w:p w14:paraId="5E0BDF81">
      <w:pPr>
        <w:spacing w:before="240"/>
        <w:ind w:hanging="2"/>
        <w:jc w:val="center"/>
        <w:rPr>
          <w:rFonts w:ascii="Cambria" w:hAnsi="Cambria" w:cs="Times New Roman"/>
          <w:b/>
        </w:rPr>
      </w:pPr>
      <w:r>
        <w:rPr>
          <w:rFonts w:ascii="Cambria" w:hAnsi="Cambria" w:cs="Times New Roman"/>
          <w:b/>
        </w:rPr>
        <w:t>Silvia Raquel de Sá Araújo Barbosa</w:t>
      </w:r>
    </w:p>
    <w:p w14:paraId="088A329B">
      <w:pPr>
        <w:spacing w:before="240"/>
        <w:ind w:hanging="2"/>
        <w:jc w:val="center"/>
        <w:rPr>
          <w:rFonts w:ascii="Cambria" w:hAnsi="Cambria" w:cs="Times New Roman"/>
        </w:rPr>
      </w:pPr>
      <w:r>
        <w:rPr>
          <w:rFonts w:ascii="Cambria" w:hAnsi="Cambria" w:cs="Times New Roman"/>
        </w:rPr>
        <w:t>Secretária Municipal de Saúde</w:t>
      </w:r>
    </w:p>
    <w:p w14:paraId="38C41683">
      <w:pPr>
        <w:spacing w:before="240"/>
        <w:ind w:hanging="2"/>
        <w:jc w:val="center"/>
        <w:rPr>
          <w:rFonts w:ascii="Cambria" w:hAnsi="Cambria" w:cs="Times New Roman"/>
        </w:rPr>
      </w:pPr>
      <w:r>
        <w:rPr>
          <w:rFonts w:ascii="Cambria" w:hAnsi="Cambria" w:cs="Times New Roman"/>
        </w:rPr>
        <w:t>Gestora do Fundo Municipal de Saúde</w:t>
      </w:r>
    </w:p>
    <w:p w14:paraId="55A06DE4">
      <w:pPr>
        <w:spacing w:after="0"/>
        <w:jc w:val="center"/>
        <w:rPr>
          <w:rFonts w:ascii="Cambria" w:hAnsi="Cambria" w:cs="Times New Roman"/>
        </w:rPr>
      </w:pPr>
      <w:r>
        <w:rPr>
          <w:rFonts w:ascii="Cambria" w:hAnsi="Cambria" w:cs="Times New Roman"/>
        </w:rPr>
        <w:t>Matrícula nº 51495545</w:t>
      </w:r>
    </w:p>
    <w:p w14:paraId="4C0CCCA2">
      <w:pPr>
        <w:spacing w:before="240" w:line="276" w:lineRule="auto"/>
        <w:jc w:val="both"/>
        <w:rPr>
          <w:rFonts w:ascii="Cambria" w:hAnsi="Cambria" w:eastAsia="Times New Roman" w:cs="Times New Roman"/>
          <w:lang w:eastAsia="pt-BR"/>
        </w:rPr>
      </w:pPr>
      <w:r>
        <w:rPr>
          <w:rFonts w:ascii="Cambria" w:hAnsi="Cambria" w:cs="Times New Roman"/>
        </w:rPr>
        <w:br w:type="page"/>
      </w:r>
    </w:p>
    <w:p w14:paraId="0EC83E30">
      <w:pPr>
        <w:tabs>
          <w:tab w:val="left" w:pos="1701"/>
        </w:tabs>
        <w:spacing w:before="240" w:line="276" w:lineRule="auto"/>
        <w:jc w:val="center"/>
        <w:rPr>
          <w:rFonts w:ascii="Cambria" w:hAnsi="Cambria"/>
          <w:b/>
        </w:rPr>
      </w:pPr>
      <w:r>
        <w:rPr>
          <w:rFonts w:ascii="Cambria" w:hAnsi="Cambria"/>
          <w:b/>
        </w:rPr>
        <w:t>PREGÃO ELETRÔNICO Nº 53/2024</w:t>
      </w:r>
    </w:p>
    <w:p w14:paraId="33066C1D">
      <w:pPr>
        <w:tabs>
          <w:tab w:val="left" w:pos="1701"/>
        </w:tabs>
        <w:spacing w:before="240" w:line="276" w:lineRule="auto"/>
        <w:jc w:val="center"/>
        <w:rPr>
          <w:rFonts w:ascii="Cambria" w:hAnsi="Cambria"/>
          <w:b/>
        </w:rPr>
      </w:pPr>
      <w:r>
        <w:rPr>
          <w:rFonts w:ascii="Cambria" w:hAnsi="Cambria"/>
          <w:b/>
        </w:rPr>
        <w:t>ANEXO III</w:t>
      </w:r>
    </w:p>
    <w:p w14:paraId="35245A74">
      <w:pPr>
        <w:pStyle w:val="12"/>
        <w:spacing w:before="0" w:beforeAutospacing="0" w:after="0" w:afterAutospacing="0" w:line="276" w:lineRule="auto"/>
        <w:jc w:val="center"/>
        <w:rPr>
          <w:rFonts w:ascii="Cambria" w:hAnsi="Cambria"/>
          <w:b/>
          <w:sz w:val="22"/>
          <w:szCs w:val="22"/>
          <w:u w:val="single"/>
        </w:rPr>
      </w:pPr>
      <w:r>
        <w:rPr>
          <w:rFonts w:ascii="Cambria" w:hAnsi="Cambria"/>
          <w:b/>
          <w:sz w:val="22"/>
          <w:szCs w:val="22"/>
          <w:u w:val="single"/>
        </w:rPr>
        <w:t>MODELO DE PROPOSTA COMERCIAL</w:t>
      </w:r>
    </w:p>
    <w:p w14:paraId="6AC294B2">
      <w:pPr>
        <w:tabs>
          <w:tab w:val="left" w:pos="1701"/>
        </w:tabs>
        <w:spacing w:before="240" w:after="240" w:line="276" w:lineRule="auto"/>
        <w:jc w:val="both"/>
        <w:rPr>
          <w:rFonts w:ascii="Cambria" w:hAnsi="Cambria"/>
        </w:rPr>
      </w:pPr>
      <w:r>
        <w:rPr>
          <w:rFonts w:ascii="Cambria" w:hAnsi="Cambria"/>
          <w:b/>
        </w:rPr>
        <w:t>TIPO:</w:t>
      </w:r>
      <w:r>
        <w:rPr>
          <w:rFonts w:ascii="Cambria" w:hAnsi="Cambria"/>
        </w:rPr>
        <w:t xml:space="preserve"> Menor Preço por item </w:t>
      </w:r>
    </w:p>
    <w:p w14:paraId="45CF603B">
      <w:pPr>
        <w:pStyle w:val="12"/>
        <w:spacing w:before="240" w:after="240" w:line="360" w:lineRule="auto"/>
        <w:jc w:val="both"/>
        <w:rPr>
          <w:rStyle w:val="25"/>
          <w:rFonts w:ascii="Cambria" w:hAnsi="Cambria"/>
          <w:i w:val="0"/>
          <w:iCs w:val="0"/>
          <w:color w:val="auto"/>
          <w:sz w:val="22"/>
          <w:szCs w:val="22"/>
        </w:rPr>
      </w:pPr>
      <w:r>
        <w:rPr>
          <w:rFonts w:ascii="Cambria" w:hAnsi="Cambria"/>
          <w:b/>
          <w:bCs/>
          <w:sz w:val="22"/>
          <w:szCs w:val="22"/>
        </w:rPr>
        <w:t>OBJETO:</w:t>
      </w:r>
      <w:r>
        <w:rPr>
          <w:rFonts w:ascii="Cambria" w:hAnsi="Cambria"/>
          <w:bCs/>
          <w:sz w:val="22"/>
          <w:szCs w:val="22"/>
        </w:rPr>
        <w:t xml:space="preserve"> A presente licitação tem por </w:t>
      </w:r>
      <w:r>
        <w:rPr>
          <w:rFonts w:ascii="Cambria" w:hAnsi="Cambria"/>
          <w:sz w:val="22"/>
          <w:szCs w:val="22"/>
        </w:rPr>
        <w:t>objetivo a aquisição eventual e sob demanda de medicamentos, materiais medico hospitalares e laboratoriais, os quais foram fracassados ou desertos de outras licitações (Pregão Eletrônico nº 10/2024, Pregão Eletrônico nº 18/2024, Pregão Eletrônico nº 31/2024 e Pregão Eletrônico nº 35/2024), afim de atender as demandas das Unidades ligadas à Secretaria Municipal de Saúde de Piracanjuba/GO, de acordo com as quantidades e especificações constantes no Estudo Técnico Preliminar e Termo de Referência anexos deste Edital.</w:t>
      </w:r>
    </w:p>
    <w:p w14:paraId="3FABA308">
      <w:pPr>
        <w:pStyle w:val="12"/>
        <w:spacing w:before="240" w:after="0" w:line="360" w:lineRule="auto"/>
        <w:jc w:val="both"/>
        <w:rPr>
          <w:rFonts w:ascii="Cambria" w:hAnsi="Cambria"/>
          <w:sz w:val="22"/>
          <w:szCs w:val="22"/>
        </w:rPr>
      </w:pPr>
      <w:r>
        <w:rPr>
          <w:rFonts w:ascii="Cambria" w:hAnsi="Cambria"/>
          <w:sz w:val="22"/>
          <w:szCs w:val="22"/>
        </w:rPr>
        <w:t>Dados a constar na proposta Preenchimento pelo proponente:</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0"/>
        <w:gridCol w:w="567"/>
        <w:gridCol w:w="1134"/>
        <w:gridCol w:w="3111"/>
      </w:tblGrid>
      <w:tr w14:paraId="305E0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1" w:type="dxa"/>
            <w:gridSpan w:val="3"/>
          </w:tcPr>
          <w:p w14:paraId="369A3D74">
            <w:pPr>
              <w:pStyle w:val="12"/>
              <w:spacing w:before="240" w:after="0" w:line="360" w:lineRule="auto"/>
              <w:jc w:val="both"/>
              <w:rPr>
                <w:rFonts w:ascii="Cambria" w:hAnsi="Cambria"/>
                <w:sz w:val="22"/>
                <w:szCs w:val="22"/>
              </w:rPr>
            </w:pPr>
            <w:r>
              <w:rPr>
                <w:rFonts w:ascii="Cambria" w:hAnsi="Cambria"/>
                <w:sz w:val="22"/>
                <w:szCs w:val="22"/>
              </w:rPr>
              <w:t>Razão Social:</w:t>
            </w:r>
          </w:p>
        </w:tc>
        <w:tc>
          <w:tcPr>
            <w:tcW w:w="3111" w:type="dxa"/>
          </w:tcPr>
          <w:p w14:paraId="563452EC">
            <w:pPr>
              <w:pStyle w:val="12"/>
              <w:spacing w:before="240" w:after="0" w:line="360" w:lineRule="auto"/>
              <w:jc w:val="both"/>
              <w:rPr>
                <w:rFonts w:ascii="Cambria" w:hAnsi="Cambria"/>
                <w:sz w:val="22"/>
                <w:szCs w:val="22"/>
              </w:rPr>
            </w:pPr>
            <w:r>
              <w:rPr>
                <w:rFonts w:ascii="Cambria" w:hAnsi="Cambria"/>
                <w:sz w:val="22"/>
                <w:szCs w:val="22"/>
              </w:rPr>
              <w:t>CNPJ:</w:t>
            </w:r>
          </w:p>
        </w:tc>
      </w:tr>
      <w:tr w14:paraId="5820C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2" w:type="dxa"/>
            <w:gridSpan w:val="4"/>
          </w:tcPr>
          <w:p w14:paraId="2180754D">
            <w:pPr>
              <w:pStyle w:val="12"/>
              <w:spacing w:before="240" w:after="0" w:line="360" w:lineRule="auto"/>
              <w:jc w:val="both"/>
              <w:rPr>
                <w:rFonts w:ascii="Cambria" w:hAnsi="Cambria"/>
                <w:sz w:val="22"/>
                <w:szCs w:val="22"/>
              </w:rPr>
            </w:pPr>
            <w:r>
              <w:rPr>
                <w:rFonts w:ascii="Cambria" w:hAnsi="Cambria"/>
                <w:sz w:val="22"/>
                <w:szCs w:val="22"/>
              </w:rPr>
              <w:t>Endereço:</w:t>
            </w:r>
          </w:p>
        </w:tc>
      </w:tr>
      <w:tr w14:paraId="44DA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0" w:type="dxa"/>
          </w:tcPr>
          <w:p w14:paraId="7D30FCAF">
            <w:pPr>
              <w:pStyle w:val="12"/>
              <w:spacing w:before="240" w:after="0" w:line="360" w:lineRule="auto"/>
              <w:jc w:val="both"/>
              <w:rPr>
                <w:rFonts w:ascii="Cambria" w:hAnsi="Cambria"/>
                <w:sz w:val="22"/>
                <w:szCs w:val="22"/>
              </w:rPr>
            </w:pPr>
            <w:r>
              <w:rPr>
                <w:rFonts w:ascii="Cambria" w:hAnsi="Cambria"/>
                <w:sz w:val="22"/>
                <w:szCs w:val="22"/>
              </w:rPr>
              <w:t>Telefone:</w:t>
            </w:r>
          </w:p>
        </w:tc>
        <w:tc>
          <w:tcPr>
            <w:tcW w:w="4812" w:type="dxa"/>
            <w:gridSpan w:val="3"/>
          </w:tcPr>
          <w:p w14:paraId="5B5AC8EC">
            <w:pPr>
              <w:pStyle w:val="12"/>
              <w:spacing w:before="240" w:after="0" w:line="360" w:lineRule="auto"/>
              <w:jc w:val="both"/>
              <w:rPr>
                <w:rFonts w:ascii="Cambria" w:hAnsi="Cambria"/>
                <w:sz w:val="22"/>
                <w:szCs w:val="22"/>
              </w:rPr>
            </w:pPr>
            <w:r>
              <w:rPr>
                <w:rFonts w:ascii="Cambria" w:hAnsi="Cambria"/>
                <w:sz w:val="22"/>
                <w:szCs w:val="22"/>
              </w:rPr>
              <w:t>E-mail:</w:t>
            </w:r>
          </w:p>
        </w:tc>
      </w:tr>
      <w:tr w14:paraId="19127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7" w:type="dxa"/>
            <w:gridSpan w:val="2"/>
          </w:tcPr>
          <w:p w14:paraId="1E270067">
            <w:pPr>
              <w:pStyle w:val="12"/>
              <w:spacing w:before="240" w:after="0" w:line="360" w:lineRule="auto"/>
              <w:jc w:val="both"/>
              <w:rPr>
                <w:rFonts w:ascii="Cambria" w:hAnsi="Cambria"/>
                <w:sz w:val="22"/>
                <w:szCs w:val="22"/>
              </w:rPr>
            </w:pPr>
            <w:r>
              <w:rPr>
                <w:rFonts w:ascii="Cambria" w:hAnsi="Cambria"/>
                <w:sz w:val="22"/>
                <w:szCs w:val="22"/>
              </w:rPr>
              <w:t>Representante Legal:</w:t>
            </w:r>
          </w:p>
        </w:tc>
        <w:tc>
          <w:tcPr>
            <w:tcW w:w="4245" w:type="dxa"/>
            <w:gridSpan w:val="2"/>
          </w:tcPr>
          <w:p w14:paraId="594722E4">
            <w:pPr>
              <w:pStyle w:val="12"/>
              <w:spacing w:before="240" w:after="0" w:line="360" w:lineRule="auto"/>
              <w:jc w:val="both"/>
              <w:rPr>
                <w:rFonts w:ascii="Cambria" w:hAnsi="Cambria"/>
                <w:sz w:val="22"/>
                <w:szCs w:val="22"/>
              </w:rPr>
            </w:pPr>
            <w:r>
              <w:rPr>
                <w:rFonts w:ascii="Cambria" w:hAnsi="Cambria"/>
                <w:sz w:val="22"/>
                <w:szCs w:val="22"/>
              </w:rPr>
              <w:t>CPF do Representante:</w:t>
            </w:r>
          </w:p>
        </w:tc>
      </w:tr>
    </w:tbl>
    <w:p w14:paraId="754D03AC">
      <w:pPr>
        <w:tabs>
          <w:tab w:val="left" w:pos="1701"/>
        </w:tabs>
        <w:spacing w:before="240" w:after="240" w:line="360" w:lineRule="auto"/>
        <w:jc w:val="both"/>
        <w:rPr>
          <w:rFonts w:ascii="Cambria" w:hAnsi="Cambria"/>
        </w:rPr>
      </w:pPr>
      <w:r>
        <w:rPr>
          <w:rFonts w:ascii="Cambria" w:hAnsi="Cambria"/>
          <w:b/>
        </w:rPr>
        <w:t>a)</w:t>
      </w:r>
      <w:r>
        <w:rPr>
          <w:rFonts w:ascii="Cambria" w:hAnsi="Cambria"/>
        </w:rPr>
        <w:t xml:space="preserve"> Declaro que nos preços propostos se encontram incluídos todos os tributos, encargos sociais, frete e quaisquer outros ônus que porventura possam recair sobre o fornecimento do objeto da presente licitação.</w:t>
      </w:r>
    </w:p>
    <w:p w14:paraId="2692D213">
      <w:pPr>
        <w:tabs>
          <w:tab w:val="left" w:pos="1701"/>
        </w:tabs>
        <w:spacing w:before="240" w:after="240" w:line="360" w:lineRule="auto"/>
        <w:jc w:val="both"/>
        <w:rPr>
          <w:rFonts w:ascii="Cambria" w:hAnsi="Cambria"/>
        </w:rPr>
      </w:pPr>
      <w:r>
        <w:rPr>
          <w:rFonts w:ascii="Cambria" w:hAnsi="Cambria"/>
          <w:b/>
        </w:rPr>
        <w:t>b)</w:t>
      </w:r>
      <w:r>
        <w:rPr>
          <w:rFonts w:ascii="Cambria" w:hAnsi="Cambria"/>
        </w:rPr>
        <w:t xml:space="preserve"> Declaramos, que estamos cientes de todas as condições que possam, de qualquer forma, influir nos custos, assumindo total responsabilidade por erros ou omissões existentes nesta proposta, bem como qualquer despesa relativa à realização integral do seu objeto.</w:t>
      </w:r>
    </w:p>
    <w:p w14:paraId="6991EEA7">
      <w:pPr>
        <w:tabs>
          <w:tab w:val="left" w:pos="1701"/>
        </w:tabs>
        <w:spacing w:before="240" w:after="240" w:line="360" w:lineRule="auto"/>
        <w:jc w:val="both"/>
        <w:rPr>
          <w:rFonts w:ascii="Cambria" w:hAnsi="Cambria"/>
        </w:rPr>
      </w:pPr>
      <w:r>
        <w:rPr>
          <w:rFonts w:ascii="Cambria" w:hAnsi="Cambria"/>
          <w:b/>
          <w:bCs/>
        </w:rPr>
        <w:t>c</w:t>
      </w:r>
      <w:r>
        <w:rPr>
          <w:rFonts w:ascii="Cambria" w:hAnsi="Cambria"/>
        </w:rPr>
        <w:t xml:space="preserve">) Declaramos, </w:t>
      </w:r>
      <w:r>
        <w:rPr>
          <w:rFonts w:ascii="Cambria" w:hAnsi="Cambria"/>
          <w:shd w:val="clear" w:color="auto" w:fill="FFFFFF"/>
        </w:rPr>
        <w:t xml:space="preserve">que a proposta apresentada </w:t>
      </w:r>
      <w:r>
        <w:rPr>
          <w:rFonts w:ascii="Cambria" w:hAnsi="Cambria"/>
        </w:rPr>
        <w:t xml:space="preserve">para fins de participação nesta licitação </w:t>
      </w:r>
      <w:r>
        <w:rPr>
          <w:rFonts w:ascii="Cambria" w:hAnsi="Cambria"/>
          <w:shd w:val="clear" w:color="auto" w:fill="FFFFFF"/>
        </w:rPr>
        <w:t>foi elaborada de maneira independente e o conteúdo da proposta não foi, no todo ou em parte, direta ou indiretamente, informado, discutido ou recebido de qualquer outro participante potencial. Que não tentou, por qualquer meio ou por qualquer pessoa, influir na decisão de qualquer outro participante potencial, quanto a participar ou não da referida licitação, que o conteúdo da proposta apresentada para participar, não será, no todo ou em parte, direta ou indiretamente, comunicado ou discutido com qualquer outro participante potencial. Que o conteúdo da proposta apresentada não foi, no todo ou em parte, direta ou indiretamente, informado, discutido ou recebido de qualquer integrante de Prefeitura Municipal de Piracanjuba antes da abertura oficial das propostas; e que está plenamente ciente do teor e da extensão desta declaração e que detém plenos poderes e informações para firmá-la.</w:t>
      </w:r>
    </w:p>
    <w:tbl>
      <w:tblPr>
        <w:tblStyle w:val="4"/>
        <w:tblW w:w="9249" w:type="dxa"/>
        <w:tblInd w:w="0" w:type="dxa"/>
        <w:tblLayout w:type="autofit"/>
        <w:tblCellMar>
          <w:top w:w="0" w:type="dxa"/>
          <w:left w:w="108" w:type="dxa"/>
          <w:bottom w:w="0" w:type="dxa"/>
          <w:right w:w="108" w:type="dxa"/>
        </w:tblCellMar>
      </w:tblPr>
      <w:tblGrid>
        <w:gridCol w:w="987"/>
        <w:gridCol w:w="3294"/>
        <w:gridCol w:w="674"/>
        <w:gridCol w:w="969"/>
        <w:gridCol w:w="698"/>
        <w:gridCol w:w="1309"/>
        <w:gridCol w:w="1318"/>
      </w:tblGrid>
      <w:tr w14:paraId="3F557422">
        <w:tblPrEx>
          <w:tblCellMar>
            <w:top w:w="0" w:type="dxa"/>
            <w:left w:w="108" w:type="dxa"/>
            <w:bottom w:w="0" w:type="dxa"/>
            <w:right w:w="108" w:type="dxa"/>
          </w:tblCellMar>
        </w:tblPrEx>
        <w:tc>
          <w:tcPr>
            <w:tcW w:w="987" w:type="dxa"/>
            <w:tcBorders>
              <w:top w:val="single" w:color="000000" w:sz="4" w:space="0"/>
              <w:left w:val="single" w:color="000000" w:sz="4" w:space="0"/>
              <w:bottom w:val="single" w:color="000000" w:sz="4" w:space="0"/>
              <w:right w:val="single" w:color="000000" w:sz="4" w:space="0"/>
            </w:tcBorders>
          </w:tcPr>
          <w:p w14:paraId="1E7D6F03">
            <w:pPr>
              <w:spacing w:line="360" w:lineRule="auto"/>
              <w:jc w:val="center"/>
              <w:rPr>
                <w:rFonts w:ascii="Cambria" w:hAnsi="Cambria" w:cs="Arial"/>
                <w:b/>
              </w:rPr>
            </w:pPr>
            <w:r>
              <w:rPr>
                <w:rFonts w:ascii="Cambria" w:hAnsi="Cambria" w:cs="Arial"/>
                <w:b/>
              </w:rPr>
              <w:t>Item</w:t>
            </w:r>
          </w:p>
        </w:tc>
        <w:tc>
          <w:tcPr>
            <w:tcW w:w="3294" w:type="dxa"/>
            <w:tcBorders>
              <w:top w:val="single" w:color="000000" w:sz="4" w:space="0"/>
              <w:left w:val="single" w:color="000000" w:sz="4" w:space="0"/>
              <w:bottom w:val="single" w:color="000000" w:sz="4" w:space="0"/>
              <w:right w:val="single" w:color="000000" w:sz="4" w:space="0"/>
            </w:tcBorders>
          </w:tcPr>
          <w:p w14:paraId="4D18809C">
            <w:pPr>
              <w:spacing w:line="360" w:lineRule="auto"/>
              <w:jc w:val="center"/>
              <w:rPr>
                <w:rFonts w:ascii="Cambria" w:hAnsi="Cambria" w:cs="Arial"/>
                <w:b/>
              </w:rPr>
            </w:pPr>
            <w:r>
              <w:rPr>
                <w:rFonts w:ascii="Cambria" w:hAnsi="Cambria" w:cs="Arial"/>
                <w:b/>
              </w:rPr>
              <w:t>Especificação</w:t>
            </w:r>
          </w:p>
        </w:tc>
        <w:tc>
          <w:tcPr>
            <w:tcW w:w="674" w:type="dxa"/>
            <w:tcBorders>
              <w:top w:val="single" w:color="000000" w:sz="4" w:space="0"/>
              <w:left w:val="single" w:color="000000" w:sz="4" w:space="0"/>
              <w:bottom w:val="single" w:color="000000" w:sz="4" w:space="0"/>
              <w:right w:val="single" w:color="000000" w:sz="4" w:space="0"/>
            </w:tcBorders>
          </w:tcPr>
          <w:p w14:paraId="400AB531">
            <w:pPr>
              <w:spacing w:line="360" w:lineRule="auto"/>
              <w:jc w:val="center"/>
              <w:rPr>
                <w:rFonts w:ascii="Cambria" w:hAnsi="Cambria" w:cs="Arial"/>
                <w:b/>
              </w:rPr>
            </w:pPr>
            <w:r>
              <w:rPr>
                <w:rFonts w:ascii="Cambria" w:hAnsi="Cambria" w:cs="Arial"/>
                <w:b/>
              </w:rPr>
              <w:t>Qtd</w:t>
            </w:r>
          </w:p>
        </w:tc>
        <w:tc>
          <w:tcPr>
            <w:tcW w:w="969" w:type="dxa"/>
            <w:tcBorders>
              <w:top w:val="single" w:color="000000" w:sz="4" w:space="0"/>
              <w:left w:val="single" w:color="000000" w:sz="4" w:space="0"/>
              <w:bottom w:val="single" w:color="000000" w:sz="4" w:space="0"/>
              <w:right w:val="single" w:color="000000" w:sz="4" w:space="0"/>
            </w:tcBorders>
          </w:tcPr>
          <w:p w14:paraId="75D5EE71">
            <w:pPr>
              <w:spacing w:line="360" w:lineRule="auto"/>
              <w:jc w:val="center"/>
              <w:rPr>
                <w:rFonts w:ascii="Cambria" w:hAnsi="Cambria" w:cs="Arial"/>
                <w:b/>
              </w:rPr>
            </w:pPr>
            <w:r>
              <w:rPr>
                <w:rFonts w:ascii="Cambria" w:hAnsi="Cambria" w:cs="Arial"/>
                <w:b/>
              </w:rPr>
              <w:t>Marca/</w:t>
            </w:r>
          </w:p>
          <w:p w14:paraId="2B29567E">
            <w:pPr>
              <w:spacing w:line="360" w:lineRule="auto"/>
              <w:jc w:val="center"/>
              <w:rPr>
                <w:rFonts w:ascii="Cambria" w:hAnsi="Cambria" w:cs="Arial"/>
                <w:b/>
              </w:rPr>
            </w:pPr>
            <w:r>
              <w:rPr>
                <w:rFonts w:ascii="Cambria" w:hAnsi="Cambria" w:cs="Arial"/>
                <w:b/>
              </w:rPr>
              <w:t>Modelo</w:t>
            </w:r>
          </w:p>
        </w:tc>
        <w:tc>
          <w:tcPr>
            <w:tcW w:w="698" w:type="dxa"/>
            <w:tcBorders>
              <w:top w:val="single" w:color="000000" w:sz="4" w:space="0"/>
              <w:left w:val="single" w:color="000000" w:sz="4" w:space="0"/>
              <w:bottom w:val="single" w:color="000000" w:sz="4" w:space="0"/>
              <w:right w:val="single" w:color="000000" w:sz="4" w:space="0"/>
            </w:tcBorders>
          </w:tcPr>
          <w:p w14:paraId="6BE7F9E9">
            <w:pPr>
              <w:spacing w:line="360" w:lineRule="auto"/>
              <w:jc w:val="center"/>
              <w:rPr>
                <w:rFonts w:ascii="Cambria" w:hAnsi="Cambria" w:cs="Arial"/>
                <w:b/>
              </w:rPr>
            </w:pPr>
            <w:r>
              <w:rPr>
                <w:rFonts w:ascii="Cambria" w:hAnsi="Cambria" w:cs="Arial"/>
                <w:b/>
              </w:rPr>
              <w:t>Und</w:t>
            </w:r>
          </w:p>
        </w:tc>
        <w:tc>
          <w:tcPr>
            <w:tcW w:w="1309" w:type="dxa"/>
            <w:tcBorders>
              <w:top w:val="single" w:color="000000" w:sz="4" w:space="0"/>
              <w:left w:val="single" w:color="000000" w:sz="4" w:space="0"/>
              <w:bottom w:val="single" w:color="000000" w:sz="4" w:space="0"/>
              <w:right w:val="single" w:color="000000" w:sz="4" w:space="0"/>
            </w:tcBorders>
          </w:tcPr>
          <w:p w14:paraId="3D6B4D31">
            <w:pPr>
              <w:spacing w:line="360" w:lineRule="auto"/>
              <w:ind w:firstLine="33"/>
              <w:jc w:val="center"/>
              <w:rPr>
                <w:rFonts w:ascii="Cambria" w:hAnsi="Cambria" w:cs="Arial"/>
                <w:b/>
              </w:rPr>
            </w:pPr>
            <w:r>
              <w:rPr>
                <w:rFonts w:ascii="Cambria" w:hAnsi="Cambria" w:cs="Arial"/>
                <w:b/>
              </w:rPr>
              <w:t xml:space="preserve">Valor </w:t>
            </w:r>
          </w:p>
          <w:p w14:paraId="587D19DB">
            <w:pPr>
              <w:spacing w:line="360" w:lineRule="auto"/>
              <w:ind w:firstLine="33"/>
              <w:jc w:val="center"/>
              <w:rPr>
                <w:rFonts w:ascii="Cambria" w:hAnsi="Cambria" w:cs="Arial"/>
                <w:b/>
              </w:rPr>
            </w:pPr>
            <w:r>
              <w:rPr>
                <w:rFonts w:ascii="Cambria" w:hAnsi="Cambria" w:cs="Arial"/>
                <w:b/>
              </w:rPr>
              <w:t>Unitário</w:t>
            </w:r>
          </w:p>
        </w:tc>
        <w:tc>
          <w:tcPr>
            <w:tcW w:w="1318" w:type="dxa"/>
            <w:tcBorders>
              <w:top w:val="single" w:color="000000" w:sz="4" w:space="0"/>
              <w:left w:val="single" w:color="000000" w:sz="4" w:space="0"/>
              <w:bottom w:val="single" w:color="000000" w:sz="4" w:space="0"/>
              <w:right w:val="single" w:color="000000" w:sz="4" w:space="0"/>
            </w:tcBorders>
          </w:tcPr>
          <w:p w14:paraId="5255C438">
            <w:pPr>
              <w:spacing w:line="360" w:lineRule="auto"/>
              <w:jc w:val="center"/>
              <w:rPr>
                <w:rFonts w:ascii="Cambria" w:hAnsi="Cambria" w:cs="Arial"/>
                <w:b/>
              </w:rPr>
            </w:pPr>
            <w:r>
              <w:rPr>
                <w:rFonts w:ascii="Cambria" w:hAnsi="Cambria" w:cs="Arial"/>
                <w:b/>
              </w:rPr>
              <w:t>Valor Total</w:t>
            </w:r>
          </w:p>
        </w:tc>
      </w:tr>
      <w:tr w14:paraId="487391BE">
        <w:tblPrEx>
          <w:tblCellMar>
            <w:top w:w="0" w:type="dxa"/>
            <w:left w:w="108" w:type="dxa"/>
            <w:bottom w:w="0" w:type="dxa"/>
            <w:right w:w="108" w:type="dxa"/>
          </w:tblCellMar>
        </w:tblPrEx>
        <w:tc>
          <w:tcPr>
            <w:tcW w:w="987" w:type="dxa"/>
            <w:tcBorders>
              <w:top w:val="single" w:color="000000" w:sz="4" w:space="0"/>
              <w:left w:val="single" w:color="000000" w:sz="4" w:space="0"/>
              <w:bottom w:val="single" w:color="000000" w:sz="4" w:space="0"/>
              <w:right w:val="single" w:color="000000" w:sz="4" w:space="0"/>
            </w:tcBorders>
          </w:tcPr>
          <w:p w14:paraId="4C550362">
            <w:pPr>
              <w:spacing w:line="360" w:lineRule="auto"/>
              <w:jc w:val="center"/>
              <w:rPr>
                <w:rFonts w:ascii="Cambria" w:hAnsi="Cambria" w:cs="Arial"/>
              </w:rPr>
            </w:pPr>
          </w:p>
        </w:tc>
        <w:tc>
          <w:tcPr>
            <w:tcW w:w="3294" w:type="dxa"/>
            <w:tcBorders>
              <w:top w:val="single" w:color="000000" w:sz="4" w:space="0"/>
              <w:left w:val="single" w:color="000000" w:sz="4" w:space="0"/>
              <w:bottom w:val="single" w:color="000000" w:sz="4" w:space="0"/>
              <w:right w:val="single" w:color="000000" w:sz="4" w:space="0"/>
            </w:tcBorders>
          </w:tcPr>
          <w:p w14:paraId="746FA7EE">
            <w:pPr>
              <w:spacing w:line="360" w:lineRule="auto"/>
              <w:jc w:val="center"/>
              <w:rPr>
                <w:rFonts w:ascii="Cambria" w:hAnsi="Cambria" w:cs="Arial"/>
                <w:b/>
              </w:rPr>
            </w:pPr>
          </w:p>
        </w:tc>
        <w:tc>
          <w:tcPr>
            <w:tcW w:w="674" w:type="dxa"/>
            <w:tcBorders>
              <w:top w:val="single" w:color="000000" w:sz="4" w:space="0"/>
              <w:left w:val="single" w:color="000000" w:sz="4" w:space="0"/>
              <w:bottom w:val="single" w:color="000000" w:sz="4" w:space="0"/>
              <w:right w:val="single" w:color="000000" w:sz="4" w:space="0"/>
            </w:tcBorders>
          </w:tcPr>
          <w:p w14:paraId="7A8A53C9">
            <w:pPr>
              <w:spacing w:line="360" w:lineRule="auto"/>
              <w:jc w:val="center"/>
              <w:rPr>
                <w:rFonts w:ascii="Cambria" w:hAnsi="Cambria" w:cs="Arial"/>
                <w:b/>
              </w:rPr>
            </w:pPr>
          </w:p>
        </w:tc>
        <w:tc>
          <w:tcPr>
            <w:tcW w:w="969" w:type="dxa"/>
            <w:tcBorders>
              <w:top w:val="single" w:color="000000" w:sz="4" w:space="0"/>
              <w:left w:val="single" w:color="000000" w:sz="4" w:space="0"/>
              <w:bottom w:val="single" w:color="000000" w:sz="4" w:space="0"/>
              <w:right w:val="single" w:color="000000" w:sz="4" w:space="0"/>
            </w:tcBorders>
          </w:tcPr>
          <w:p w14:paraId="27BD4FD1">
            <w:pPr>
              <w:spacing w:line="360" w:lineRule="auto"/>
              <w:jc w:val="center"/>
              <w:rPr>
                <w:rFonts w:ascii="Cambria" w:hAnsi="Cambria" w:cs="Arial"/>
                <w:b/>
              </w:rPr>
            </w:pPr>
          </w:p>
        </w:tc>
        <w:tc>
          <w:tcPr>
            <w:tcW w:w="698" w:type="dxa"/>
            <w:tcBorders>
              <w:top w:val="single" w:color="000000" w:sz="4" w:space="0"/>
              <w:left w:val="single" w:color="000000" w:sz="4" w:space="0"/>
              <w:bottom w:val="single" w:color="000000" w:sz="4" w:space="0"/>
              <w:right w:val="single" w:color="000000" w:sz="4" w:space="0"/>
            </w:tcBorders>
          </w:tcPr>
          <w:p w14:paraId="24ABB9E7">
            <w:pPr>
              <w:spacing w:line="360" w:lineRule="auto"/>
              <w:jc w:val="center"/>
              <w:rPr>
                <w:rFonts w:ascii="Cambria" w:hAnsi="Cambria" w:cs="Arial"/>
                <w:b/>
              </w:rPr>
            </w:pPr>
          </w:p>
        </w:tc>
        <w:tc>
          <w:tcPr>
            <w:tcW w:w="1309" w:type="dxa"/>
            <w:tcBorders>
              <w:top w:val="single" w:color="000000" w:sz="4" w:space="0"/>
              <w:left w:val="single" w:color="000000" w:sz="4" w:space="0"/>
              <w:bottom w:val="single" w:color="000000" w:sz="4" w:space="0"/>
              <w:right w:val="single" w:color="000000" w:sz="4" w:space="0"/>
            </w:tcBorders>
          </w:tcPr>
          <w:p w14:paraId="6B079680">
            <w:pPr>
              <w:spacing w:line="360" w:lineRule="auto"/>
              <w:ind w:firstLine="33"/>
              <w:jc w:val="center"/>
              <w:rPr>
                <w:rFonts w:ascii="Cambria" w:hAnsi="Cambria" w:cs="Arial"/>
                <w:b/>
              </w:rPr>
            </w:pPr>
          </w:p>
        </w:tc>
        <w:tc>
          <w:tcPr>
            <w:tcW w:w="1318" w:type="dxa"/>
            <w:tcBorders>
              <w:top w:val="single" w:color="000000" w:sz="4" w:space="0"/>
              <w:left w:val="single" w:color="000000" w:sz="4" w:space="0"/>
              <w:bottom w:val="single" w:color="000000" w:sz="4" w:space="0"/>
              <w:right w:val="single" w:color="000000" w:sz="4" w:space="0"/>
            </w:tcBorders>
          </w:tcPr>
          <w:p w14:paraId="1D25A690">
            <w:pPr>
              <w:spacing w:line="360" w:lineRule="auto"/>
              <w:jc w:val="center"/>
              <w:rPr>
                <w:rFonts w:ascii="Cambria" w:hAnsi="Cambria" w:cs="Arial"/>
                <w:b/>
              </w:rPr>
            </w:pPr>
          </w:p>
        </w:tc>
      </w:tr>
      <w:tr w14:paraId="7F06F460">
        <w:tblPrEx>
          <w:tblCellMar>
            <w:top w:w="0" w:type="dxa"/>
            <w:left w:w="108" w:type="dxa"/>
            <w:bottom w:w="0" w:type="dxa"/>
            <w:right w:w="108" w:type="dxa"/>
          </w:tblCellMar>
        </w:tblPrEx>
        <w:tc>
          <w:tcPr>
            <w:tcW w:w="9249" w:type="dxa"/>
            <w:gridSpan w:val="7"/>
            <w:tcBorders>
              <w:top w:val="single" w:color="000000" w:sz="4" w:space="0"/>
              <w:left w:val="single" w:color="000000" w:sz="4" w:space="0"/>
              <w:bottom w:val="single" w:color="000000" w:sz="4" w:space="0"/>
              <w:right w:val="single" w:color="000000" w:sz="4" w:space="0"/>
            </w:tcBorders>
          </w:tcPr>
          <w:p w14:paraId="14AAFF0B">
            <w:pPr>
              <w:spacing w:before="240" w:line="360" w:lineRule="auto"/>
              <w:ind w:firstLine="42"/>
              <w:jc w:val="center"/>
              <w:rPr>
                <w:rFonts w:ascii="Cambria" w:hAnsi="Cambria" w:cs="Calibri"/>
                <w:b/>
              </w:rPr>
            </w:pPr>
            <w:r>
              <w:rPr>
                <w:rFonts w:ascii="Cambria" w:hAnsi="Cambria" w:cs="Calibri"/>
                <w:b/>
              </w:rPr>
              <w:t>VALOR TOTAL DA PROPOSTA ----------------- R$</w:t>
            </w:r>
          </w:p>
        </w:tc>
      </w:tr>
    </w:tbl>
    <w:p w14:paraId="48DA0D99">
      <w:pPr>
        <w:tabs>
          <w:tab w:val="left" w:pos="1701"/>
        </w:tabs>
        <w:spacing w:before="240" w:after="240" w:line="360" w:lineRule="auto"/>
        <w:jc w:val="both"/>
        <w:rPr>
          <w:rFonts w:ascii="Cambria" w:hAnsi="Cambria"/>
        </w:rPr>
      </w:pPr>
      <w:r>
        <w:rPr>
          <w:rFonts w:ascii="Cambria" w:hAnsi="Cambria"/>
        </w:rPr>
        <w:t>Validade da Proposta:</w:t>
      </w:r>
    </w:p>
    <w:p w14:paraId="704870D5">
      <w:pPr>
        <w:tabs>
          <w:tab w:val="left" w:pos="1701"/>
        </w:tabs>
        <w:spacing w:before="240" w:after="240" w:line="360" w:lineRule="auto"/>
        <w:jc w:val="right"/>
        <w:rPr>
          <w:rFonts w:ascii="Cambria" w:hAnsi="Cambria"/>
        </w:rPr>
      </w:pPr>
      <w:r>
        <w:rPr>
          <w:rFonts w:ascii="Cambria" w:hAnsi="Cambria"/>
        </w:rPr>
        <w:t>Data: __________/________________/_____________________</w:t>
      </w:r>
    </w:p>
    <w:p w14:paraId="261D9BCF">
      <w:pPr>
        <w:tabs>
          <w:tab w:val="left" w:pos="1701"/>
        </w:tabs>
        <w:spacing w:before="240" w:after="240" w:line="360" w:lineRule="auto"/>
        <w:jc w:val="center"/>
        <w:rPr>
          <w:rFonts w:ascii="Cambria" w:hAnsi="Cambria"/>
          <w:b/>
        </w:rPr>
      </w:pPr>
      <w:r>
        <w:rPr>
          <w:rFonts w:ascii="Cambria" w:hAnsi="Cambria"/>
          <w:b/>
        </w:rPr>
        <w:t>Assinatura do representante legal da empresa, sobre carimbo, nome e número da identidade do responsável.</w:t>
      </w:r>
    </w:p>
    <w:p w14:paraId="64D3D3A2">
      <w:pPr>
        <w:spacing w:before="240" w:line="276" w:lineRule="auto"/>
        <w:jc w:val="center"/>
        <w:rPr>
          <w:rFonts w:ascii="Cambria" w:hAnsi="Cambria"/>
          <w:b/>
          <w:i/>
        </w:rPr>
      </w:pPr>
      <w:r>
        <w:rPr>
          <w:rFonts w:ascii="Cambria" w:hAnsi="Cambria"/>
          <w:b/>
          <w:i/>
        </w:rPr>
        <w:t>Obs.: Este documento é meramente exemplificativo devendo ser apresentado em papel timbrado da empresa licitante</w:t>
      </w:r>
    </w:p>
    <w:p w14:paraId="008DAF8F">
      <w:pPr>
        <w:spacing w:line="276" w:lineRule="auto"/>
        <w:rPr>
          <w:rFonts w:ascii="Cambria" w:hAnsi="Cambria" w:eastAsia="Times New Roman" w:cs="Times New Roman"/>
          <w:lang w:eastAsia="pt-BR"/>
        </w:rPr>
      </w:pPr>
      <w:r>
        <w:rPr>
          <w:rFonts w:ascii="Cambria" w:hAnsi="Cambria"/>
        </w:rPr>
        <w:br w:type="page"/>
      </w:r>
    </w:p>
    <w:p w14:paraId="78271EF9">
      <w:pPr>
        <w:tabs>
          <w:tab w:val="left" w:pos="1701"/>
        </w:tabs>
        <w:spacing w:before="240" w:after="240" w:line="276" w:lineRule="auto"/>
        <w:jc w:val="center"/>
        <w:rPr>
          <w:rFonts w:ascii="Cambria" w:hAnsi="Cambria"/>
          <w:b/>
        </w:rPr>
      </w:pPr>
      <w:r>
        <w:rPr>
          <w:rFonts w:ascii="Cambria" w:hAnsi="Cambria"/>
          <w:b/>
        </w:rPr>
        <w:t>PREGÃO ELETRÔNICO Nº 53/2024</w:t>
      </w:r>
    </w:p>
    <w:p w14:paraId="0FDC24E8">
      <w:pPr>
        <w:tabs>
          <w:tab w:val="left" w:pos="1701"/>
        </w:tabs>
        <w:spacing w:before="240" w:after="240" w:line="276" w:lineRule="auto"/>
        <w:jc w:val="center"/>
        <w:rPr>
          <w:rFonts w:ascii="Cambria" w:hAnsi="Cambria"/>
          <w:b/>
        </w:rPr>
      </w:pPr>
      <w:r>
        <w:rPr>
          <w:rFonts w:ascii="Cambria" w:hAnsi="Cambria"/>
          <w:b/>
        </w:rPr>
        <w:t>ANEXO IV</w:t>
      </w:r>
    </w:p>
    <w:p w14:paraId="0B8081DF">
      <w:pPr>
        <w:spacing w:after="240" w:line="276" w:lineRule="auto"/>
        <w:jc w:val="center"/>
        <w:rPr>
          <w:rFonts w:ascii="Cambria" w:hAnsi="Cambria"/>
          <w:b/>
          <w:u w:val="single"/>
        </w:rPr>
      </w:pPr>
      <w:r>
        <w:rPr>
          <w:rFonts w:ascii="Cambria" w:hAnsi="Cambria"/>
          <w:b/>
          <w:u w:val="single"/>
        </w:rPr>
        <w:t>MODELO DE DECLARAÇÃO CONJUNTA</w:t>
      </w:r>
    </w:p>
    <w:p w14:paraId="5C02F438">
      <w:pPr>
        <w:tabs>
          <w:tab w:val="left" w:pos="1701"/>
        </w:tabs>
        <w:spacing w:after="0" w:line="276" w:lineRule="auto"/>
        <w:jc w:val="both"/>
        <w:rPr>
          <w:rFonts w:ascii="Cambria" w:hAnsi="Cambria"/>
          <w:b/>
          <w:bCs/>
          <w:snapToGrid w:val="0"/>
        </w:rPr>
      </w:pPr>
      <w:r>
        <w:rPr>
          <w:rFonts w:ascii="Cambria" w:hAnsi="Cambria"/>
          <w:b/>
          <w:bCs/>
          <w:snapToGrid w:val="0"/>
        </w:rPr>
        <w:t>À Pregoeira Oficial do Município de Piracanjuba</w:t>
      </w:r>
    </w:p>
    <w:p w14:paraId="785FE8A0">
      <w:pPr>
        <w:tabs>
          <w:tab w:val="left" w:pos="1701"/>
        </w:tabs>
        <w:spacing w:after="0" w:line="276" w:lineRule="auto"/>
        <w:jc w:val="both"/>
        <w:rPr>
          <w:rFonts w:ascii="Cambria" w:hAnsi="Cambria"/>
          <w:b/>
          <w:bCs/>
          <w:snapToGrid w:val="0"/>
        </w:rPr>
      </w:pPr>
      <w:r>
        <w:rPr>
          <w:rFonts w:ascii="Cambria" w:hAnsi="Cambria"/>
          <w:b/>
          <w:bCs/>
          <w:snapToGrid w:val="0"/>
        </w:rPr>
        <w:t>Pregão Eletrônico nº ____/2024</w:t>
      </w:r>
    </w:p>
    <w:p w14:paraId="126C2BA1">
      <w:pPr>
        <w:tabs>
          <w:tab w:val="left" w:pos="1701"/>
        </w:tabs>
        <w:spacing w:after="0" w:line="276" w:lineRule="auto"/>
        <w:jc w:val="both"/>
        <w:rPr>
          <w:rFonts w:ascii="Cambria" w:hAnsi="Cambria"/>
          <w:snapToGrid w:val="0"/>
        </w:rPr>
      </w:pPr>
      <w:r>
        <w:rPr>
          <w:rFonts w:ascii="Cambria" w:hAnsi="Cambria"/>
          <w:snapToGrid w:val="0"/>
        </w:rPr>
        <w:t xml:space="preserve">Senhora Pregoeira, </w:t>
      </w:r>
    </w:p>
    <w:p w14:paraId="5AD2695F">
      <w:pPr>
        <w:tabs>
          <w:tab w:val="left" w:pos="1701"/>
        </w:tabs>
        <w:spacing w:line="276" w:lineRule="auto"/>
        <w:jc w:val="both"/>
        <w:rPr>
          <w:rFonts w:ascii="Cambria" w:hAnsi="Cambria"/>
          <w:snapToGrid w:val="0"/>
        </w:rPr>
      </w:pPr>
    </w:p>
    <w:p w14:paraId="55214FF4">
      <w:pPr>
        <w:pStyle w:val="22"/>
        <w:spacing w:after="240" w:line="276" w:lineRule="auto"/>
        <w:jc w:val="both"/>
        <w:rPr>
          <w:rFonts w:ascii="Cambria" w:hAnsi="Cambria"/>
        </w:rPr>
      </w:pPr>
      <w:r>
        <w:rPr>
          <w:rFonts w:ascii="Cambria" w:hAnsi="Cambria"/>
        </w:rPr>
        <w:t xml:space="preserve">A Empresa </w:t>
      </w:r>
      <w:r>
        <w:rPr>
          <w:rFonts w:ascii="Cambria" w:hAnsi="Cambria"/>
          <w:b/>
          <w:snapToGrid w:val="0"/>
        </w:rPr>
        <w:t>________</w:t>
      </w:r>
      <w:r>
        <w:rPr>
          <w:rFonts w:ascii="Cambria" w:hAnsi="Cambria"/>
        </w:rPr>
        <w:t xml:space="preserve">, inscrita no CNPJ sob nº </w:t>
      </w:r>
      <w:r>
        <w:rPr>
          <w:rFonts w:ascii="Cambria" w:hAnsi="Cambria"/>
          <w:b/>
          <w:snapToGrid w:val="0"/>
        </w:rPr>
        <w:t>________</w:t>
      </w:r>
      <w:r>
        <w:rPr>
          <w:rFonts w:ascii="Cambria" w:hAnsi="Cambria"/>
        </w:rPr>
        <w:t xml:space="preserve">, </w:t>
      </w:r>
      <w:r>
        <w:rPr>
          <w:rFonts w:ascii="Cambria" w:hAnsi="Cambria" w:eastAsia="Helvetica"/>
        </w:rPr>
        <w:t>com sede</w:t>
      </w:r>
      <w:r>
        <w:rPr>
          <w:rFonts w:ascii="Cambria" w:hAnsi="Cambria"/>
        </w:rPr>
        <w:t xml:space="preserve"> na </w:t>
      </w:r>
      <w:r>
        <w:rPr>
          <w:rFonts w:ascii="Cambria" w:hAnsi="Cambria"/>
          <w:b/>
          <w:snapToGrid w:val="0"/>
        </w:rPr>
        <w:t>________</w:t>
      </w:r>
      <w:r>
        <w:rPr>
          <w:rFonts w:ascii="Cambria" w:hAnsi="Cambria"/>
        </w:rPr>
        <w:t xml:space="preserve">, por intermédio do seu Representante Legal/ Procurador </w:t>
      </w:r>
      <w:r>
        <w:rPr>
          <w:rFonts w:ascii="Cambria" w:hAnsi="Cambria"/>
          <w:b/>
        </w:rPr>
        <w:t xml:space="preserve">Sr. </w:t>
      </w:r>
      <w:r>
        <w:rPr>
          <w:rFonts w:ascii="Cambria" w:hAnsi="Cambria"/>
          <w:b/>
          <w:snapToGrid w:val="0"/>
        </w:rPr>
        <w:t>________</w:t>
      </w:r>
      <w:r>
        <w:rPr>
          <w:rFonts w:ascii="Cambria" w:hAnsi="Cambria"/>
          <w:b/>
        </w:rPr>
        <w:t xml:space="preserve">, </w:t>
      </w:r>
      <w:r>
        <w:rPr>
          <w:rFonts w:ascii="Cambria" w:hAnsi="Cambria"/>
        </w:rPr>
        <w:t xml:space="preserve">inscrito no CPF sob o nº </w:t>
      </w:r>
      <w:r>
        <w:rPr>
          <w:rFonts w:ascii="Cambria" w:hAnsi="Cambria"/>
          <w:b/>
          <w:snapToGrid w:val="0"/>
        </w:rPr>
        <w:t>________</w:t>
      </w:r>
      <w:r>
        <w:rPr>
          <w:rFonts w:ascii="Cambria" w:hAnsi="Cambria"/>
        </w:rPr>
        <w:t xml:space="preserve"> infra-assinado, para os fins de participação no </w:t>
      </w:r>
      <w:r>
        <w:rPr>
          <w:rFonts w:ascii="Cambria" w:hAnsi="Cambria"/>
          <w:b/>
        </w:rPr>
        <w:t xml:space="preserve">Pregão Eletrônico nº </w:t>
      </w:r>
      <w:r>
        <w:rPr>
          <w:rFonts w:ascii="Cambria" w:hAnsi="Cambria"/>
          <w:b/>
          <w:snapToGrid w:val="0"/>
        </w:rPr>
        <w:t>___</w:t>
      </w:r>
      <w:r>
        <w:rPr>
          <w:rFonts w:ascii="Cambria" w:hAnsi="Cambria"/>
          <w:b/>
        </w:rPr>
        <w:t>/</w:t>
      </w:r>
      <w:r>
        <w:rPr>
          <w:rFonts w:ascii="Cambria" w:hAnsi="Cambria"/>
          <w:b/>
          <w:snapToGrid w:val="0"/>
        </w:rPr>
        <w:t>________</w:t>
      </w:r>
      <w:r>
        <w:rPr>
          <w:rFonts w:ascii="Cambria" w:hAnsi="Cambria"/>
        </w:rPr>
        <w:t>:</w:t>
      </w:r>
    </w:p>
    <w:p w14:paraId="091530F6">
      <w:pPr>
        <w:spacing w:before="240" w:line="276" w:lineRule="auto"/>
        <w:ind w:left="567" w:firstLine="567"/>
        <w:jc w:val="both"/>
        <w:rPr>
          <w:rFonts w:ascii="Cambria" w:hAnsi="Cambria"/>
          <w:b/>
        </w:rPr>
      </w:pPr>
      <w:r>
        <w:rPr>
          <w:rFonts w:ascii="Cambria" w:hAnsi="Cambria"/>
          <w:b/>
        </w:rPr>
        <w:t>a)</w:t>
      </w:r>
      <w:r>
        <w:rPr>
          <w:rFonts w:ascii="Cambria" w:hAnsi="Cambria"/>
        </w:rPr>
        <w:t xml:space="preserve"> </w:t>
      </w:r>
      <w:r>
        <w:rPr>
          <w:rFonts w:ascii="Cambria" w:hAnsi="Cambria"/>
          <w:b/>
        </w:rPr>
        <w:t>Declara</w:t>
      </w:r>
      <w:r>
        <w:rPr>
          <w:rFonts w:ascii="Cambria" w:hAnsi="Cambria"/>
        </w:rPr>
        <w:t>, sob pena de inabilitação, que está ciente e concorda com as condições contidas no edital e seus anexos, bem como que a proposta apresentada compreende a integralidade dos custos para atendimento dos direitos trabalhistas assegurados na Constituição Federal, nas leis trabalhistas, nas formas infralegais, nas convenções coletivas de trabalho e nos termos de ajustamento de conduta vigentes na data de sua entrega em definitivo e que cumpre plenamente os requisitos de habilitação definidos neste instrumento convocatório.</w:t>
      </w:r>
    </w:p>
    <w:p w14:paraId="0D03EFFD">
      <w:pPr>
        <w:spacing w:before="240" w:line="276" w:lineRule="auto"/>
        <w:ind w:left="567" w:firstLine="567"/>
        <w:jc w:val="both"/>
        <w:rPr>
          <w:rFonts w:ascii="Cambria" w:hAnsi="Cambria"/>
        </w:rPr>
      </w:pPr>
      <w:r>
        <w:rPr>
          <w:rFonts w:ascii="Cambria" w:hAnsi="Cambria"/>
          <w:b/>
        </w:rPr>
        <w:t>b)</w:t>
      </w:r>
      <w:r>
        <w:rPr>
          <w:rFonts w:ascii="Cambria" w:hAnsi="Cambria"/>
        </w:rPr>
        <w:t xml:space="preserve"> </w:t>
      </w:r>
      <w:r>
        <w:rPr>
          <w:rFonts w:ascii="Cambria" w:hAnsi="Cambria"/>
          <w:b/>
        </w:rPr>
        <w:t>Declara</w:t>
      </w:r>
      <w:r>
        <w:rPr>
          <w:rFonts w:ascii="Cambria" w:hAnsi="Cambria"/>
        </w:rPr>
        <w:t xml:space="preserve">, sob pena de inabilitação, que </w:t>
      </w:r>
      <w:r>
        <w:rPr>
          <w:rFonts w:ascii="Cambria" w:hAnsi="Cambria" w:eastAsia="Helvetica"/>
        </w:rPr>
        <w:t xml:space="preserve">atende ao disposto no </w:t>
      </w:r>
      <w:r>
        <w:rPr>
          <w:rFonts w:ascii="Cambria" w:hAnsi="Cambria"/>
        </w:rPr>
        <w:t>inciso XXXIII, do Art. 07º da Constituição da República Federativa do Brasil de 1988</w:t>
      </w:r>
      <w:r>
        <w:rPr>
          <w:rFonts w:ascii="Cambria" w:hAnsi="Cambria" w:eastAsia="Helvetica"/>
        </w:rPr>
        <w:t xml:space="preserve">, referente à </w:t>
      </w:r>
      <w:r>
        <w:rPr>
          <w:rFonts w:ascii="Cambria" w:hAnsi="Cambria" w:cs="Arial"/>
          <w:shd w:val="clear" w:color="auto" w:fill="FFFFFF"/>
        </w:rPr>
        <w:t>proibição de trabalho noturno, perigoso ou insalubre a menores de dezoito e de qualquer trabalho a menores de dezesseis anos, salvo na condição de aprendiz, a partir de quatorze anos</w:t>
      </w:r>
      <w:r>
        <w:rPr>
          <w:rFonts w:ascii="Cambria" w:hAnsi="Cambria"/>
        </w:rPr>
        <w:t>.</w:t>
      </w:r>
    </w:p>
    <w:p w14:paraId="6B1A6D3D">
      <w:pPr>
        <w:spacing w:before="240" w:line="276" w:lineRule="auto"/>
        <w:ind w:left="567" w:firstLine="567"/>
        <w:jc w:val="both"/>
        <w:rPr>
          <w:rFonts w:ascii="Cambria" w:hAnsi="Cambria"/>
        </w:rPr>
      </w:pPr>
      <w:r>
        <w:rPr>
          <w:rFonts w:ascii="Cambria" w:hAnsi="Cambria"/>
          <w:b/>
          <w:bCs/>
        </w:rPr>
        <w:t>c) Declara</w:t>
      </w:r>
      <w:r>
        <w:rPr>
          <w:rFonts w:ascii="Cambria" w:hAnsi="Cambria"/>
        </w:rPr>
        <w:t>, sob pena de inabilitação, que os preços propostos se encontram incluídos todos os tributos, encargos sociais, frete e quaisquer outros ônus que porventura possam recair sobre o fornecimento do objeto da presente licitação.</w:t>
      </w:r>
    </w:p>
    <w:p w14:paraId="6FDD9D11">
      <w:pPr>
        <w:spacing w:before="240" w:line="276" w:lineRule="auto"/>
        <w:ind w:left="567" w:firstLine="567"/>
        <w:jc w:val="both"/>
        <w:rPr>
          <w:rFonts w:ascii="Cambria" w:hAnsi="Cambria"/>
        </w:rPr>
      </w:pPr>
      <w:r>
        <w:rPr>
          <w:rFonts w:ascii="Cambria" w:hAnsi="Cambria"/>
          <w:b/>
          <w:bCs/>
        </w:rPr>
        <w:t>d) Declara</w:t>
      </w:r>
      <w:r>
        <w:rPr>
          <w:rFonts w:ascii="Cambria" w:hAnsi="Cambria"/>
        </w:rPr>
        <w:t>, sob pena de inabilitação, que não foi declarada inidônea para licitar ou contratar com o Poder Público, em qualquer de suas esferas e sob as penas da lei, que até a presente data inexistem fatos impeditivos à sua participação na presente licitação, ciente da obrigatoriedade de declarar ocorrências posteriores.</w:t>
      </w:r>
    </w:p>
    <w:p w14:paraId="23DF8233">
      <w:pPr>
        <w:spacing w:before="240" w:line="276" w:lineRule="auto"/>
        <w:ind w:left="567" w:firstLine="567"/>
        <w:jc w:val="both"/>
        <w:rPr>
          <w:rFonts w:ascii="Cambria" w:hAnsi="Cambria"/>
        </w:rPr>
      </w:pPr>
      <w:r>
        <w:rPr>
          <w:rFonts w:ascii="Cambria" w:hAnsi="Cambria"/>
          <w:b/>
          <w:bCs/>
        </w:rPr>
        <w:t>e) Declara</w:t>
      </w:r>
      <w:r>
        <w:rPr>
          <w:rFonts w:ascii="Cambria" w:hAnsi="Cambria"/>
        </w:rPr>
        <w:t>, sob pena de inabilitação, que não possui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50929D17">
      <w:pPr>
        <w:spacing w:before="240" w:line="276" w:lineRule="auto"/>
        <w:ind w:left="567" w:firstLine="567"/>
        <w:jc w:val="both"/>
        <w:rPr>
          <w:rFonts w:ascii="Cambria" w:hAnsi="Cambria"/>
          <w:shd w:val="clear" w:color="auto" w:fill="FFFFFF"/>
        </w:rPr>
      </w:pPr>
      <w:r>
        <w:rPr>
          <w:rFonts w:ascii="Cambria" w:hAnsi="Cambria"/>
          <w:b/>
          <w:bCs/>
        </w:rPr>
        <w:t>f)</w:t>
      </w:r>
      <w:r>
        <w:rPr>
          <w:rFonts w:ascii="Cambria" w:hAnsi="Cambria"/>
        </w:rPr>
        <w:t xml:space="preserve"> </w:t>
      </w:r>
      <w:r>
        <w:rPr>
          <w:rFonts w:ascii="Cambria" w:hAnsi="Cambria"/>
          <w:b/>
          <w:bCs/>
        </w:rPr>
        <w:t>Declara</w:t>
      </w:r>
      <w:r>
        <w:rPr>
          <w:rFonts w:ascii="Cambria" w:hAnsi="Cambria"/>
        </w:rPr>
        <w:t xml:space="preserve">, sob pena de inabilitação, </w:t>
      </w:r>
      <w:r>
        <w:rPr>
          <w:rFonts w:ascii="Cambria" w:hAnsi="Cambria"/>
          <w:shd w:val="clear" w:color="auto" w:fill="FFFFFF"/>
        </w:rPr>
        <w:t xml:space="preserve">que a proposta apresentada </w:t>
      </w:r>
      <w:r>
        <w:rPr>
          <w:rFonts w:ascii="Cambria" w:hAnsi="Cambria"/>
        </w:rPr>
        <w:t xml:space="preserve">para fins de participação nesta licitação </w:t>
      </w:r>
      <w:r>
        <w:rPr>
          <w:rFonts w:ascii="Cambria" w:hAnsi="Cambria"/>
          <w:shd w:val="clear" w:color="auto" w:fill="FFFFFF"/>
        </w:rPr>
        <w:t>foi elaborada de maneira independente e o conteúdo da proposta não foi, no todo ou em parte, direta ou indiretamente, informado, discutido ou recebido de qualquer outro participante potencial. Que não tentou, por qualquer meio ou por qualquer pessoa, influir na decisão de qualquer outro participante potencial, quanto a participar ou não da referida licitação, que o conteúdo da proposta apresentada para participar, não será, no todo ou em parte, direta ou indiretamente, comunicado ou discutido com qualquer outro participante potencial. Que o conteúdo da proposta apresentada não foi, no todo ou em parte, direta ou indiretamente, informado, discutido ou recebido de qualquer integrante de Prefeitura Municipal de Piracanjuba antes da abertura oficial das propostas; e que está plenamente ciente do teor e da extensão desta declaração e que detém plenos poderes e informações para firmá-la.</w:t>
      </w:r>
    </w:p>
    <w:p w14:paraId="23A16EE6">
      <w:pPr>
        <w:spacing w:before="240" w:line="276" w:lineRule="auto"/>
        <w:ind w:left="567" w:firstLine="567"/>
        <w:jc w:val="both"/>
        <w:rPr>
          <w:rFonts w:ascii="Cambria" w:hAnsi="Cambria"/>
        </w:rPr>
      </w:pPr>
      <w:r>
        <w:rPr>
          <w:rFonts w:ascii="Cambria" w:hAnsi="Cambria"/>
          <w:b/>
          <w:bCs/>
        </w:rPr>
        <w:t>g)</w:t>
      </w:r>
      <w:r>
        <w:rPr>
          <w:rFonts w:ascii="Cambria" w:hAnsi="Cambria"/>
        </w:rPr>
        <w:t xml:space="preserve"> </w:t>
      </w:r>
      <w:r>
        <w:rPr>
          <w:rFonts w:ascii="Cambria" w:hAnsi="Cambria"/>
          <w:b/>
          <w:bCs/>
        </w:rPr>
        <w:t>Declara</w:t>
      </w:r>
      <w:r>
        <w:rPr>
          <w:rFonts w:ascii="Cambria" w:hAnsi="Cambria"/>
        </w:rPr>
        <w:t>, sob pena de inabilitação, sob as penas da Lei, que se responsabiliza pela autenticidade e veracidade dos documentos e informações apresentadas para participação nesta licitação.</w:t>
      </w:r>
    </w:p>
    <w:p w14:paraId="0E4FF6C9">
      <w:pPr>
        <w:pStyle w:val="22"/>
        <w:spacing w:after="240" w:line="276" w:lineRule="auto"/>
        <w:ind w:left="567" w:firstLine="567"/>
        <w:jc w:val="both"/>
        <w:rPr>
          <w:rFonts w:ascii="Cambria" w:hAnsi="Cambria"/>
        </w:rPr>
      </w:pPr>
      <w:r>
        <w:rPr>
          <w:rFonts w:ascii="Cambria" w:hAnsi="Cambria"/>
          <w:b/>
          <w:bCs/>
        </w:rPr>
        <w:t>h)</w:t>
      </w:r>
      <w:r>
        <w:rPr>
          <w:rFonts w:ascii="Cambria" w:hAnsi="Cambria"/>
        </w:rPr>
        <w:t xml:space="preserve"> </w:t>
      </w:r>
      <w:r>
        <w:rPr>
          <w:rFonts w:ascii="Cambria" w:hAnsi="Cambria"/>
          <w:b/>
          <w:bCs/>
        </w:rPr>
        <w:t>Declara</w:t>
      </w:r>
      <w:r>
        <w:rPr>
          <w:rFonts w:ascii="Cambria" w:hAnsi="Cambria"/>
        </w:rPr>
        <w:t>, para fins de participação neste Pregão Eletrônico, que se enquadra como Microempresa ou Empresa de Pequeno Porte, nos termos do Artigo 3º, da Lei Complementar nº 123, de 14 de dezembro de 2006, estando apta a usufruir do tratamento favorecido estabelecido em seus artigos 42 a 49, por não se enquadrar em nenhuma das vedações legais impostas pelo § 4º, do art. 3º da Lei Complementar nº 123, de 2006.</w:t>
      </w:r>
    </w:p>
    <w:p w14:paraId="00160FEF">
      <w:pPr>
        <w:pStyle w:val="22"/>
        <w:spacing w:after="240" w:line="276" w:lineRule="auto"/>
        <w:jc w:val="both"/>
        <w:rPr>
          <w:rFonts w:ascii="Cambria" w:hAnsi="Cambria"/>
        </w:rPr>
      </w:pPr>
      <w:r>
        <w:rPr>
          <w:rFonts w:ascii="Cambria" w:hAnsi="Cambria"/>
        </w:rPr>
        <w:t>O signatário assume responsabilidade civil e criminal por eventual falsidade.</w:t>
      </w:r>
    </w:p>
    <w:p w14:paraId="696DFDF7">
      <w:pPr>
        <w:pStyle w:val="22"/>
        <w:spacing w:line="276" w:lineRule="auto"/>
        <w:jc w:val="both"/>
        <w:rPr>
          <w:rFonts w:ascii="Cambria" w:hAnsi="Cambria"/>
        </w:rPr>
      </w:pPr>
    </w:p>
    <w:p w14:paraId="3BB4EB23">
      <w:pPr>
        <w:pStyle w:val="22"/>
        <w:spacing w:line="276" w:lineRule="auto"/>
        <w:jc w:val="right"/>
        <w:rPr>
          <w:rFonts w:ascii="Cambria" w:hAnsi="Cambria"/>
        </w:rPr>
      </w:pPr>
      <w:r>
        <w:rPr>
          <w:rFonts w:ascii="Cambria" w:hAnsi="Cambria"/>
        </w:rPr>
        <w:t>...................... (local), ... de ............... de ........(data)</w:t>
      </w:r>
    </w:p>
    <w:p w14:paraId="6691429C">
      <w:pPr>
        <w:pStyle w:val="22"/>
        <w:spacing w:line="276" w:lineRule="auto"/>
        <w:jc w:val="both"/>
        <w:rPr>
          <w:rFonts w:ascii="Cambria" w:hAnsi="Cambria"/>
        </w:rPr>
      </w:pPr>
    </w:p>
    <w:p w14:paraId="6DB55780">
      <w:pPr>
        <w:tabs>
          <w:tab w:val="left" w:pos="1701"/>
        </w:tabs>
        <w:spacing w:line="276" w:lineRule="auto"/>
        <w:jc w:val="center"/>
        <w:rPr>
          <w:rFonts w:ascii="Cambria" w:hAnsi="Cambria"/>
          <w:b/>
        </w:rPr>
      </w:pPr>
      <w:r>
        <w:rPr>
          <w:rFonts w:ascii="Cambria" w:hAnsi="Cambria"/>
          <w:b/>
        </w:rPr>
        <w:t>(Nome e assinatura do representante legal da licitante Carimbo de CNPJ se houver)</w:t>
      </w:r>
    </w:p>
    <w:p w14:paraId="60EABADD">
      <w:pPr>
        <w:tabs>
          <w:tab w:val="left" w:pos="1701"/>
        </w:tabs>
        <w:spacing w:line="276" w:lineRule="auto"/>
        <w:jc w:val="center"/>
        <w:rPr>
          <w:rFonts w:ascii="Cambria" w:hAnsi="Cambria"/>
          <w:b/>
        </w:rPr>
      </w:pPr>
    </w:p>
    <w:p w14:paraId="28A606BA">
      <w:pPr>
        <w:pStyle w:val="12"/>
        <w:spacing w:before="0" w:beforeAutospacing="0" w:after="0" w:afterAutospacing="0" w:line="276" w:lineRule="auto"/>
        <w:jc w:val="center"/>
        <w:rPr>
          <w:rFonts w:ascii="Cambria" w:hAnsi="Cambria"/>
          <w:b/>
          <w:i/>
          <w:sz w:val="22"/>
          <w:szCs w:val="22"/>
        </w:rPr>
      </w:pPr>
      <w:r>
        <w:rPr>
          <w:rFonts w:ascii="Cambria" w:hAnsi="Cambria"/>
          <w:b/>
          <w:i/>
          <w:sz w:val="22"/>
          <w:szCs w:val="22"/>
        </w:rPr>
        <w:t>Obs.: Este documento é meramente exemplificativo</w:t>
      </w:r>
    </w:p>
    <w:p w14:paraId="5D5BE4B7">
      <w:pPr>
        <w:pStyle w:val="12"/>
        <w:spacing w:before="0" w:beforeAutospacing="0" w:after="0" w:afterAutospacing="0" w:line="276" w:lineRule="auto"/>
        <w:jc w:val="center"/>
        <w:rPr>
          <w:rFonts w:ascii="Cambria" w:hAnsi="Cambria"/>
          <w:b/>
          <w:i/>
          <w:sz w:val="22"/>
          <w:szCs w:val="22"/>
        </w:rPr>
      </w:pPr>
    </w:p>
    <w:p w14:paraId="363C6B15">
      <w:pPr>
        <w:spacing w:line="276" w:lineRule="auto"/>
        <w:rPr>
          <w:rFonts w:ascii="Cambria" w:hAnsi="Cambria" w:eastAsia="Times New Roman" w:cs="Times New Roman"/>
          <w:b/>
          <w:i/>
          <w:lang w:eastAsia="pt-BR"/>
        </w:rPr>
      </w:pPr>
      <w:r>
        <w:rPr>
          <w:rFonts w:ascii="Cambria" w:hAnsi="Cambria"/>
          <w:b/>
          <w:i/>
        </w:rPr>
        <w:br w:type="page"/>
      </w:r>
    </w:p>
    <w:p w14:paraId="72AD7E98">
      <w:pPr>
        <w:tabs>
          <w:tab w:val="left" w:pos="1701"/>
        </w:tabs>
        <w:spacing w:before="240" w:line="276" w:lineRule="auto"/>
        <w:jc w:val="center"/>
        <w:rPr>
          <w:rFonts w:ascii="Cambria" w:hAnsi="Cambria"/>
          <w:b/>
        </w:rPr>
      </w:pPr>
      <w:r>
        <w:rPr>
          <w:rFonts w:ascii="Cambria" w:hAnsi="Cambria"/>
          <w:b/>
        </w:rPr>
        <w:t>PREGÃO ELETRÔNICO Nº 53/2024</w:t>
      </w:r>
    </w:p>
    <w:p w14:paraId="04DE9285">
      <w:pPr>
        <w:tabs>
          <w:tab w:val="left" w:pos="1701"/>
        </w:tabs>
        <w:spacing w:before="240" w:line="276" w:lineRule="auto"/>
        <w:jc w:val="center"/>
        <w:rPr>
          <w:rFonts w:ascii="Cambria" w:hAnsi="Cambria"/>
          <w:b/>
        </w:rPr>
      </w:pPr>
      <w:r>
        <w:rPr>
          <w:rFonts w:ascii="Cambria" w:hAnsi="Cambria"/>
          <w:b/>
        </w:rPr>
        <w:t>ANEXO V</w:t>
      </w:r>
    </w:p>
    <w:p w14:paraId="5630BBCA">
      <w:pPr>
        <w:tabs>
          <w:tab w:val="left" w:pos="1701"/>
        </w:tabs>
        <w:spacing w:before="240" w:line="276" w:lineRule="auto"/>
        <w:jc w:val="center"/>
        <w:rPr>
          <w:rFonts w:ascii="Cambria" w:hAnsi="Cambria"/>
          <w:b/>
        </w:rPr>
      </w:pPr>
      <w:r>
        <w:rPr>
          <w:rFonts w:ascii="Cambria" w:hAnsi="Cambria"/>
          <w:b/>
          <w:u w:val="single"/>
        </w:rPr>
        <w:t>MINUTA ATA DE REGISTRO DE PREÇOS</w:t>
      </w:r>
    </w:p>
    <w:p w14:paraId="0623D012">
      <w:pPr>
        <w:spacing w:before="240" w:line="276" w:lineRule="auto"/>
        <w:ind w:right="-1"/>
        <w:jc w:val="both"/>
        <w:rPr>
          <w:rFonts w:ascii="Cambria" w:hAnsi="Cambria" w:eastAsia="Arial"/>
          <w:b/>
        </w:rPr>
      </w:pPr>
      <w:r>
        <w:rPr>
          <w:rFonts w:ascii="Cambria" w:hAnsi="Cambria"/>
        </w:rPr>
        <w:t>Aquisição eventual e sob demanda de medicamentos, materiais medico hospitalares e laboratoriais, os quais foram fracassados ou desertos de outras licitações (Pregão Eletrônico nº 10/2024, Pregão Eletrônico nº 18/2024, Pregão Eletrônico nº 31/2024 e Pregão Eletrônico nº 35/2024), afim de atender as demandas das Unidades ligadas à Secretaria Municipal de Saúde de Piracanjuba/GO.</w:t>
      </w:r>
    </w:p>
    <w:p w14:paraId="26F1FF15">
      <w:pPr>
        <w:spacing w:before="240" w:after="0" w:line="276" w:lineRule="auto"/>
        <w:ind w:right="-1" w:firstLine="708"/>
        <w:jc w:val="both"/>
        <w:rPr>
          <w:rFonts w:ascii="Cambria" w:hAnsi="Cambria" w:eastAsia="Arial"/>
          <w:b/>
        </w:rPr>
      </w:pPr>
      <w:r>
        <w:rPr>
          <w:rFonts w:ascii="Cambria" w:hAnsi="Cambria" w:eastAsia="Arial"/>
          <w:b/>
        </w:rPr>
        <w:t>Processo nº 155796/2024</w:t>
      </w:r>
    </w:p>
    <w:p w14:paraId="2CD3997A">
      <w:pPr>
        <w:spacing w:before="240" w:after="0" w:line="276" w:lineRule="auto"/>
        <w:ind w:right="-1" w:firstLine="720"/>
        <w:jc w:val="both"/>
        <w:rPr>
          <w:rFonts w:ascii="Cambria" w:hAnsi="Cambria"/>
        </w:rPr>
      </w:pPr>
      <w:r>
        <w:rPr>
          <w:rFonts w:ascii="Cambria" w:hAnsi="Cambria" w:eastAsia="Arial"/>
          <w:b/>
        </w:rPr>
        <w:t>Pregão Eletrônico nº 53/2024</w:t>
      </w:r>
    </w:p>
    <w:p w14:paraId="4CB3B6C9">
      <w:pPr>
        <w:spacing w:before="240" w:after="0" w:line="276" w:lineRule="auto"/>
        <w:ind w:right="-1" w:firstLine="720"/>
        <w:jc w:val="both"/>
        <w:rPr>
          <w:rFonts w:ascii="Cambria" w:hAnsi="Cambria" w:eastAsia="Arial"/>
          <w:b/>
        </w:rPr>
      </w:pPr>
      <w:r>
        <w:rPr>
          <w:rFonts w:ascii="Cambria" w:hAnsi="Cambria" w:eastAsia="Arial"/>
          <w:b/>
        </w:rPr>
        <w:t>Validade: 12(doze) meses</w:t>
      </w:r>
    </w:p>
    <w:p w14:paraId="25781237">
      <w:pPr>
        <w:spacing w:before="240" w:beforeLines="100" w:after="240" w:afterLines="100" w:line="276" w:lineRule="auto"/>
        <w:ind w:right="-1"/>
        <w:jc w:val="both"/>
        <w:rPr>
          <w:rFonts w:ascii="Cambria" w:hAnsi="Cambria"/>
        </w:rPr>
      </w:pPr>
      <w:r>
        <w:rPr>
          <w:rFonts w:ascii="Cambria" w:hAnsi="Cambria" w:eastAsia="Arial"/>
        </w:rPr>
        <w:t xml:space="preserve">No dia ___ de ___________ de 20__, </w:t>
      </w:r>
      <w:r>
        <w:rPr>
          <w:rFonts w:ascii="Cambria" w:hAnsi="Cambria"/>
        </w:rPr>
        <w:t xml:space="preserve">o </w:t>
      </w:r>
      <w:r>
        <w:rPr>
          <w:rFonts w:ascii="Cambria" w:hAnsi="Cambria"/>
          <w:b/>
        </w:rPr>
        <w:t>FUNDO MUNICIPAL DE SAÚDE DE PIRACANJUBA</w:t>
      </w:r>
      <w:r>
        <w:rPr>
          <w:rFonts w:ascii="Cambria" w:hAnsi="Cambria"/>
        </w:rPr>
        <w:t xml:space="preserve">, Estado de Goiás, Pessoa Jurídica de Direito Público Interno, com sede na </w:t>
      </w:r>
      <w:r>
        <w:rPr>
          <w:rFonts w:ascii="Cambria" w:hAnsi="Cambria" w:cs="Segoe UI"/>
        </w:rPr>
        <w:t>Rua Cônego Olinto, s/n, Centro – Piracanjuba/GO</w:t>
      </w:r>
      <w:r>
        <w:rPr>
          <w:rFonts w:ascii="Cambria" w:hAnsi="Cambria"/>
        </w:rPr>
        <w:t xml:space="preserve">, inscrito no CNPJ sob o nº 01.753.396/0001-00, através da </w:t>
      </w:r>
      <w:r>
        <w:rPr>
          <w:rFonts w:ascii="Cambria" w:hAnsi="Cambria"/>
          <w:bCs/>
        </w:rPr>
        <w:t>Secretaria Municipal de Saúde de Piracanjuba/GO</w:t>
      </w:r>
      <w:r>
        <w:rPr>
          <w:rFonts w:ascii="Cambria" w:hAnsi="Cambria"/>
        </w:rPr>
        <w:t xml:space="preserve">, representada pela Gestora do Fundo Municipal de Saúde e Secretária Municipal de Saúde, </w:t>
      </w:r>
      <w:r>
        <w:rPr>
          <w:rFonts w:ascii="Cambria" w:hAnsi="Cambria"/>
          <w:b/>
        </w:rPr>
        <w:t>Sra. Silvia Raquel de Sá Araújo Barbosa</w:t>
      </w:r>
      <w:r>
        <w:rPr>
          <w:rFonts w:ascii="Cambria" w:hAnsi="Cambria"/>
        </w:rPr>
        <w:t>, inscrita no CPF sob o nº _________________, considerando o julgamento da licitação na modalidade pregão, na forma eletrônica, para registro de preços, processo administrativo nº 155796/2024, RESOLVE registrar os preços das empresas indicadas e qualificadas nesta ATA, de acordo com a classificação por elas alcançadas e nas quantidades cotadas, atendendo as condições previstas no Edital do Pregão Eletrônico nº 53/2024, sujeitando-se as partes às normas constantes na Lei Federal nº 14.133, de 01 de abril de 2024 e no Decreto Municipal nº 17, de 08 de janeiro de 2024, e em conformidade com as disposições a seguir</w:t>
      </w:r>
      <w:r>
        <w:rPr>
          <w:rFonts w:ascii="Cambria" w:hAnsi="Cambria" w:eastAsia="Arial"/>
        </w:rPr>
        <w:t>:</w:t>
      </w:r>
    </w:p>
    <w:p w14:paraId="0A5F8F9E">
      <w:pPr>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spacing w:before="240" w:after="240" w:afterLines="100" w:line="276" w:lineRule="auto"/>
        <w:ind w:right="-1"/>
        <w:jc w:val="both"/>
        <w:rPr>
          <w:rFonts w:ascii="Cambria" w:hAnsi="Cambria"/>
        </w:rPr>
      </w:pPr>
      <w:r>
        <w:rPr>
          <w:rFonts w:ascii="Cambria" w:hAnsi="Cambria" w:eastAsia="Arial"/>
          <w:b/>
        </w:rPr>
        <w:t>DO OBJETO</w:t>
      </w:r>
    </w:p>
    <w:p w14:paraId="0F154664">
      <w:pPr>
        <w:spacing w:before="240" w:after="240" w:line="276" w:lineRule="auto"/>
        <w:ind w:right="-1"/>
        <w:jc w:val="both"/>
        <w:rPr>
          <w:rFonts w:ascii="Cambria" w:hAnsi="Cambria"/>
        </w:rPr>
      </w:pPr>
      <w:r>
        <w:rPr>
          <w:rFonts w:ascii="Cambria" w:hAnsi="Cambria" w:eastAsia="Arial"/>
          <w:b/>
        </w:rPr>
        <w:t xml:space="preserve">CLÁUSULA PRIMEIRA: </w:t>
      </w:r>
      <w:r>
        <w:rPr>
          <w:rFonts w:ascii="Cambria" w:hAnsi="Cambria"/>
        </w:rPr>
        <w:t>O presente termo tem por objetivo e finalidade o Registro de Preços para futura e eventual aquisição eventual e sob demanda de medicamentos, materiais medico hospitalares e laboratoriais, os quais foram fracassados ou desertos de outras licitações (Pregão Eletrônico nº 10/2024, Pregão Eletrônico nº 18/2024, Pregão Eletrônico nº 31/2024 e Pregão Eletrônico nº 35/2024), afim de atender as demandas das Unidades ligadas à Secretaria Municipal de Saúde de Piracanjuba/GO, tudo em conformidade com as especificações constantes no Edital, nas condições definidas no ato convocatório, seus anexos, proposta de preços e demais documentos, Atas do Processo de licitação acima descrito, os quais integram este instrumento independentemente de transcrição, pelo prazo de validade do presente Registro de Preços.</w:t>
      </w:r>
    </w:p>
    <w:p w14:paraId="447A169F">
      <w:pPr>
        <w:spacing w:before="240" w:after="240" w:line="276" w:lineRule="auto"/>
        <w:ind w:right="-1" w:firstLine="567"/>
        <w:jc w:val="both"/>
        <w:rPr>
          <w:rFonts w:ascii="Cambria" w:hAnsi="Cambria"/>
        </w:rPr>
      </w:pPr>
      <w:r>
        <w:rPr>
          <w:rFonts w:ascii="Cambria" w:hAnsi="Cambria"/>
          <w:b/>
          <w:bCs/>
        </w:rPr>
        <w:t>I.</w:t>
      </w:r>
      <w:r>
        <w:rPr>
          <w:rFonts w:ascii="Cambria" w:hAnsi="Cambria"/>
        </w:rPr>
        <w:t xml:space="preserve"> Abaixo segue os licitantes que participaram da licitação e que tiveram itens vencedores:</w:t>
      </w:r>
    </w:p>
    <w:tbl>
      <w:tblPr>
        <w:tblStyle w:val="4"/>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4390"/>
        <w:gridCol w:w="567"/>
        <w:gridCol w:w="1134"/>
        <w:gridCol w:w="3260"/>
      </w:tblGrid>
      <w:tr w14:paraId="571D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9351" w:type="dxa"/>
            <w:gridSpan w:val="4"/>
            <w:vAlign w:val="center"/>
          </w:tcPr>
          <w:p w14:paraId="3E3A2153">
            <w:pPr>
              <w:spacing w:after="0" w:line="240" w:lineRule="auto"/>
              <w:ind w:right="-1"/>
              <w:jc w:val="center"/>
              <w:rPr>
                <w:rFonts w:ascii="Cambria" w:hAnsi="Cambria"/>
                <w:sz w:val="21"/>
                <w:szCs w:val="21"/>
              </w:rPr>
            </w:pPr>
            <w:r>
              <w:rPr>
                <w:rFonts w:ascii="Cambria" w:hAnsi="Cambria" w:eastAsia="Arial"/>
                <w:b/>
                <w:sz w:val="21"/>
                <w:szCs w:val="21"/>
              </w:rPr>
              <w:t>DADO DA EMPRESA</w:t>
            </w:r>
          </w:p>
        </w:tc>
      </w:tr>
      <w:tr w14:paraId="5644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1" w:type="dxa"/>
            <w:gridSpan w:val="3"/>
          </w:tcPr>
          <w:p w14:paraId="7C3A86D4">
            <w:pPr>
              <w:pStyle w:val="12"/>
              <w:spacing w:before="240" w:after="0" w:line="276" w:lineRule="auto"/>
              <w:jc w:val="both"/>
              <w:rPr>
                <w:rFonts w:ascii="Cambria" w:hAnsi="Cambria"/>
                <w:sz w:val="22"/>
                <w:szCs w:val="22"/>
              </w:rPr>
            </w:pPr>
            <w:r>
              <w:rPr>
                <w:rFonts w:ascii="Cambria" w:hAnsi="Cambria"/>
                <w:sz w:val="22"/>
                <w:szCs w:val="22"/>
              </w:rPr>
              <w:t>Razão Social:</w:t>
            </w:r>
          </w:p>
        </w:tc>
        <w:tc>
          <w:tcPr>
            <w:tcW w:w="3260" w:type="dxa"/>
          </w:tcPr>
          <w:p w14:paraId="6C536488">
            <w:pPr>
              <w:pStyle w:val="12"/>
              <w:spacing w:before="240" w:after="0" w:line="276" w:lineRule="auto"/>
              <w:jc w:val="both"/>
              <w:rPr>
                <w:rFonts w:ascii="Cambria" w:hAnsi="Cambria"/>
                <w:sz w:val="22"/>
                <w:szCs w:val="22"/>
              </w:rPr>
            </w:pPr>
            <w:r>
              <w:rPr>
                <w:rFonts w:ascii="Cambria" w:hAnsi="Cambria"/>
                <w:sz w:val="22"/>
                <w:szCs w:val="22"/>
              </w:rPr>
              <w:t>CNPJ:</w:t>
            </w:r>
          </w:p>
        </w:tc>
      </w:tr>
      <w:tr w14:paraId="24D6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4"/>
          </w:tcPr>
          <w:p w14:paraId="204C2938">
            <w:pPr>
              <w:pStyle w:val="12"/>
              <w:spacing w:before="240" w:after="0" w:line="276" w:lineRule="auto"/>
              <w:jc w:val="both"/>
              <w:rPr>
                <w:rFonts w:ascii="Cambria" w:hAnsi="Cambria"/>
                <w:sz w:val="22"/>
                <w:szCs w:val="22"/>
              </w:rPr>
            </w:pPr>
            <w:r>
              <w:rPr>
                <w:rFonts w:ascii="Cambria" w:hAnsi="Cambria"/>
                <w:sz w:val="22"/>
                <w:szCs w:val="22"/>
              </w:rPr>
              <w:t>Endereço:</w:t>
            </w:r>
          </w:p>
        </w:tc>
      </w:tr>
      <w:tr w14:paraId="1CD2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0" w:type="dxa"/>
          </w:tcPr>
          <w:p w14:paraId="453EBD30">
            <w:pPr>
              <w:pStyle w:val="12"/>
              <w:spacing w:before="240" w:after="0" w:line="276" w:lineRule="auto"/>
              <w:jc w:val="both"/>
              <w:rPr>
                <w:rFonts w:ascii="Cambria" w:hAnsi="Cambria"/>
                <w:sz w:val="22"/>
                <w:szCs w:val="22"/>
              </w:rPr>
            </w:pPr>
            <w:r>
              <w:rPr>
                <w:rFonts w:ascii="Cambria" w:hAnsi="Cambria"/>
                <w:sz w:val="22"/>
                <w:szCs w:val="22"/>
              </w:rPr>
              <w:t>Telefone:</w:t>
            </w:r>
          </w:p>
        </w:tc>
        <w:tc>
          <w:tcPr>
            <w:tcW w:w="4961" w:type="dxa"/>
            <w:gridSpan w:val="3"/>
          </w:tcPr>
          <w:p w14:paraId="12ECADC3">
            <w:pPr>
              <w:pStyle w:val="12"/>
              <w:spacing w:before="240" w:after="0" w:line="276" w:lineRule="auto"/>
              <w:jc w:val="both"/>
              <w:rPr>
                <w:rFonts w:ascii="Cambria" w:hAnsi="Cambria"/>
                <w:sz w:val="22"/>
                <w:szCs w:val="22"/>
              </w:rPr>
            </w:pPr>
            <w:r>
              <w:rPr>
                <w:rFonts w:ascii="Cambria" w:hAnsi="Cambria"/>
                <w:sz w:val="22"/>
                <w:szCs w:val="22"/>
              </w:rPr>
              <w:t>E-mail:</w:t>
            </w:r>
          </w:p>
        </w:tc>
      </w:tr>
      <w:tr w14:paraId="63D2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7" w:type="dxa"/>
            <w:gridSpan w:val="2"/>
          </w:tcPr>
          <w:p w14:paraId="5CD18721">
            <w:pPr>
              <w:pStyle w:val="12"/>
              <w:spacing w:before="240" w:after="0" w:line="276" w:lineRule="auto"/>
              <w:jc w:val="both"/>
              <w:rPr>
                <w:rFonts w:ascii="Cambria" w:hAnsi="Cambria"/>
                <w:sz w:val="22"/>
                <w:szCs w:val="22"/>
              </w:rPr>
            </w:pPr>
            <w:r>
              <w:rPr>
                <w:rFonts w:ascii="Cambria" w:hAnsi="Cambria"/>
                <w:sz w:val="22"/>
                <w:szCs w:val="22"/>
              </w:rPr>
              <w:t>Representante Legal:</w:t>
            </w:r>
          </w:p>
        </w:tc>
        <w:tc>
          <w:tcPr>
            <w:tcW w:w="4394" w:type="dxa"/>
            <w:gridSpan w:val="2"/>
          </w:tcPr>
          <w:p w14:paraId="6D39F758">
            <w:pPr>
              <w:pStyle w:val="12"/>
              <w:spacing w:before="240" w:after="0" w:line="276" w:lineRule="auto"/>
              <w:jc w:val="both"/>
              <w:rPr>
                <w:rFonts w:ascii="Cambria" w:hAnsi="Cambria"/>
                <w:sz w:val="22"/>
                <w:szCs w:val="22"/>
              </w:rPr>
            </w:pPr>
            <w:r>
              <w:rPr>
                <w:rFonts w:ascii="Cambria" w:hAnsi="Cambria"/>
                <w:sz w:val="22"/>
                <w:szCs w:val="22"/>
              </w:rPr>
              <w:t>CPF do Representante:</w:t>
            </w:r>
          </w:p>
        </w:tc>
      </w:tr>
    </w:tbl>
    <w:p w14:paraId="7893396B">
      <w:pPr>
        <w:spacing w:before="240" w:after="240" w:afterLines="100" w:line="276" w:lineRule="auto"/>
        <w:ind w:right="-1" w:firstLine="567"/>
        <w:jc w:val="both"/>
        <w:rPr>
          <w:rFonts w:ascii="Cambria" w:hAnsi="Cambria"/>
        </w:rPr>
      </w:pPr>
      <w:r>
        <w:rPr>
          <w:rFonts w:ascii="Cambria" w:hAnsi="Cambria" w:eastAsia="Arial"/>
          <w:b/>
        </w:rPr>
        <w:t xml:space="preserve">II. </w:t>
      </w:r>
      <w:r>
        <w:rPr>
          <w:rFonts w:ascii="Cambria" w:hAnsi="Cambria"/>
        </w:rPr>
        <w:t>A presente Ata de Registro de Preços constitui-se em documento vinculativo e obrigacional às partes, com característica de compromisso para futura contratação.</w:t>
      </w:r>
    </w:p>
    <w:p w14:paraId="4E9B4CAC">
      <w:pPr>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spacing w:before="240" w:after="240" w:afterLines="100" w:line="276" w:lineRule="auto"/>
        <w:ind w:right="-1"/>
        <w:jc w:val="both"/>
        <w:rPr>
          <w:rFonts w:ascii="Cambria" w:hAnsi="Cambria"/>
        </w:rPr>
      </w:pPr>
      <w:r>
        <w:rPr>
          <w:rFonts w:ascii="Cambria" w:hAnsi="Cambria" w:eastAsia="Arial"/>
          <w:b/>
        </w:rPr>
        <w:t>DOS PREÇOS, ESPECIFICAÇÕES E QUANTITATIVOS</w:t>
      </w:r>
    </w:p>
    <w:p w14:paraId="36D94012">
      <w:pPr>
        <w:spacing w:before="240" w:after="240" w:afterLines="100" w:line="276" w:lineRule="auto"/>
        <w:ind w:right="-1"/>
        <w:jc w:val="both"/>
        <w:rPr>
          <w:rFonts w:ascii="Cambria" w:hAnsi="Cambria"/>
        </w:rPr>
      </w:pPr>
      <w:r>
        <w:rPr>
          <w:rFonts w:ascii="Cambria" w:hAnsi="Cambria" w:eastAsia="Arial"/>
          <w:b/>
        </w:rPr>
        <w:t xml:space="preserve">CLÁUSULA SEGUNDA: </w:t>
      </w:r>
      <w:r>
        <w:rPr>
          <w:rFonts w:ascii="Cambria" w:hAnsi="Cambria"/>
        </w:rPr>
        <w:t>O preço registrado, as especificações do objeto, as quantidades de cada item, fornecedores e as demais condições ofertadas na nas propostas são as que se seguem:</w:t>
      </w:r>
    </w:p>
    <w:tbl>
      <w:tblPr>
        <w:tblStyle w:val="4"/>
        <w:tblW w:w="9214"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874"/>
        <w:gridCol w:w="3095"/>
        <w:gridCol w:w="1034"/>
        <w:gridCol w:w="667"/>
        <w:gridCol w:w="993"/>
        <w:gridCol w:w="1417"/>
        <w:gridCol w:w="1134"/>
      </w:tblGrid>
      <w:tr w14:paraId="548D8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874" w:type="dxa"/>
            <w:shd w:val="clear" w:color="auto" w:fill="auto"/>
          </w:tcPr>
          <w:p w14:paraId="477BC75C">
            <w:pPr>
              <w:spacing w:after="0" w:line="276" w:lineRule="auto"/>
              <w:ind w:right="-1"/>
              <w:jc w:val="center"/>
              <w:rPr>
                <w:rFonts w:ascii="Cambria" w:hAnsi="Cambria"/>
                <w:b/>
              </w:rPr>
            </w:pPr>
            <w:r>
              <w:rPr>
                <w:rFonts w:ascii="Cambria" w:hAnsi="Cambria"/>
                <w:b/>
              </w:rPr>
              <w:t>Item</w:t>
            </w:r>
          </w:p>
        </w:tc>
        <w:tc>
          <w:tcPr>
            <w:tcW w:w="3095" w:type="dxa"/>
            <w:shd w:val="clear" w:color="auto" w:fill="auto"/>
          </w:tcPr>
          <w:p w14:paraId="729BDF92">
            <w:pPr>
              <w:spacing w:after="0" w:line="276" w:lineRule="auto"/>
              <w:ind w:right="-1"/>
              <w:jc w:val="center"/>
              <w:rPr>
                <w:rFonts w:ascii="Cambria" w:hAnsi="Cambria"/>
                <w:b/>
              </w:rPr>
            </w:pPr>
            <w:r>
              <w:rPr>
                <w:rFonts w:ascii="Cambria" w:hAnsi="Cambria"/>
                <w:b/>
              </w:rPr>
              <w:t>Descrição Item/Objeto</w:t>
            </w:r>
          </w:p>
        </w:tc>
        <w:tc>
          <w:tcPr>
            <w:tcW w:w="1034" w:type="dxa"/>
            <w:shd w:val="clear" w:color="auto" w:fill="auto"/>
          </w:tcPr>
          <w:p w14:paraId="60DCEB5C">
            <w:pPr>
              <w:spacing w:after="0" w:line="276" w:lineRule="auto"/>
              <w:ind w:right="-1"/>
              <w:jc w:val="center"/>
              <w:rPr>
                <w:rFonts w:ascii="Cambria" w:hAnsi="Cambria"/>
                <w:b/>
              </w:rPr>
            </w:pPr>
            <w:r>
              <w:rPr>
                <w:rFonts w:ascii="Cambria" w:hAnsi="Cambria"/>
                <w:b/>
              </w:rPr>
              <w:t>Marca/ Modelo</w:t>
            </w:r>
          </w:p>
        </w:tc>
        <w:tc>
          <w:tcPr>
            <w:tcW w:w="667" w:type="dxa"/>
            <w:shd w:val="clear" w:color="auto" w:fill="auto"/>
          </w:tcPr>
          <w:p w14:paraId="163E0410">
            <w:pPr>
              <w:spacing w:after="0" w:line="276" w:lineRule="auto"/>
              <w:ind w:right="-1"/>
              <w:jc w:val="center"/>
              <w:rPr>
                <w:rFonts w:ascii="Cambria" w:hAnsi="Cambria"/>
                <w:b/>
              </w:rPr>
            </w:pPr>
            <w:r>
              <w:rPr>
                <w:rFonts w:ascii="Cambria" w:hAnsi="Cambria"/>
                <w:b/>
              </w:rPr>
              <w:t>Qtd</w:t>
            </w:r>
          </w:p>
        </w:tc>
        <w:tc>
          <w:tcPr>
            <w:tcW w:w="993" w:type="dxa"/>
            <w:shd w:val="clear" w:color="auto" w:fill="auto"/>
          </w:tcPr>
          <w:p w14:paraId="642E92E8">
            <w:pPr>
              <w:spacing w:after="0" w:line="276" w:lineRule="auto"/>
              <w:ind w:right="-1"/>
              <w:jc w:val="center"/>
              <w:rPr>
                <w:rFonts w:ascii="Cambria" w:hAnsi="Cambria"/>
                <w:b/>
              </w:rPr>
            </w:pPr>
            <w:r>
              <w:rPr>
                <w:rFonts w:ascii="Cambria" w:hAnsi="Cambria"/>
                <w:b/>
              </w:rPr>
              <w:t>Und</w:t>
            </w:r>
          </w:p>
        </w:tc>
        <w:tc>
          <w:tcPr>
            <w:tcW w:w="1417" w:type="dxa"/>
            <w:shd w:val="clear" w:color="auto" w:fill="auto"/>
          </w:tcPr>
          <w:p w14:paraId="69C6B7DA">
            <w:pPr>
              <w:spacing w:after="0" w:line="276" w:lineRule="auto"/>
              <w:ind w:right="-1"/>
              <w:jc w:val="center"/>
              <w:rPr>
                <w:rFonts w:ascii="Cambria" w:hAnsi="Cambria"/>
                <w:b/>
              </w:rPr>
            </w:pPr>
            <w:r>
              <w:rPr>
                <w:rFonts w:ascii="Cambria" w:hAnsi="Cambria"/>
                <w:b/>
              </w:rPr>
              <w:t>Valor</w:t>
            </w:r>
          </w:p>
          <w:p w14:paraId="078823C7">
            <w:pPr>
              <w:spacing w:after="0" w:line="276" w:lineRule="auto"/>
              <w:ind w:right="-1"/>
              <w:jc w:val="center"/>
              <w:rPr>
                <w:rFonts w:ascii="Cambria" w:hAnsi="Cambria"/>
                <w:b/>
              </w:rPr>
            </w:pPr>
            <w:r>
              <w:rPr>
                <w:rFonts w:ascii="Cambria" w:hAnsi="Cambria"/>
                <w:b/>
              </w:rPr>
              <w:t>Unitário</w:t>
            </w:r>
          </w:p>
        </w:tc>
        <w:tc>
          <w:tcPr>
            <w:tcW w:w="1134" w:type="dxa"/>
            <w:shd w:val="clear" w:color="auto" w:fill="auto"/>
          </w:tcPr>
          <w:p w14:paraId="0CD14D42">
            <w:pPr>
              <w:spacing w:after="0" w:line="276" w:lineRule="auto"/>
              <w:ind w:right="-1"/>
              <w:jc w:val="center"/>
              <w:rPr>
                <w:rFonts w:ascii="Cambria" w:hAnsi="Cambria"/>
                <w:b/>
              </w:rPr>
            </w:pPr>
            <w:r>
              <w:rPr>
                <w:rFonts w:ascii="Cambria" w:hAnsi="Cambria"/>
                <w:b/>
              </w:rPr>
              <w:t>Valor Total</w:t>
            </w:r>
          </w:p>
        </w:tc>
      </w:tr>
      <w:tr w14:paraId="7F57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874" w:type="dxa"/>
            <w:shd w:val="clear" w:color="auto" w:fill="auto"/>
          </w:tcPr>
          <w:p w14:paraId="5478B47F">
            <w:pPr>
              <w:spacing w:after="0" w:line="276" w:lineRule="auto"/>
              <w:ind w:right="-1"/>
              <w:jc w:val="center"/>
              <w:rPr>
                <w:rFonts w:ascii="Cambria" w:hAnsi="Cambria"/>
              </w:rPr>
            </w:pPr>
          </w:p>
        </w:tc>
        <w:tc>
          <w:tcPr>
            <w:tcW w:w="3095" w:type="dxa"/>
            <w:shd w:val="clear" w:color="auto" w:fill="auto"/>
          </w:tcPr>
          <w:p w14:paraId="35B1400F">
            <w:pPr>
              <w:spacing w:before="240" w:after="0" w:line="276" w:lineRule="auto"/>
              <w:ind w:right="-1"/>
              <w:jc w:val="center"/>
              <w:rPr>
                <w:rFonts w:ascii="Cambria" w:hAnsi="Cambria"/>
              </w:rPr>
            </w:pPr>
          </w:p>
        </w:tc>
        <w:tc>
          <w:tcPr>
            <w:tcW w:w="1034" w:type="dxa"/>
            <w:shd w:val="clear" w:color="auto" w:fill="auto"/>
          </w:tcPr>
          <w:p w14:paraId="6BF343B5">
            <w:pPr>
              <w:spacing w:before="240" w:after="0" w:line="276" w:lineRule="auto"/>
              <w:ind w:right="-1"/>
              <w:jc w:val="center"/>
              <w:rPr>
                <w:rFonts w:ascii="Cambria" w:hAnsi="Cambria"/>
              </w:rPr>
            </w:pPr>
          </w:p>
        </w:tc>
        <w:tc>
          <w:tcPr>
            <w:tcW w:w="667" w:type="dxa"/>
            <w:shd w:val="clear" w:color="auto" w:fill="auto"/>
          </w:tcPr>
          <w:p w14:paraId="6E7962CC">
            <w:pPr>
              <w:spacing w:before="240" w:after="0" w:line="276" w:lineRule="auto"/>
              <w:ind w:right="-1"/>
              <w:jc w:val="center"/>
              <w:rPr>
                <w:rFonts w:ascii="Cambria" w:hAnsi="Cambria"/>
              </w:rPr>
            </w:pPr>
          </w:p>
        </w:tc>
        <w:tc>
          <w:tcPr>
            <w:tcW w:w="993" w:type="dxa"/>
            <w:shd w:val="clear" w:color="auto" w:fill="auto"/>
          </w:tcPr>
          <w:p w14:paraId="41D0299D">
            <w:pPr>
              <w:spacing w:before="240" w:after="0" w:line="276" w:lineRule="auto"/>
              <w:ind w:right="-1"/>
              <w:jc w:val="center"/>
              <w:rPr>
                <w:rFonts w:ascii="Cambria" w:hAnsi="Cambria"/>
              </w:rPr>
            </w:pPr>
          </w:p>
        </w:tc>
        <w:tc>
          <w:tcPr>
            <w:tcW w:w="1417" w:type="dxa"/>
            <w:shd w:val="clear" w:color="auto" w:fill="auto"/>
          </w:tcPr>
          <w:p w14:paraId="69D94F76">
            <w:pPr>
              <w:spacing w:before="240" w:after="0" w:line="276" w:lineRule="auto"/>
              <w:ind w:right="-1"/>
              <w:jc w:val="center"/>
              <w:rPr>
                <w:rFonts w:ascii="Cambria" w:hAnsi="Cambria"/>
              </w:rPr>
            </w:pPr>
          </w:p>
        </w:tc>
        <w:tc>
          <w:tcPr>
            <w:tcW w:w="1134" w:type="dxa"/>
            <w:shd w:val="clear" w:color="auto" w:fill="auto"/>
          </w:tcPr>
          <w:p w14:paraId="50CA637E">
            <w:pPr>
              <w:spacing w:before="240" w:after="0" w:line="276" w:lineRule="auto"/>
              <w:ind w:right="-1"/>
              <w:jc w:val="center"/>
              <w:rPr>
                <w:rFonts w:ascii="Cambria" w:hAnsi="Cambria"/>
              </w:rPr>
            </w:pPr>
          </w:p>
        </w:tc>
      </w:tr>
    </w:tbl>
    <w:p w14:paraId="63CAB2ED">
      <w:pPr>
        <w:spacing w:before="240" w:line="276" w:lineRule="auto"/>
        <w:ind w:right="-1" w:firstLine="567"/>
        <w:jc w:val="both"/>
        <w:rPr>
          <w:rFonts w:ascii="Cambria" w:hAnsi="Cambria" w:cs="Segoe UI"/>
          <w:b/>
        </w:rPr>
      </w:pPr>
      <w:r>
        <w:rPr>
          <w:rFonts w:ascii="Cambria" w:hAnsi="Cambria" w:cs="Segoe UI"/>
          <w:b/>
          <w:bCs/>
        </w:rPr>
        <w:t>I.</w:t>
      </w:r>
      <w:r>
        <w:rPr>
          <w:rFonts w:ascii="Cambria" w:hAnsi="Cambria" w:cs="Segoe UI"/>
        </w:rPr>
        <w:t xml:space="preserve"> Importa-se a presente licitação na importância total de </w:t>
      </w:r>
      <w:r>
        <w:rPr>
          <w:rFonts w:ascii="Cambria" w:hAnsi="Cambria" w:cs="Segoe UI"/>
          <w:b/>
        </w:rPr>
        <w:t>R$ _______ (____________).</w:t>
      </w:r>
    </w:p>
    <w:p w14:paraId="4DE75968">
      <w:pPr>
        <w:spacing w:before="240" w:after="240" w:afterLines="100" w:line="276" w:lineRule="auto"/>
        <w:ind w:right="-1" w:firstLine="567"/>
        <w:jc w:val="both"/>
        <w:rPr>
          <w:rFonts w:ascii="Cambria" w:hAnsi="Cambria"/>
        </w:rPr>
      </w:pPr>
      <w:r>
        <w:rPr>
          <w:rFonts w:ascii="Cambria" w:hAnsi="Cambria"/>
          <w:b/>
          <w:bCs/>
        </w:rPr>
        <w:t>II.</w:t>
      </w:r>
      <w:r>
        <w:rPr>
          <w:rFonts w:ascii="Cambria" w:hAnsi="Cambria"/>
        </w:rPr>
        <w:t xml:space="preserve"> A listagem do cadastro reserva referente ao presente registro consta no Anexo Único da presente Ata de Registro de Preços.</w:t>
      </w:r>
    </w:p>
    <w:p w14:paraId="4C0E68B6">
      <w:pPr>
        <w:pStyle w:val="14"/>
        <w:pBdr>
          <w:top w:val="single" w:color="auto" w:sz="4" w:space="1"/>
          <w:left w:val="single" w:color="auto" w:sz="4" w:space="4"/>
          <w:bottom w:val="single" w:color="auto" w:sz="4" w:space="1"/>
          <w:right w:val="single" w:color="auto" w:sz="4" w:space="4"/>
        </w:pBdr>
        <w:shd w:val="clear" w:color="auto" w:fill="D8D8D8" w:themeFill="background1" w:themeFillShade="D9"/>
        <w:tabs>
          <w:tab w:val="left" w:pos="708"/>
          <w:tab w:val="left" w:pos="1701"/>
        </w:tabs>
        <w:spacing w:before="240" w:line="276" w:lineRule="auto"/>
        <w:jc w:val="both"/>
        <w:rPr>
          <w:rFonts w:ascii="Cambria" w:hAnsi="Cambria"/>
          <w:b/>
          <w:bCs/>
        </w:rPr>
      </w:pPr>
      <w:r>
        <w:rPr>
          <w:rFonts w:ascii="Cambria" w:hAnsi="Cambria"/>
          <w:b/>
        </w:rPr>
        <w:t xml:space="preserve">DA </w:t>
      </w:r>
      <w:r>
        <w:rPr>
          <w:rFonts w:ascii="Cambria" w:hAnsi="Cambria"/>
          <w:b/>
          <w:bCs/>
        </w:rPr>
        <w:t>DOTAÇÃO E RECURSOS</w:t>
      </w:r>
    </w:p>
    <w:p w14:paraId="5FD3E029">
      <w:pPr>
        <w:tabs>
          <w:tab w:val="left" w:pos="1701"/>
        </w:tabs>
        <w:spacing w:before="240" w:after="240" w:line="276" w:lineRule="auto"/>
        <w:jc w:val="both"/>
        <w:rPr>
          <w:rFonts w:ascii="Cambria" w:hAnsi="Cambria"/>
        </w:rPr>
      </w:pPr>
      <w:r>
        <w:rPr>
          <w:rFonts w:ascii="Cambria" w:hAnsi="Cambria"/>
          <w:b/>
        </w:rPr>
        <w:t>CLÁUSULA TERCEIRA:</w:t>
      </w:r>
      <w:r>
        <w:rPr>
          <w:rFonts w:ascii="Cambria" w:hAnsi="Cambria"/>
        </w:rPr>
        <w:t xml:space="preserve"> As despesas decorrentes da aquisição do objeto desta Ata de Registro de Preços correrão à conta dos recursos das dotações orçamentárias afeta aos órgãos do Fundo Municipal de Saúde de Piracanjuba/GO, a saber:</w:t>
      </w:r>
    </w:p>
    <w:tbl>
      <w:tblPr>
        <w:tblStyle w:val="4"/>
        <w:tblW w:w="921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1"/>
        <w:gridCol w:w="5953"/>
      </w:tblGrid>
      <w:tr w14:paraId="38C0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0E0AB64B">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Centro de Custo</w:t>
            </w:r>
          </w:p>
        </w:tc>
        <w:tc>
          <w:tcPr>
            <w:tcW w:w="5953" w:type="dxa"/>
            <w:vAlign w:val="center"/>
          </w:tcPr>
          <w:p w14:paraId="4C000B5A">
            <w:pPr>
              <w:tabs>
                <w:tab w:val="left" w:pos="1701"/>
              </w:tabs>
              <w:spacing w:after="0" w:line="240" w:lineRule="auto"/>
              <w:jc w:val="center"/>
              <w:rPr>
                <w:rFonts w:ascii="Cambria" w:hAnsi="Cambria"/>
              </w:rPr>
            </w:pPr>
            <w:r>
              <w:rPr>
                <w:rFonts w:ascii="Cambria" w:hAnsi="Cambria"/>
              </w:rPr>
              <w:t>55.01.00000</w:t>
            </w:r>
          </w:p>
        </w:tc>
      </w:tr>
      <w:tr w14:paraId="13A6E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4365140C">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Função/ Programa/ Ação</w:t>
            </w:r>
          </w:p>
        </w:tc>
        <w:tc>
          <w:tcPr>
            <w:tcW w:w="5953" w:type="dxa"/>
            <w:vAlign w:val="center"/>
          </w:tcPr>
          <w:p w14:paraId="17BEF417">
            <w:pPr>
              <w:tabs>
                <w:tab w:val="left" w:pos="1701"/>
              </w:tabs>
              <w:spacing w:after="0" w:line="240" w:lineRule="auto"/>
              <w:jc w:val="center"/>
              <w:rPr>
                <w:rFonts w:ascii="Cambria" w:hAnsi="Cambria"/>
              </w:rPr>
            </w:pPr>
            <w:r>
              <w:rPr>
                <w:rFonts w:ascii="Cambria" w:hAnsi="Cambria"/>
              </w:rPr>
              <w:t>55.01.10.122.1007.2037</w:t>
            </w:r>
          </w:p>
        </w:tc>
      </w:tr>
      <w:tr w14:paraId="663B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04FDAF7D">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Elemento</w:t>
            </w:r>
          </w:p>
        </w:tc>
        <w:tc>
          <w:tcPr>
            <w:tcW w:w="5953" w:type="dxa"/>
            <w:vAlign w:val="center"/>
          </w:tcPr>
          <w:p w14:paraId="1342015D">
            <w:pPr>
              <w:tabs>
                <w:tab w:val="left" w:pos="1701"/>
              </w:tabs>
              <w:spacing w:after="0" w:line="240" w:lineRule="auto"/>
              <w:jc w:val="center"/>
              <w:rPr>
                <w:rFonts w:ascii="Cambria" w:hAnsi="Cambria"/>
              </w:rPr>
            </w:pPr>
            <w:r>
              <w:rPr>
                <w:rFonts w:ascii="Cambria" w:hAnsi="Cambria"/>
              </w:rPr>
              <w:t>3.3.90.30 – Material de Consumo</w:t>
            </w:r>
          </w:p>
        </w:tc>
      </w:tr>
      <w:tr w14:paraId="302B6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037CB9E0">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Subelemento</w:t>
            </w:r>
          </w:p>
        </w:tc>
        <w:tc>
          <w:tcPr>
            <w:tcW w:w="5953" w:type="dxa"/>
            <w:vAlign w:val="center"/>
          </w:tcPr>
          <w:p w14:paraId="62F36B9D">
            <w:pPr>
              <w:tabs>
                <w:tab w:val="left" w:pos="1701"/>
              </w:tabs>
              <w:spacing w:after="0" w:line="240" w:lineRule="auto"/>
              <w:jc w:val="center"/>
              <w:rPr>
                <w:rFonts w:ascii="Cambria" w:hAnsi="Cambria"/>
              </w:rPr>
            </w:pPr>
            <w:r>
              <w:rPr>
                <w:rFonts w:ascii="Cambria" w:hAnsi="Cambria"/>
              </w:rPr>
              <w:t>9 – Medicamentos</w:t>
            </w:r>
          </w:p>
          <w:p w14:paraId="2F744A71">
            <w:pPr>
              <w:tabs>
                <w:tab w:val="left" w:pos="1701"/>
              </w:tabs>
              <w:spacing w:after="0" w:line="240" w:lineRule="auto"/>
              <w:jc w:val="center"/>
              <w:rPr>
                <w:rFonts w:ascii="Cambria" w:hAnsi="Cambria"/>
              </w:rPr>
            </w:pPr>
            <w:r>
              <w:rPr>
                <w:rFonts w:ascii="Cambria" w:hAnsi="Cambria"/>
              </w:rPr>
              <w:t>35 – Material Laboratorial</w:t>
            </w:r>
          </w:p>
          <w:p w14:paraId="1B5893D1">
            <w:pPr>
              <w:tabs>
                <w:tab w:val="left" w:pos="1701"/>
              </w:tabs>
              <w:spacing w:after="0" w:line="240" w:lineRule="auto"/>
              <w:jc w:val="center"/>
              <w:rPr>
                <w:rFonts w:ascii="Cambria" w:hAnsi="Cambria"/>
              </w:rPr>
            </w:pPr>
            <w:r>
              <w:rPr>
                <w:rFonts w:ascii="Cambria" w:hAnsi="Cambria"/>
              </w:rPr>
              <w:t>36 – Material Hospitalar</w:t>
            </w:r>
          </w:p>
        </w:tc>
      </w:tr>
      <w:tr w14:paraId="55767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0C01A792">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Ficha/ Fonte</w:t>
            </w:r>
          </w:p>
        </w:tc>
        <w:tc>
          <w:tcPr>
            <w:tcW w:w="5953" w:type="dxa"/>
            <w:vAlign w:val="center"/>
          </w:tcPr>
          <w:p w14:paraId="3686339A">
            <w:pPr>
              <w:tabs>
                <w:tab w:val="left" w:pos="1701"/>
              </w:tabs>
              <w:spacing w:after="0" w:line="240" w:lineRule="auto"/>
              <w:jc w:val="center"/>
              <w:rPr>
                <w:rFonts w:ascii="Cambria" w:hAnsi="Cambria"/>
              </w:rPr>
            </w:pPr>
            <w:r>
              <w:rPr>
                <w:rFonts w:ascii="Cambria" w:hAnsi="Cambria"/>
              </w:rPr>
              <w:t>437.102.0</w:t>
            </w:r>
          </w:p>
        </w:tc>
      </w:tr>
      <w:tr w14:paraId="45D1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4" w:type="dxa"/>
            <w:gridSpan w:val="2"/>
            <w:shd w:val="clear" w:color="auto" w:fill="D8D8D8" w:themeFill="background1" w:themeFillShade="D9"/>
            <w:vAlign w:val="center"/>
          </w:tcPr>
          <w:p w14:paraId="3BE11AE6">
            <w:pPr>
              <w:tabs>
                <w:tab w:val="left" w:pos="1701"/>
              </w:tabs>
              <w:spacing w:after="0" w:line="240" w:lineRule="auto"/>
              <w:jc w:val="center"/>
              <w:rPr>
                <w:rFonts w:ascii="Cambria" w:hAnsi="Cambria"/>
              </w:rPr>
            </w:pPr>
          </w:p>
        </w:tc>
      </w:tr>
      <w:tr w14:paraId="503B2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1C1681CC">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Centro de Custo</w:t>
            </w:r>
          </w:p>
        </w:tc>
        <w:tc>
          <w:tcPr>
            <w:tcW w:w="5953" w:type="dxa"/>
            <w:vAlign w:val="center"/>
          </w:tcPr>
          <w:p w14:paraId="267E2416">
            <w:pPr>
              <w:tabs>
                <w:tab w:val="left" w:pos="1701"/>
              </w:tabs>
              <w:spacing w:after="0" w:line="240" w:lineRule="auto"/>
              <w:jc w:val="center"/>
              <w:rPr>
                <w:rFonts w:ascii="Cambria" w:hAnsi="Cambria"/>
              </w:rPr>
            </w:pPr>
            <w:r>
              <w:rPr>
                <w:rFonts w:ascii="Cambria" w:hAnsi="Cambria"/>
              </w:rPr>
              <w:t>55.04.00000</w:t>
            </w:r>
          </w:p>
        </w:tc>
      </w:tr>
      <w:tr w14:paraId="7F89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07D0B877">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Função/ Programa/ Ação</w:t>
            </w:r>
          </w:p>
        </w:tc>
        <w:tc>
          <w:tcPr>
            <w:tcW w:w="5953" w:type="dxa"/>
            <w:vAlign w:val="center"/>
          </w:tcPr>
          <w:p w14:paraId="6D415C95">
            <w:pPr>
              <w:tabs>
                <w:tab w:val="left" w:pos="1701"/>
              </w:tabs>
              <w:spacing w:after="0" w:line="240" w:lineRule="auto"/>
              <w:jc w:val="center"/>
              <w:rPr>
                <w:rFonts w:ascii="Cambria" w:hAnsi="Cambria"/>
              </w:rPr>
            </w:pPr>
            <w:r>
              <w:rPr>
                <w:rFonts w:ascii="Cambria" w:hAnsi="Cambria"/>
              </w:rPr>
              <w:t>55.01.10.301.1007.2039</w:t>
            </w:r>
          </w:p>
        </w:tc>
      </w:tr>
      <w:tr w14:paraId="0B781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61795C13">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Elemento</w:t>
            </w:r>
          </w:p>
        </w:tc>
        <w:tc>
          <w:tcPr>
            <w:tcW w:w="5953" w:type="dxa"/>
            <w:vAlign w:val="center"/>
          </w:tcPr>
          <w:p w14:paraId="07CE2BEF">
            <w:pPr>
              <w:tabs>
                <w:tab w:val="left" w:pos="1701"/>
              </w:tabs>
              <w:spacing w:after="0" w:line="240" w:lineRule="auto"/>
              <w:jc w:val="center"/>
              <w:rPr>
                <w:rFonts w:ascii="Cambria" w:hAnsi="Cambria"/>
              </w:rPr>
            </w:pPr>
            <w:r>
              <w:rPr>
                <w:rFonts w:ascii="Cambria" w:hAnsi="Cambria"/>
              </w:rPr>
              <w:t>3.3.90.30 – Material de Consumo</w:t>
            </w:r>
          </w:p>
        </w:tc>
      </w:tr>
      <w:tr w14:paraId="66E8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1987C2D0">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Subelemento</w:t>
            </w:r>
          </w:p>
        </w:tc>
        <w:tc>
          <w:tcPr>
            <w:tcW w:w="5953" w:type="dxa"/>
            <w:vAlign w:val="center"/>
          </w:tcPr>
          <w:p w14:paraId="08496900">
            <w:pPr>
              <w:tabs>
                <w:tab w:val="left" w:pos="1701"/>
              </w:tabs>
              <w:spacing w:after="0" w:line="240" w:lineRule="auto"/>
              <w:jc w:val="center"/>
              <w:rPr>
                <w:rFonts w:ascii="Cambria" w:hAnsi="Cambria"/>
              </w:rPr>
            </w:pPr>
            <w:r>
              <w:rPr>
                <w:rFonts w:ascii="Cambria" w:hAnsi="Cambria"/>
              </w:rPr>
              <w:t>9 – Medicamentos</w:t>
            </w:r>
          </w:p>
          <w:p w14:paraId="034DEAC3">
            <w:pPr>
              <w:tabs>
                <w:tab w:val="left" w:pos="1701"/>
              </w:tabs>
              <w:spacing w:after="0" w:line="240" w:lineRule="auto"/>
              <w:jc w:val="center"/>
              <w:rPr>
                <w:rFonts w:ascii="Cambria" w:hAnsi="Cambria"/>
              </w:rPr>
            </w:pPr>
            <w:r>
              <w:rPr>
                <w:rFonts w:ascii="Cambria" w:hAnsi="Cambria"/>
              </w:rPr>
              <w:t>35 – Material Laboratorial</w:t>
            </w:r>
          </w:p>
          <w:p w14:paraId="5F33F26F">
            <w:pPr>
              <w:tabs>
                <w:tab w:val="left" w:pos="1701"/>
              </w:tabs>
              <w:spacing w:after="0" w:line="240" w:lineRule="auto"/>
              <w:jc w:val="center"/>
              <w:rPr>
                <w:rFonts w:ascii="Cambria" w:hAnsi="Cambria"/>
              </w:rPr>
            </w:pPr>
            <w:r>
              <w:rPr>
                <w:rFonts w:ascii="Cambria" w:hAnsi="Cambria"/>
              </w:rPr>
              <w:t>36 – Material Hospitalar</w:t>
            </w:r>
          </w:p>
        </w:tc>
      </w:tr>
      <w:tr w14:paraId="743B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011C4E77">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Ficha/ Fonte</w:t>
            </w:r>
          </w:p>
        </w:tc>
        <w:tc>
          <w:tcPr>
            <w:tcW w:w="5953" w:type="dxa"/>
            <w:vAlign w:val="center"/>
          </w:tcPr>
          <w:p w14:paraId="35FADEA2">
            <w:pPr>
              <w:tabs>
                <w:tab w:val="left" w:pos="1701"/>
              </w:tabs>
              <w:spacing w:after="0" w:line="240" w:lineRule="auto"/>
              <w:jc w:val="center"/>
              <w:rPr>
                <w:rFonts w:ascii="Cambria" w:hAnsi="Cambria"/>
              </w:rPr>
            </w:pPr>
            <w:r>
              <w:rPr>
                <w:rFonts w:ascii="Cambria" w:hAnsi="Cambria"/>
              </w:rPr>
              <w:t>478.107.8</w:t>
            </w:r>
          </w:p>
        </w:tc>
      </w:tr>
      <w:tr w14:paraId="6BAB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4" w:type="dxa"/>
            <w:gridSpan w:val="2"/>
            <w:shd w:val="clear" w:color="auto" w:fill="D8D8D8" w:themeFill="background1" w:themeFillShade="D9"/>
            <w:vAlign w:val="center"/>
          </w:tcPr>
          <w:p w14:paraId="31FDAB90">
            <w:pPr>
              <w:tabs>
                <w:tab w:val="left" w:pos="1701"/>
              </w:tabs>
              <w:spacing w:after="0" w:line="240" w:lineRule="auto"/>
              <w:jc w:val="center"/>
              <w:rPr>
                <w:rFonts w:ascii="Cambria" w:hAnsi="Cambria"/>
              </w:rPr>
            </w:pPr>
          </w:p>
        </w:tc>
      </w:tr>
      <w:tr w14:paraId="34A71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2C56453E">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Centro de Custo</w:t>
            </w:r>
          </w:p>
        </w:tc>
        <w:tc>
          <w:tcPr>
            <w:tcW w:w="5953" w:type="dxa"/>
            <w:vAlign w:val="center"/>
          </w:tcPr>
          <w:p w14:paraId="04AB2495">
            <w:pPr>
              <w:tabs>
                <w:tab w:val="left" w:pos="1701"/>
              </w:tabs>
              <w:spacing w:after="0" w:line="240" w:lineRule="auto"/>
              <w:jc w:val="center"/>
              <w:rPr>
                <w:rFonts w:ascii="Cambria" w:hAnsi="Cambria"/>
              </w:rPr>
            </w:pPr>
            <w:r>
              <w:rPr>
                <w:rFonts w:ascii="Cambria" w:hAnsi="Cambria"/>
              </w:rPr>
              <w:t>55.03.00000</w:t>
            </w:r>
          </w:p>
        </w:tc>
      </w:tr>
      <w:tr w14:paraId="17F6D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0A6D7463">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Função/ Programa/ Ação</w:t>
            </w:r>
          </w:p>
        </w:tc>
        <w:tc>
          <w:tcPr>
            <w:tcW w:w="5953" w:type="dxa"/>
            <w:vAlign w:val="center"/>
          </w:tcPr>
          <w:p w14:paraId="2416C100">
            <w:pPr>
              <w:tabs>
                <w:tab w:val="left" w:pos="1701"/>
              </w:tabs>
              <w:spacing w:after="0" w:line="240" w:lineRule="auto"/>
              <w:jc w:val="center"/>
              <w:rPr>
                <w:rFonts w:ascii="Cambria" w:hAnsi="Cambria"/>
              </w:rPr>
            </w:pPr>
            <w:r>
              <w:rPr>
                <w:rFonts w:ascii="Cambria" w:hAnsi="Cambria"/>
              </w:rPr>
              <w:t>55.01.10.302.1007.2040</w:t>
            </w:r>
          </w:p>
        </w:tc>
      </w:tr>
      <w:tr w14:paraId="773BF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73C81D0F">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Elemento</w:t>
            </w:r>
          </w:p>
        </w:tc>
        <w:tc>
          <w:tcPr>
            <w:tcW w:w="5953" w:type="dxa"/>
            <w:vAlign w:val="center"/>
          </w:tcPr>
          <w:p w14:paraId="5F0FABBA">
            <w:pPr>
              <w:tabs>
                <w:tab w:val="left" w:pos="1701"/>
              </w:tabs>
              <w:spacing w:after="0" w:line="240" w:lineRule="auto"/>
              <w:jc w:val="center"/>
              <w:rPr>
                <w:rFonts w:ascii="Cambria" w:hAnsi="Cambria"/>
              </w:rPr>
            </w:pPr>
            <w:r>
              <w:rPr>
                <w:rFonts w:ascii="Cambria" w:hAnsi="Cambria"/>
              </w:rPr>
              <w:t>3.3.90.30 – Material de Consumo</w:t>
            </w:r>
          </w:p>
        </w:tc>
      </w:tr>
      <w:tr w14:paraId="4D44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51CC9912">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Subelemento</w:t>
            </w:r>
          </w:p>
        </w:tc>
        <w:tc>
          <w:tcPr>
            <w:tcW w:w="5953" w:type="dxa"/>
            <w:vAlign w:val="center"/>
          </w:tcPr>
          <w:p w14:paraId="31191A7C">
            <w:pPr>
              <w:tabs>
                <w:tab w:val="left" w:pos="1701"/>
              </w:tabs>
              <w:spacing w:after="0" w:line="240" w:lineRule="auto"/>
              <w:jc w:val="center"/>
              <w:rPr>
                <w:rFonts w:ascii="Cambria" w:hAnsi="Cambria"/>
              </w:rPr>
            </w:pPr>
            <w:r>
              <w:rPr>
                <w:rFonts w:ascii="Cambria" w:hAnsi="Cambria"/>
              </w:rPr>
              <w:t>9 – Medicamentos</w:t>
            </w:r>
          </w:p>
          <w:p w14:paraId="2B19E3CF">
            <w:pPr>
              <w:tabs>
                <w:tab w:val="left" w:pos="1701"/>
              </w:tabs>
              <w:spacing w:after="0" w:line="240" w:lineRule="auto"/>
              <w:jc w:val="center"/>
              <w:rPr>
                <w:rFonts w:ascii="Cambria" w:hAnsi="Cambria"/>
              </w:rPr>
            </w:pPr>
            <w:r>
              <w:rPr>
                <w:rFonts w:ascii="Cambria" w:hAnsi="Cambria"/>
              </w:rPr>
              <w:t>35 – Material Laboratorial</w:t>
            </w:r>
          </w:p>
          <w:p w14:paraId="1B455118">
            <w:pPr>
              <w:tabs>
                <w:tab w:val="left" w:pos="1701"/>
              </w:tabs>
              <w:spacing w:after="0" w:line="240" w:lineRule="auto"/>
              <w:jc w:val="center"/>
              <w:rPr>
                <w:rFonts w:ascii="Cambria" w:hAnsi="Cambria"/>
              </w:rPr>
            </w:pPr>
            <w:r>
              <w:rPr>
                <w:rFonts w:ascii="Cambria" w:hAnsi="Cambria"/>
              </w:rPr>
              <w:t>36 – Material Hospitalar</w:t>
            </w:r>
          </w:p>
        </w:tc>
      </w:tr>
      <w:tr w14:paraId="4A56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65192FF1">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Ficha/ Fonte</w:t>
            </w:r>
          </w:p>
        </w:tc>
        <w:tc>
          <w:tcPr>
            <w:tcW w:w="5953" w:type="dxa"/>
            <w:vAlign w:val="center"/>
          </w:tcPr>
          <w:p w14:paraId="12510C6A">
            <w:pPr>
              <w:tabs>
                <w:tab w:val="left" w:pos="1701"/>
              </w:tabs>
              <w:spacing w:after="0" w:line="240" w:lineRule="auto"/>
              <w:jc w:val="center"/>
              <w:rPr>
                <w:rFonts w:ascii="Cambria" w:hAnsi="Cambria"/>
              </w:rPr>
            </w:pPr>
            <w:r>
              <w:rPr>
                <w:rFonts w:ascii="Cambria" w:hAnsi="Cambria"/>
              </w:rPr>
              <w:t>491.102.0/ 107.0/ 107.20</w:t>
            </w:r>
          </w:p>
        </w:tc>
      </w:tr>
      <w:tr w14:paraId="1B59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4" w:type="dxa"/>
            <w:gridSpan w:val="2"/>
            <w:shd w:val="clear" w:color="auto" w:fill="D8D8D8" w:themeFill="background1" w:themeFillShade="D9"/>
            <w:vAlign w:val="center"/>
          </w:tcPr>
          <w:p w14:paraId="622AB470">
            <w:pPr>
              <w:tabs>
                <w:tab w:val="left" w:pos="1701"/>
              </w:tabs>
              <w:spacing w:after="0" w:line="240" w:lineRule="auto"/>
              <w:jc w:val="center"/>
              <w:rPr>
                <w:rFonts w:ascii="Cambria" w:hAnsi="Cambria"/>
              </w:rPr>
            </w:pPr>
          </w:p>
        </w:tc>
      </w:tr>
      <w:tr w14:paraId="5F52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4122BD4D">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Centro de Custo</w:t>
            </w:r>
          </w:p>
        </w:tc>
        <w:tc>
          <w:tcPr>
            <w:tcW w:w="5953" w:type="dxa"/>
            <w:vAlign w:val="center"/>
          </w:tcPr>
          <w:p w14:paraId="6CC5120E">
            <w:pPr>
              <w:tabs>
                <w:tab w:val="left" w:pos="1701"/>
              </w:tabs>
              <w:spacing w:after="0" w:line="240" w:lineRule="auto"/>
              <w:jc w:val="center"/>
              <w:rPr>
                <w:rFonts w:ascii="Cambria" w:hAnsi="Cambria"/>
              </w:rPr>
            </w:pPr>
            <w:r>
              <w:rPr>
                <w:rFonts w:ascii="Cambria" w:hAnsi="Cambria"/>
              </w:rPr>
              <w:t>55.03.00000</w:t>
            </w:r>
          </w:p>
        </w:tc>
      </w:tr>
      <w:tr w14:paraId="0756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7D722088">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Função/ Programa/ Ação</w:t>
            </w:r>
          </w:p>
        </w:tc>
        <w:tc>
          <w:tcPr>
            <w:tcW w:w="5953" w:type="dxa"/>
            <w:vAlign w:val="center"/>
          </w:tcPr>
          <w:p w14:paraId="1E56E9DC">
            <w:pPr>
              <w:tabs>
                <w:tab w:val="left" w:pos="1701"/>
              </w:tabs>
              <w:spacing w:after="0" w:line="240" w:lineRule="auto"/>
              <w:jc w:val="center"/>
              <w:rPr>
                <w:rFonts w:ascii="Cambria" w:hAnsi="Cambria"/>
              </w:rPr>
            </w:pPr>
            <w:r>
              <w:rPr>
                <w:rFonts w:ascii="Cambria" w:hAnsi="Cambria"/>
              </w:rPr>
              <w:t>55.01.10.303.1007.2041</w:t>
            </w:r>
          </w:p>
        </w:tc>
      </w:tr>
      <w:tr w14:paraId="59F0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168D9CC3">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Elemento</w:t>
            </w:r>
          </w:p>
        </w:tc>
        <w:tc>
          <w:tcPr>
            <w:tcW w:w="5953" w:type="dxa"/>
            <w:vAlign w:val="center"/>
          </w:tcPr>
          <w:p w14:paraId="51C3A727">
            <w:pPr>
              <w:tabs>
                <w:tab w:val="left" w:pos="1701"/>
              </w:tabs>
              <w:spacing w:after="0" w:line="240" w:lineRule="auto"/>
              <w:jc w:val="center"/>
              <w:rPr>
                <w:rFonts w:ascii="Cambria" w:hAnsi="Cambria"/>
              </w:rPr>
            </w:pPr>
            <w:r>
              <w:rPr>
                <w:rFonts w:ascii="Cambria" w:hAnsi="Cambria"/>
              </w:rPr>
              <w:t>3.3.90.30 – Material de Consumo</w:t>
            </w:r>
          </w:p>
        </w:tc>
      </w:tr>
      <w:tr w14:paraId="505D2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73BFD7D2">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Subelemento</w:t>
            </w:r>
          </w:p>
        </w:tc>
        <w:tc>
          <w:tcPr>
            <w:tcW w:w="5953" w:type="dxa"/>
            <w:vAlign w:val="center"/>
          </w:tcPr>
          <w:p w14:paraId="21C78555">
            <w:pPr>
              <w:tabs>
                <w:tab w:val="left" w:pos="1701"/>
              </w:tabs>
              <w:spacing w:after="0" w:line="240" w:lineRule="auto"/>
              <w:jc w:val="center"/>
              <w:rPr>
                <w:rFonts w:ascii="Cambria" w:hAnsi="Cambria"/>
              </w:rPr>
            </w:pPr>
            <w:r>
              <w:rPr>
                <w:rFonts w:ascii="Cambria" w:hAnsi="Cambria"/>
              </w:rPr>
              <w:t>9 – Medicamentos</w:t>
            </w:r>
          </w:p>
          <w:p w14:paraId="7E52D309">
            <w:pPr>
              <w:tabs>
                <w:tab w:val="left" w:pos="1701"/>
              </w:tabs>
              <w:spacing w:after="0" w:line="240" w:lineRule="auto"/>
              <w:jc w:val="center"/>
              <w:rPr>
                <w:rFonts w:ascii="Cambria" w:hAnsi="Cambria"/>
              </w:rPr>
            </w:pPr>
            <w:r>
              <w:rPr>
                <w:rFonts w:ascii="Cambria" w:hAnsi="Cambria"/>
              </w:rPr>
              <w:t>35 – Material Laboratorial</w:t>
            </w:r>
          </w:p>
          <w:p w14:paraId="4A76F336">
            <w:pPr>
              <w:tabs>
                <w:tab w:val="left" w:pos="1701"/>
              </w:tabs>
              <w:spacing w:after="0" w:line="240" w:lineRule="auto"/>
              <w:jc w:val="center"/>
              <w:rPr>
                <w:rFonts w:ascii="Cambria" w:hAnsi="Cambria"/>
              </w:rPr>
            </w:pPr>
            <w:r>
              <w:rPr>
                <w:rFonts w:ascii="Cambria" w:hAnsi="Cambria"/>
              </w:rPr>
              <w:t>36 – Material Hospitalar</w:t>
            </w:r>
          </w:p>
        </w:tc>
      </w:tr>
      <w:tr w14:paraId="61B0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213AC9F9">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Ficha/ Fonte</w:t>
            </w:r>
          </w:p>
        </w:tc>
        <w:tc>
          <w:tcPr>
            <w:tcW w:w="5953" w:type="dxa"/>
            <w:vAlign w:val="center"/>
          </w:tcPr>
          <w:p w14:paraId="676325DA">
            <w:pPr>
              <w:tabs>
                <w:tab w:val="left" w:pos="1701"/>
              </w:tabs>
              <w:spacing w:after="0" w:line="240" w:lineRule="auto"/>
              <w:jc w:val="center"/>
              <w:rPr>
                <w:rFonts w:ascii="Cambria" w:hAnsi="Cambria"/>
              </w:rPr>
            </w:pPr>
            <w:r>
              <w:rPr>
                <w:rFonts w:ascii="Cambria" w:hAnsi="Cambria"/>
              </w:rPr>
              <w:t>497.107.13</w:t>
            </w:r>
          </w:p>
        </w:tc>
      </w:tr>
      <w:tr w14:paraId="44250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4" w:type="dxa"/>
            <w:gridSpan w:val="2"/>
            <w:shd w:val="clear" w:color="auto" w:fill="D8D8D8" w:themeFill="background1" w:themeFillShade="D9"/>
            <w:vAlign w:val="center"/>
          </w:tcPr>
          <w:p w14:paraId="3BABAD53">
            <w:pPr>
              <w:tabs>
                <w:tab w:val="left" w:pos="1701"/>
              </w:tabs>
              <w:spacing w:after="0" w:line="240" w:lineRule="auto"/>
              <w:jc w:val="center"/>
              <w:rPr>
                <w:rFonts w:ascii="Cambria" w:hAnsi="Cambria"/>
              </w:rPr>
            </w:pPr>
          </w:p>
        </w:tc>
      </w:tr>
      <w:tr w14:paraId="6935D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5CAB7F40">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Centro de Custo</w:t>
            </w:r>
          </w:p>
        </w:tc>
        <w:tc>
          <w:tcPr>
            <w:tcW w:w="5953" w:type="dxa"/>
            <w:vAlign w:val="center"/>
          </w:tcPr>
          <w:p w14:paraId="3A3DA027">
            <w:pPr>
              <w:tabs>
                <w:tab w:val="left" w:pos="1701"/>
              </w:tabs>
              <w:spacing w:after="0" w:line="240" w:lineRule="auto"/>
              <w:jc w:val="center"/>
              <w:rPr>
                <w:rFonts w:ascii="Cambria" w:hAnsi="Cambria"/>
              </w:rPr>
            </w:pPr>
            <w:r>
              <w:rPr>
                <w:rFonts w:ascii="Cambria" w:hAnsi="Cambria"/>
              </w:rPr>
              <w:t>55.02.00000</w:t>
            </w:r>
          </w:p>
        </w:tc>
      </w:tr>
      <w:tr w14:paraId="54B6E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50F46654">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Função/ Programa/ Ação</w:t>
            </w:r>
          </w:p>
        </w:tc>
        <w:tc>
          <w:tcPr>
            <w:tcW w:w="5953" w:type="dxa"/>
            <w:vAlign w:val="center"/>
          </w:tcPr>
          <w:p w14:paraId="4B0688B2">
            <w:pPr>
              <w:tabs>
                <w:tab w:val="left" w:pos="1701"/>
              </w:tabs>
              <w:spacing w:after="0" w:line="240" w:lineRule="auto"/>
              <w:jc w:val="center"/>
              <w:rPr>
                <w:rFonts w:ascii="Cambria" w:hAnsi="Cambria"/>
              </w:rPr>
            </w:pPr>
            <w:r>
              <w:rPr>
                <w:rFonts w:ascii="Cambria" w:hAnsi="Cambria"/>
              </w:rPr>
              <w:t>55.01.10.304.1007.2042</w:t>
            </w:r>
          </w:p>
        </w:tc>
      </w:tr>
      <w:tr w14:paraId="110C2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0811063D">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Elemento</w:t>
            </w:r>
          </w:p>
        </w:tc>
        <w:tc>
          <w:tcPr>
            <w:tcW w:w="5953" w:type="dxa"/>
            <w:vAlign w:val="center"/>
          </w:tcPr>
          <w:p w14:paraId="1029075D">
            <w:pPr>
              <w:tabs>
                <w:tab w:val="left" w:pos="1701"/>
              </w:tabs>
              <w:spacing w:after="0" w:line="240" w:lineRule="auto"/>
              <w:jc w:val="center"/>
              <w:rPr>
                <w:rFonts w:ascii="Cambria" w:hAnsi="Cambria"/>
              </w:rPr>
            </w:pPr>
            <w:r>
              <w:rPr>
                <w:rFonts w:ascii="Cambria" w:hAnsi="Cambria"/>
              </w:rPr>
              <w:t>3.3.90.30 – Material de Consumo</w:t>
            </w:r>
          </w:p>
        </w:tc>
      </w:tr>
      <w:tr w14:paraId="74F5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1B23D458">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Subelemento</w:t>
            </w:r>
          </w:p>
        </w:tc>
        <w:tc>
          <w:tcPr>
            <w:tcW w:w="5953" w:type="dxa"/>
            <w:vAlign w:val="center"/>
          </w:tcPr>
          <w:p w14:paraId="4895E472">
            <w:pPr>
              <w:tabs>
                <w:tab w:val="left" w:pos="1701"/>
              </w:tabs>
              <w:spacing w:after="0" w:line="240" w:lineRule="auto"/>
              <w:jc w:val="center"/>
              <w:rPr>
                <w:rFonts w:ascii="Cambria" w:hAnsi="Cambria"/>
              </w:rPr>
            </w:pPr>
            <w:r>
              <w:rPr>
                <w:rFonts w:ascii="Cambria" w:hAnsi="Cambria"/>
              </w:rPr>
              <w:t>9 – Medicamentos</w:t>
            </w:r>
          </w:p>
          <w:p w14:paraId="3969D742">
            <w:pPr>
              <w:tabs>
                <w:tab w:val="left" w:pos="1701"/>
              </w:tabs>
              <w:spacing w:after="0" w:line="240" w:lineRule="auto"/>
              <w:jc w:val="center"/>
              <w:rPr>
                <w:rFonts w:ascii="Cambria" w:hAnsi="Cambria"/>
              </w:rPr>
            </w:pPr>
            <w:r>
              <w:rPr>
                <w:rFonts w:ascii="Cambria" w:hAnsi="Cambria"/>
              </w:rPr>
              <w:t>35 – Material Laboratorial</w:t>
            </w:r>
          </w:p>
          <w:p w14:paraId="2C73E3C2">
            <w:pPr>
              <w:tabs>
                <w:tab w:val="left" w:pos="1701"/>
              </w:tabs>
              <w:spacing w:after="0" w:line="240" w:lineRule="auto"/>
              <w:jc w:val="center"/>
              <w:rPr>
                <w:rFonts w:ascii="Cambria" w:hAnsi="Cambria"/>
              </w:rPr>
            </w:pPr>
            <w:r>
              <w:rPr>
                <w:rFonts w:ascii="Cambria" w:hAnsi="Cambria"/>
              </w:rPr>
              <w:t>36 – Material Hospitalar</w:t>
            </w:r>
          </w:p>
        </w:tc>
      </w:tr>
      <w:tr w14:paraId="6982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00F37A03">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Ficha/ Fonte</w:t>
            </w:r>
          </w:p>
        </w:tc>
        <w:tc>
          <w:tcPr>
            <w:tcW w:w="5953" w:type="dxa"/>
            <w:vAlign w:val="center"/>
          </w:tcPr>
          <w:p w14:paraId="179C7D5D">
            <w:pPr>
              <w:tabs>
                <w:tab w:val="left" w:pos="1701"/>
              </w:tabs>
              <w:spacing w:after="0" w:line="240" w:lineRule="auto"/>
              <w:jc w:val="center"/>
              <w:rPr>
                <w:rFonts w:ascii="Cambria" w:hAnsi="Cambria"/>
              </w:rPr>
            </w:pPr>
            <w:r>
              <w:rPr>
                <w:rFonts w:ascii="Cambria" w:hAnsi="Cambria"/>
              </w:rPr>
              <w:t>503.107.15</w:t>
            </w:r>
          </w:p>
        </w:tc>
      </w:tr>
    </w:tbl>
    <w:p w14:paraId="0D9D1F6C">
      <w:pPr>
        <w:pStyle w:val="14"/>
        <w:pBdr>
          <w:top w:val="single" w:color="auto" w:sz="4" w:space="1"/>
          <w:left w:val="single" w:color="auto" w:sz="4" w:space="4"/>
          <w:bottom w:val="single" w:color="auto" w:sz="4" w:space="1"/>
          <w:right w:val="single" w:color="auto" w:sz="4" w:space="4"/>
        </w:pBdr>
        <w:shd w:val="clear" w:color="auto" w:fill="D8D8D8" w:themeFill="background1" w:themeFillShade="D9"/>
        <w:tabs>
          <w:tab w:val="left" w:pos="708"/>
          <w:tab w:val="left" w:pos="1701"/>
        </w:tabs>
        <w:spacing w:before="240" w:line="276" w:lineRule="auto"/>
        <w:jc w:val="both"/>
        <w:rPr>
          <w:rFonts w:ascii="Cambria" w:hAnsi="Cambria"/>
          <w:b/>
          <w:bCs/>
        </w:rPr>
      </w:pPr>
      <w:r>
        <w:rPr>
          <w:rFonts w:ascii="Cambria" w:hAnsi="Cambria"/>
          <w:b/>
        </w:rPr>
        <w:t xml:space="preserve">DA </w:t>
      </w:r>
      <w:r>
        <w:rPr>
          <w:rFonts w:ascii="Cambria" w:hAnsi="Cambria"/>
          <w:b/>
          <w:bCs/>
        </w:rPr>
        <w:t>VALIDADE, FORMALIZAÇÃO DA ATA DE REGISTRO DE PREÇOS E CADASTRO RESERVA</w:t>
      </w:r>
    </w:p>
    <w:p w14:paraId="5FCB2E53">
      <w:pPr>
        <w:tabs>
          <w:tab w:val="left" w:pos="1701"/>
        </w:tabs>
        <w:spacing w:before="240" w:line="276" w:lineRule="auto"/>
        <w:jc w:val="both"/>
        <w:rPr>
          <w:rFonts w:ascii="Cambria" w:hAnsi="Cambria"/>
        </w:rPr>
      </w:pPr>
      <w:r>
        <w:rPr>
          <w:rFonts w:ascii="Cambria" w:hAnsi="Cambria"/>
          <w:b/>
        </w:rPr>
        <w:t>CLÁUSULA QUARTA:</w:t>
      </w:r>
      <w:r>
        <w:rPr>
          <w:rFonts w:ascii="Cambria" w:hAnsi="Cambria"/>
        </w:rPr>
        <w:t xml:space="preserve"> A presente Ata de Registro de Preços terá vigência de 12 (doze) meses contar da data de sua publicação no Portal Nacional de Contratações Públicas (PNCP), podendo ter sua vigência prorrogada nos moldes estabelecidos na Lei Federal nº 14.133, de 2021. </w:t>
      </w:r>
    </w:p>
    <w:p w14:paraId="10BD19EB">
      <w:pPr>
        <w:tabs>
          <w:tab w:val="left" w:pos="1701"/>
        </w:tabs>
        <w:spacing w:before="240" w:line="276" w:lineRule="auto"/>
        <w:jc w:val="both"/>
        <w:rPr>
          <w:rFonts w:ascii="Cambria" w:hAnsi="Cambria"/>
        </w:rPr>
      </w:pPr>
      <w:r>
        <w:rPr>
          <w:rFonts w:ascii="Cambria" w:hAnsi="Cambria"/>
          <w:b/>
        </w:rPr>
        <w:t>CLÁUSULA QUINTA:</w:t>
      </w:r>
      <w:r>
        <w:rPr>
          <w:rFonts w:ascii="Cambria" w:hAnsi="Cambria"/>
        </w:rPr>
        <w:t xml:space="preserve"> No ato de prorrogação da vigência da Ata de Registro de Preços poderá haver a renovação dos quantitativos registrados, até o limite do quantitativo original.</w:t>
      </w:r>
    </w:p>
    <w:p w14:paraId="41981833">
      <w:pPr>
        <w:tabs>
          <w:tab w:val="left" w:pos="1701"/>
        </w:tabs>
        <w:spacing w:before="240" w:line="276" w:lineRule="auto"/>
        <w:ind w:firstLine="567"/>
        <w:jc w:val="both"/>
        <w:rPr>
          <w:rFonts w:ascii="Cambria" w:hAnsi="Cambria"/>
        </w:rPr>
      </w:pPr>
      <w:r>
        <w:rPr>
          <w:rFonts w:ascii="Cambria" w:hAnsi="Cambria"/>
          <w:b/>
          <w:bCs/>
        </w:rPr>
        <w:t xml:space="preserve">I. </w:t>
      </w:r>
      <w:r>
        <w:rPr>
          <w:rFonts w:ascii="Cambria" w:hAnsi="Cambria"/>
        </w:rPr>
        <w:t>O ato de prorrogação da vigência da ata deverá indicar expressamente o prazo de prorrogação e o quantitativo renovado.</w:t>
      </w:r>
    </w:p>
    <w:p w14:paraId="0CA6408C">
      <w:pPr>
        <w:tabs>
          <w:tab w:val="left" w:pos="1701"/>
        </w:tabs>
        <w:spacing w:before="240" w:line="276" w:lineRule="auto"/>
        <w:jc w:val="both"/>
        <w:rPr>
          <w:rFonts w:ascii="Cambria" w:hAnsi="Cambria"/>
        </w:rPr>
      </w:pPr>
      <w:r>
        <w:rPr>
          <w:rFonts w:ascii="Cambria" w:hAnsi="Cambria"/>
          <w:b/>
          <w:bCs/>
        </w:rPr>
        <w:t>CLÁUSULA SEXTA</w:t>
      </w:r>
      <w:r>
        <w:rPr>
          <w:rFonts w:ascii="Cambria" w:hAnsi="Cambria"/>
        </w:rPr>
        <w:t>: 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01 (um) exercício.</w:t>
      </w:r>
    </w:p>
    <w:p w14:paraId="4D603D35">
      <w:pPr>
        <w:tabs>
          <w:tab w:val="left" w:pos="1701"/>
        </w:tabs>
        <w:spacing w:before="240" w:line="276" w:lineRule="auto"/>
        <w:jc w:val="both"/>
        <w:rPr>
          <w:rFonts w:ascii="Cambria" w:hAnsi="Cambria"/>
        </w:rPr>
      </w:pPr>
      <w:r>
        <w:rPr>
          <w:rFonts w:ascii="Cambria" w:hAnsi="Cambria"/>
          <w:b/>
          <w:bCs/>
        </w:rPr>
        <w:t>CLÁUSULA SÉTIMA</w:t>
      </w:r>
      <w:r>
        <w:rPr>
          <w:rFonts w:ascii="Cambria" w:hAnsi="Cambria"/>
        </w:rPr>
        <w:t>: Na formalização de contrato ou do instrumento substituto deverá haver a indicação da disponibilidade dos créditos orçamentários respectivos.</w:t>
      </w:r>
    </w:p>
    <w:p w14:paraId="1FBA7D09">
      <w:pPr>
        <w:tabs>
          <w:tab w:val="left" w:pos="1701"/>
        </w:tabs>
        <w:spacing w:before="240" w:line="276" w:lineRule="auto"/>
        <w:jc w:val="both"/>
        <w:rPr>
          <w:rFonts w:ascii="Cambria" w:hAnsi="Cambria"/>
        </w:rPr>
      </w:pPr>
      <w:r>
        <w:rPr>
          <w:rFonts w:ascii="Cambria" w:hAnsi="Cambria"/>
          <w:b/>
          <w:bCs/>
        </w:rPr>
        <w:t xml:space="preserve">CLÁUSULA OITAVA: </w:t>
      </w:r>
      <w:r>
        <w:rPr>
          <w:rFonts w:ascii="Cambria" w:hAnsi="Cambria"/>
        </w:rPr>
        <w:t>A contratação com os fornecedores registrados na ata será formalizada pelo órgão ou pela entidade interessada por intermédio de instrumento contratual, emissão de nota de empenho de despesa, autorização de compra ou outro instrumento hábil, conforma artigo 95, da Lei Federal nº 14.133, de 2021.</w:t>
      </w:r>
    </w:p>
    <w:p w14:paraId="304EF6C5">
      <w:pPr>
        <w:tabs>
          <w:tab w:val="left" w:pos="1701"/>
        </w:tabs>
        <w:spacing w:before="240" w:line="276" w:lineRule="auto"/>
        <w:ind w:firstLine="567"/>
        <w:jc w:val="both"/>
        <w:rPr>
          <w:rFonts w:ascii="Cambria" w:hAnsi="Cambria"/>
        </w:rPr>
      </w:pPr>
      <w:r>
        <w:rPr>
          <w:rFonts w:ascii="Cambria" w:hAnsi="Cambria"/>
          <w:b/>
          <w:bCs/>
        </w:rPr>
        <w:t>I.</w:t>
      </w:r>
      <w:r>
        <w:rPr>
          <w:rFonts w:ascii="Cambria" w:hAnsi="Cambria"/>
        </w:rPr>
        <w:t xml:space="preserve"> O instrumento contratual de que se trata a cláusula oitava deverá ser assinado no prazo de validade da Ata de Registro de Preços.</w:t>
      </w:r>
    </w:p>
    <w:p w14:paraId="5239E684">
      <w:pPr>
        <w:tabs>
          <w:tab w:val="left" w:pos="1701"/>
        </w:tabs>
        <w:spacing w:before="240" w:line="276" w:lineRule="auto"/>
        <w:jc w:val="both"/>
        <w:rPr>
          <w:rFonts w:ascii="Cambria" w:hAnsi="Cambria"/>
        </w:rPr>
      </w:pPr>
      <w:r>
        <w:rPr>
          <w:rFonts w:ascii="Cambria" w:hAnsi="Cambria"/>
          <w:b/>
          <w:bCs/>
        </w:rPr>
        <w:t xml:space="preserve">CLÁUSULA NONA: </w:t>
      </w:r>
      <w:r>
        <w:rPr>
          <w:rFonts w:ascii="Cambria" w:hAnsi="Cambria"/>
        </w:rPr>
        <w:t>Os contratos decorrentes do sistema de registro de preços poderão ser alterados, observado o artigo 124, da Lei Federal nº 14.133, de 2021.</w:t>
      </w:r>
    </w:p>
    <w:p w14:paraId="58D18929">
      <w:pPr>
        <w:tabs>
          <w:tab w:val="left" w:pos="1701"/>
        </w:tabs>
        <w:spacing w:before="240" w:line="276" w:lineRule="auto"/>
        <w:jc w:val="both"/>
        <w:rPr>
          <w:rFonts w:ascii="Cambria" w:hAnsi="Cambria"/>
        </w:rPr>
      </w:pPr>
      <w:r>
        <w:rPr>
          <w:rFonts w:ascii="Cambria" w:hAnsi="Cambria"/>
          <w:b/>
          <w:bCs/>
        </w:rPr>
        <w:t xml:space="preserve">CLÁUSULA DÉCIMA: </w:t>
      </w:r>
      <w:r>
        <w:rPr>
          <w:rFonts w:ascii="Cambria" w:hAnsi="Cambria"/>
        </w:rPr>
        <w:t>Após a homologação da licitação, deverão ser observadas as seguintes condições para formalização da Ata de Registro de Preços:</w:t>
      </w:r>
    </w:p>
    <w:p w14:paraId="5FF25DE1">
      <w:pPr>
        <w:tabs>
          <w:tab w:val="left" w:pos="1701"/>
        </w:tabs>
        <w:spacing w:before="240" w:line="276" w:lineRule="auto"/>
        <w:ind w:firstLine="567"/>
        <w:jc w:val="both"/>
        <w:rPr>
          <w:rFonts w:ascii="Cambria" w:hAnsi="Cambria"/>
        </w:rPr>
      </w:pPr>
      <w:r>
        <w:rPr>
          <w:rFonts w:ascii="Cambria" w:hAnsi="Cambria"/>
          <w:b/>
          <w:bCs/>
        </w:rPr>
        <w:t>I.</w:t>
      </w:r>
      <w:r>
        <w:rPr>
          <w:rFonts w:ascii="Cambria" w:hAnsi="Cambria"/>
        </w:rPr>
        <w:t xml:space="preserve"> Será incluído na ata, na forma de anexo, o registro dos licitantes ou dos fornecedores que:</w:t>
      </w:r>
    </w:p>
    <w:p w14:paraId="688F5084">
      <w:pPr>
        <w:tabs>
          <w:tab w:val="left" w:pos="1701"/>
        </w:tabs>
        <w:spacing w:before="240" w:line="276" w:lineRule="auto"/>
        <w:ind w:left="567" w:firstLine="567"/>
        <w:jc w:val="both"/>
        <w:rPr>
          <w:rFonts w:ascii="Cambria" w:hAnsi="Cambria"/>
        </w:rPr>
      </w:pPr>
      <w:r>
        <w:rPr>
          <w:rFonts w:ascii="Cambria" w:hAnsi="Cambria"/>
          <w:b/>
          <w:bCs/>
        </w:rPr>
        <w:t>a)</w:t>
      </w:r>
      <w:r>
        <w:rPr>
          <w:rFonts w:ascii="Cambria" w:hAnsi="Cambria"/>
        </w:rPr>
        <w:t xml:space="preserve"> Aceitarem cotar os bens com preços iguais ao adjudicatário, observada a ordem de classificação da licitação; e</w:t>
      </w:r>
    </w:p>
    <w:p w14:paraId="211E2492">
      <w:pPr>
        <w:tabs>
          <w:tab w:val="left" w:pos="1701"/>
        </w:tabs>
        <w:spacing w:before="240" w:line="276" w:lineRule="auto"/>
        <w:ind w:left="567" w:firstLine="567"/>
        <w:jc w:val="both"/>
        <w:rPr>
          <w:rFonts w:ascii="Cambria" w:hAnsi="Cambria"/>
        </w:rPr>
      </w:pPr>
      <w:r>
        <w:rPr>
          <w:rFonts w:ascii="Cambria" w:hAnsi="Cambria"/>
          <w:b/>
          <w:bCs/>
        </w:rPr>
        <w:t>b)</w:t>
      </w:r>
      <w:r>
        <w:rPr>
          <w:rFonts w:ascii="Cambria" w:hAnsi="Cambria"/>
        </w:rPr>
        <w:t xml:space="preserve"> Mantiverem sua proposta original.</w:t>
      </w:r>
    </w:p>
    <w:p w14:paraId="76D24C21">
      <w:pPr>
        <w:tabs>
          <w:tab w:val="left" w:pos="1701"/>
        </w:tabs>
        <w:spacing w:before="240" w:line="276" w:lineRule="auto"/>
        <w:ind w:firstLine="567"/>
        <w:jc w:val="both"/>
        <w:rPr>
          <w:rFonts w:ascii="Cambria" w:hAnsi="Cambria"/>
        </w:rPr>
      </w:pPr>
      <w:r>
        <w:rPr>
          <w:rFonts w:ascii="Cambria" w:hAnsi="Cambria"/>
          <w:b/>
          <w:bCs/>
        </w:rPr>
        <w:t>II.</w:t>
      </w:r>
      <w:r>
        <w:rPr>
          <w:rFonts w:ascii="Cambria" w:hAnsi="Cambria"/>
        </w:rPr>
        <w:t xml:space="preserve"> Será respeitada, nas contratações, a ordem de classificação dos licitantes ou dos fornecedores registrados na ata.</w:t>
      </w:r>
    </w:p>
    <w:p w14:paraId="28068880">
      <w:pPr>
        <w:tabs>
          <w:tab w:val="left" w:pos="1701"/>
        </w:tabs>
        <w:spacing w:before="240" w:line="276" w:lineRule="auto"/>
        <w:ind w:firstLine="567"/>
        <w:jc w:val="both"/>
        <w:rPr>
          <w:rFonts w:ascii="Cambria" w:hAnsi="Cambria"/>
        </w:rPr>
      </w:pPr>
      <w:r>
        <w:rPr>
          <w:rFonts w:ascii="Cambria" w:hAnsi="Cambria"/>
          <w:b/>
          <w:bCs/>
        </w:rPr>
        <w:t>III.</w:t>
      </w:r>
      <w:r>
        <w:rPr>
          <w:rFonts w:ascii="Cambria" w:hAnsi="Cambria"/>
        </w:rPr>
        <w:t xml:space="preserve"> O registro a que se refere o inciso II, tem por objetivo a formação de cadastro de serva para o caso de impossibilidade de atendimento pelo signatário da ata.</w:t>
      </w:r>
    </w:p>
    <w:p w14:paraId="50865CAD">
      <w:pPr>
        <w:tabs>
          <w:tab w:val="left" w:pos="1701"/>
        </w:tabs>
        <w:spacing w:before="240" w:line="276" w:lineRule="auto"/>
        <w:ind w:firstLine="567"/>
        <w:jc w:val="both"/>
        <w:rPr>
          <w:rFonts w:ascii="Cambria" w:hAnsi="Cambria"/>
        </w:rPr>
      </w:pPr>
      <w:r>
        <w:rPr>
          <w:rFonts w:ascii="Cambria" w:hAnsi="Cambria"/>
          <w:b/>
          <w:bCs/>
        </w:rPr>
        <w:t>IV.</w:t>
      </w:r>
      <w:r>
        <w:rPr>
          <w:rFonts w:ascii="Cambria" w:hAnsi="Cambria"/>
        </w:rPr>
        <w:t xml:space="preserve"> Para fins de ordem de classificação, os licitantes ou fornecedores que aceitarem reduzir suas propostas para o preço do adjudicatário antecederão aqueles que mantiverem sua proposta original.</w:t>
      </w:r>
    </w:p>
    <w:p w14:paraId="60BB706B">
      <w:pPr>
        <w:tabs>
          <w:tab w:val="left" w:pos="1701"/>
        </w:tabs>
        <w:spacing w:before="240" w:line="276" w:lineRule="auto"/>
        <w:jc w:val="both"/>
        <w:rPr>
          <w:rFonts w:ascii="Cambria" w:hAnsi="Cambria"/>
        </w:rPr>
      </w:pPr>
      <w:r>
        <w:rPr>
          <w:rFonts w:ascii="Cambria" w:hAnsi="Cambria"/>
          <w:b/>
          <w:bCs/>
        </w:rPr>
        <w:t xml:space="preserve">CLÁUSULA DÉCIMA PRIMEIRA: </w:t>
      </w:r>
      <w:r>
        <w:rPr>
          <w:rFonts w:ascii="Cambria" w:hAnsi="Cambria"/>
        </w:rPr>
        <w:t>A habilitação dos licitantes que comporão o cadastro reserva a que se refere a alínea “b” do inciso I, da cláusula décima, somente será efetuada quando houver necessidade de contratação dos licitantes remanescentes, nas seguintes hipóteses:</w:t>
      </w:r>
    </w:p>
    <w:p w14:paraId="64E01ED1">
      <w:pPr>
        <w:tabs>
          <w:tab w:val="left" w:pos="1701"/>
        </w:tabs>
        <w:spacing w:before="240" w:line="276" w:lineRule="auto"/>
        <w:ind w:firstLine="567"/>
        <w:jc w:val="both"/>
        <w:rPr>
          <w:rFonts w:ascii="Cambria" w:hAnsi="Cambria"/>
        </w:rPr>
      </w:pPr>
      <w:r>
        <w:rPr>
          <w:rFonts w:ascii="Cambria" w:hAnsi="Cambria"/>
          <w:b/>
          <w:bCs/>
        </w:rPr>
        <w:t xml:space="preserve">I. </w:t>
      </w:r>
      <w:r>
        <w:rPr>
          <w:rFonts w:ascii="Cambria" w:hAnsi="Cambria"/>
        </w:rPr>
        <w:t>Quando o licitante vencedor não assinar a Ata de Registro de Preços, no prazo e nas condições previamente estabelecidos.</w:t>
      </w:r>
    </w:p>
    <w:p w14:paraId="4B3419FD">
      <w:pPr>
        <w:tabs>
          <w:tab w:val="left" w:pos="1701"/>
        </w:tabs>
        <w:spacing w:before="240" w:line="276" w:lineRule="auto"/>
        <w:ind w:firstLine="567"/>
        <w:jc w:val="both"/>
        <w:rPr>
          <w:rFonts w:ascii="Cambria" w:hAnsi="Cambria"/>
        </w:rPr>
      </w:pPr>
      <w:r>
        <w:rPr>
          <w:rFonts w:ascii="Cambria" w:hAnsi="Cambria"/>
          <w:b/>
          <w:bCs/>
        </w:rPr>
        <w:t>II.</w:t>
      </w:r>
      <w:r>
        <w:rPr>
          <w:rFonts w:ascii="Cambria" w:hAnsi="Cambria"/>
        </w:rPr>
        <w:t xml:space="preserve"> Quando houver cancelamento do registro de preços do licitante ou do registro de preços nas hipóteses previstas nesta Ata de Registro de Preços.</w:t>
      </w:r>
    </w:p>
    <w:p w14:paraId="58D08F18">
      <w:pPr>
        <w:tabs>
          <w:tab w:val="left" w:pos="1701"/>
        </w:tabs>
        <w:spacing w:before="240" w:line="276" w:lineRule="auto"/>
        <w:jc w:val="both"/>
        <w:rPr>
          <w:rFonts w:ascii="Cambria" w:hAnsi="Cambria"/>
        </w:rPr>
      </w:pPr>
      <w:r>
        <w:rPr>
          <w:rFonts w:ascii="Cambria" w:hAnsi="Cambria"/>
          <w:b/>
          <w:bCs/>
        </w:rPr>
        <w:t xml:space="preserve">CLÁUSULA DÉCIMA SEGUNDA: </w:t>
      </w:r>
      <w:r>
        <w:rPr>
          <w:rFonts w:ascii="Cambria" w:hAnsi="Cambria"/>
        </w:rPr>
        <w:t>O preço registrado com indicação dos licitantes será divulgado no Portal Nacional de Contratações Públicas e ficará disponibilizado durante a vigência da Ata de Registro de Preços.</w:t>
      </w:r>
    </w:p>
    <w:p w14:paraId="29AB723B">
      <w:pPr>
        <w:tabs>
          <w:tab w:val="left" w:pos="1701"/>
        </w:tabs>
        <w:spacing w:before="240" w:line="276" w:lineRule="auto"/>
        <w:jc w:val="both"/>
        <w:rPr>
          <w:rFonts w:ascii="Cambria" w:hAnsi="Cambria"/>
        </w:rPr>
      </w:pPr>
      <w:r>
        <w:rPr>
          <w:rFonts w:ascii="Cambria" w:hAnsi="Cambria"/>
          <w:b/>
          <w:bCs/>
        </w:rPr>
        <w:t>CLÁUSULA DECIMA TERCEIRA:</w:t>
      </w:r>
      <w:r>
        <w:rPr>
          <w:rFonts w:ascii="Cambria" w:hAnsi="Cambria"/>
        </w:rPr>
        <w:t xml:space="preserve"> Após a homologação da licitação, o licitante mais bem classificado será convocado para assinar a Ata de Registro de Preços, no prazo e nas condições estabelecidas no Edital de licitação sob pena de decair o direito, sem prejuízos das sanções previstas na Lei Federal nº 14.133, de 2021.</w:t>
      </w:r>
    </w:p>
    <w:p w14:paraId="3A46BC71">
      <w:pPr>
        <w:tabs>
          <w:tab w:val="left" w:pos="1701"/>
        </w:tabs>
        <w:spacing w:before="240" w:line="276" w:lineRule="auto"/>
        <w:ind w:firstLine="567"/>
        <w:jc w:val="both"/>
        <w:rPr>
          <w:rFonts w:ascii="Cambria" w:hAnsi="Cambria"/>
        </w:rPr>
      </w:pPr>
      <w:r>
        <w:rPr>
          <w:rFonts w:ascii="Cambria" w:hAnsi="Cambria"/>
          <w:b/>
          <w:bCs/>
        </w:rPr>
        <w:t>I.</w:t>
      </w:r>
      <w:r>
        <w:rPr>
          <w:rFonts w:ascii="Cambria" w:hAnsi="Cambria"/>
        </w:rPr>
        <w:t xml:space="preserve"> O prazo de convocação poderá ser prorrogado 01 (uma) vez, por igual período, mediante solicitação do licitante, desde que apresentada dentro do prazo, devidamente justificada, e que a justificativa seja aceita pela Administração.</w:t>
      </w:r>
    </w:p>
    <w:p w14:paraId="0EDDF8EC">
      <w:pPr>
        <w:tabs>
          <w:tab w:val="left" w:pos="1701"/>
        </w:tabs>
        <w:spacing w:before="240" w:line="276" w:lineRule="auto"/>
        <w:jc w:val="both"/>
        <w:rPr>
          <w:rFonts w:ascii="Cambria" w:hAnsi="Cambria"/>
        </w:rPr>
      </w:pPr>
      <w:r>
        <w:rPr>
          <w:rFonts w:ascii="Cambria" w:hAnsi="Cambria"/>
          <w:b/>
          <w:bCs/>
        </w:rPr>
        <w:t>CLÁUSULA DÉCIMA QUARTA:</w:t>
      </w:r>
      <w:r>
        <w:rPr>
          <w:rFonts w:ascii="Cambria" w:hAnsi="Cambria"/>
        </w:rPr>
        <w:t xml:space="preserve"> A Ata de Registro de Preços será assinada por meio de assinatura digital e disponibilizada no Sistema de Registro de Preços.</w:t>
      </w:r>
    </w:p>
    <w:p w14:paraId="6E1ECF7E">
      <w:pPr>
        <w:tabs>
          <w:tab w:val="left" w:pos="1701"/>
        </w:tabs>
        <w:spacing w:before="240" w:line="276" w:lineRule="auto"/>
        <w:jc w:val="both"/>
        <w:rPr>
          <w:rFonts w:ascii="Cambria" w:hAnsi="Cambria"/>
        </w:rPr>
      </w:pPr>
      <w:r>
        <w:rPr>
          <w:rFonts w:ascii="Cambria" w:hAnsi="Cambria"/>
          <w:b/>
          <w:bCs/>
        </w:rPr>
        <w:t>CLÁUSULA DÉCIMA QUINTA:</w:t>
      </w:r>
      <w:r>
        <w:rPr>
          <w:rFonts w:ascii="Cambria" w:hAnsi="Cambria"/>
        </w:rPr>
        <w:t xml:space="preserve"> Quando o convocado não assinar a Ata de Registro de Preços no prazo e nas condições estabelecidas no Edital e observado o disposto na cláusula décima primeira, fica facultado à Administração convocar os licitantes remanescentes do cadastro reserva, na ordem de classificação, para fazê-lo em igual prazo e condições propostas pelo primeiro classificado.</w:t>
      </w:r>
    </w:p>
    <w:p w14:paraId="318F63D1">
      <w:pPr>
        <w:tabs>
          <w:tab w:val="left" w:pos="1701"/>
        </w:tabs>
        <w:spacing w:before="240" w:line="276" w:lineRule="auto"/>
        <w:jc w:val="both"/>
        <w:rPr>
          <w:rFonts w:ascii="Cambria" w:hAnsi="Cambria"/>
        </w:rPr>
      </w:pPr>
      <w:r>
        <w:rPr>
          <w:rFonts w:ascii="Cambria" w:hAnsi="Cambria"/>
          <w:b/>
          <w:bCs/>
        </w:rPr>
        <w:t>CLÁUSULA DÉCIMA SEXTA:</w:t>
      </w:r>
      <w:r>
        <w:rPr>
          <w:rFonts w:ascii="Cambria" w:hAnsi="Cambria"/>
        </w:rPr>
        <w:t xml:space="preserve"> Na hipótese de nenhum dos licitantes que trata a cláusula décima, inciso I, alínea “b”, aceitar a contratação nos temos do inciso anterior, a Administração observados o valor estimado e sua eventual atualização nos termos publicitados, poderá:</w:t>
      </w:r>
    </w:p>
    <w:p w14:paraId="07257A94">
      <w:pPr>
        <w:tabs>
          <w:tab w:val="left" w:pos="1701"/>
        </w:tabs>
        <w:spacing w:before="240" w:line="276" w:lineRule="auto"/>
        <w:ind w:firstLine="567"/>
        <w:jc w:val="both"/>
        <w:rPr>
          <w:rFonts w:ascii="Cambria" w:hAnsi="Cambria"/>
        </w:rPr>
      </w:pPr>
      <w:r>
        <w:rPr>
          <w:rFonts w:ascii="Cambria" w:hAnsi="Cambria"/>
          <w:b/>
          <w:bCs/>
        </w:rPr>
        <w:t>I.</w:t>
      </w:r>
      <w:r>
        <w:rPr>
          <w:rFonts w:ascii="Cambria" w:hAnsi="Cambria"/>
        </w:rPr>
        <w:t xml:space="preserve"> Convocar para negociação os demais licitantes remanescentes cujos preços foram registrados sem redução, observada a ordem de classificação, com vistas à obtenção do preço melhor, mesmo que acima do preço do adjudicatário; ou</w:t>
      </w:r>
    </w:p>
    <w:p w14:paraId="7FF63CAE">
      <w:pPr>
        <w:tabs>
          <w:tab w:val="left" w:pos="1701"/>
        </w:tabs>
        <w:spacing w:before="240" w:line="276" w:lineRule="auto"/>
        <w:ind w:firstLine="567"/>
        <w:jc w:val="both"/>
        <w:rPr>
          <w:rFonts w:ascii="Cambria" w:hAnsi="Cambria"/>
        </w:rPr>
      </w:pPr>
      <w:r>
        <w:rPr>
          <w:rFonts w:ascii="Cambria" w:hAnsi="Cambria"/>
          <w:b/>
          <w:bCs/>
        </w:rPr>
        <w:t>II.</w:t>
      </w:r>
      <w:r>
        <w:rPr>
          <w:rFonts w:ascii="Cambria" w:hAnsi="Cambria"/>
        </w:rPr>
        <w:t xml:space="preserve"> Adjudicar e firmar o contrato nas condições ofertadas pelos licitantes remanescentes, atendida a ordem de classificatória, quando frustrada a negociação de melhor condição.</w:t>
      </w:r>
    </w:p>
    <w:p w14:paraId="02E52F7A">
      <w:pPr>
        <w:tabs>
          <w:tab w:val="left" w:pos="1701"/>
        </w:tabs>
        <w:spacing w:before="240" w:line="276" w:lineRule="auto"/>
        <w:jc w:val="both"/>
        <w:rPr>
          <w:rFonts w:ascii="Cambria" w:hAnsi="Cambria"/>
        </w:rPr>
      </w:pPr>
      <w:r>
        <w:rPr>
          <w:rFonts w:ascii="Cambria" w:hAnsi="Cambria"/>
          <w:b/>
        </w:rPr>
        <w:t>CLÁUSULA DÉCIMA SÉTIMA:</w:t>
      </w:r>
      <w:r>
        <w:rPr>
          <w:rFonts w:ascii="Cambria" w:hAnsi="Cambria"/>
        </w:rPr>
        <w:t xml:space="preserve"> A existência de preços registrados implicará compromisso de fornecimento nas condições estabelecidas, mas não obrigará a administração a contratar, facultada a realização de licitação específica para aquisição pretendida, desde que devidamente justificada.</w:t>
      </w:r>
    </w:p>
    <w:p w14:paraId="430EAB31">
      <w:pPr>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spacing w:before="240" w:after="240" w:afterLines="100" w:line="276" w:lineRule="auto"/>
        <w:ind w:right="-1"/>
        <w:jc w:val="both"/>
        <w:rPr>
          <w:rFonts w:ascii="Cambria" w:hAnsi="Cambria"/>
        </w:rPr>
      </w:pPr>
      <w:r>
        <w:rPr>
          <w:rFonts w:ascii="Cambria" w:hAnsi="Cambria" w:eastAsia="Arial"/>
          <w:b/>
        </w:rPr>
        <w:t>DAS ALTERAÇÕES OU ATUALIZAÇÕES DOS PREÇOS REGISTRADOS</w:t>
      </w:r>
    </w:p>
    <w:p w14:paraId="41C6B082">
      <w:pPr>
        <w:pStyle w:val="30"/>
      </w:pPr>
      <w:r>
        <w:rPr>
          <w:b/>
        </w:rPr>
        <w:t>CLÁUSULA DÉCIMA OITAVA:</w:t>
      </w:r>
      <w:r>
        <w:t xml:space="preserve"> Os preços registrados poderão ser alterados ou atualizados em decorrência de eventual redução dos preços pra</w:t>
      </w:r>
      <w:r>
        <w:rPr>
          <w:rFonts w:eastAsia="Calibri"/>
        </w:rPr>
        <w:t>ti</w:t>
      </w:r>
      <w:r>
        <w:t>cados no mercado ou de fato que eleve o custo dos bens registrados, nas seguintes situações:</w:t>
      </w:r>
    </w:p>
    <w:p w14:paraId="7E6E3F4B">
      <w:pPr>
        <w:pStyle w:val="55"/>
        <w:numPr>
          <w:ilvl w:val="0"/>
          <w:numId w:val="0"/>
        </w:numPr>
        <w:ind w:firstLine="567"/>
        <w:rPr>
          <w:rFonts w:ascii="Cambria" w:hAnsi="Cambria"/>
          <w:sz w:val="22"/>
          <w:szCs w:val="22"/>
        </w:rPr>
      </w:pPr>
      <w:r>
        <w:rPr>
          <w:rFonts w:ascii="Cambria" w:hAnsi="Cambria"/>
          <w:b/>
          <w:bCs/>
          <w:sz w:val="22"/>
          <w:szCs w:val="22"/>
        </w:rPr>
        <w:t>I.</w:t>
      </w:r>
      <w:r>
        <w:rPr>
          <w:rFonts w:ascii="Cambria" w:hAnsi="Cambria"/>
          <w:sz w:val="22"/>
          <w:szCs w:val="22"/>
        </w:rPr>
        <w:t xml:space="preserve"> Em caso de força maior, caso fortuito ou fato do príncipe ou em decorrência de fatos imprevisíveis ou previsíveis de consequências incalculáveis, que inviabilizem a execução da ata tal como pactuada, nos termos da alínea “d” do inciso II do caput do artigo 124 da Lei Federal nº 14.133, de 2021;</w:t>
      </w:r>
    </w:p>
    <w:p w14:paraId="667F2445">
      <w:pPr>
        <w:pStyle w:val="55"/>
        <w:numPr>
          <w:ilvl w:val="0"/>
          <w:numId w:val="0"/>
        </w:numPr>
        <w:ind w:firstLine="567"/>
        <w:rPr>
          <w:rFonts w:ascii="Cambria" w:hAnsi="Cambria"/>
          <w:sz w:val="22"/>
          <w:szCs w:val="22"/>
        </w:rPr>
      </w:pPr>
      <w:r>
        <w:rPr>
          <w:rFonts w:ascii="Cambria" w:hAnsi="Cambria"/>
          <w:b/>
          <w:bCs/>
          <w:sz w:val="22"/>
          <w:szCs w:val="22"/>
        </w:rPr>
        <w:t>II.</w:t>
      </w:r>
      <w:r>
        <w:rPr>
          <w:rFonts w:ascii="Cambria" w:hAnsi="Cambria"/>
          <w:sz w:val="22"/>
          <w:szCs w:val="22"/>
        </w:rPr>
        <w:t xml:space="preserve"> Em caso de criação, alteração ou ex</w:t>
      </w:r>
      <w:r>
        <w:rPr>
          <w:rFonts w:ascii="Cambria" w:hAnsi="Cambria" w:eastAsia="Calibri"/>
          <w:sz w:val="22"/>
          <w:szCs w:val="22"/>
        </w:rPr>
        <w:t>ti</w:t>
      </w:r>
      <w:r>
        <w:rPr>
          <w:rFonts w:ascii="Cambria" w:hAnsi="Cambria"/>
          <w:sz w:val="22"/>
          <w:szCs w:val="22"/>
        </w:rPr>
        <w:t xml:space="preserve">nção de quaisquer tributos ou encargos legais ou a superveniência de disposições legais, com comprovada repercussão sobre os preços registrados; </w:t>
      </w:r>
    </w:p>
    <w:p w14:paraId="369F4701">
      <w:pPr>
        <w:pStyle w:val="55"/>
        <w:numPr>
          <w:ilvl w:val="0"/>
          <w:numId w:val="0"/>
        </w:numPr>
        <w:ind w:firstLine="567"/>
        <w:rPr>
          <w:rFonts w:ascii="Cambria" w:hAnsi="Cambria"/>
          <w:sz w:val="22"/>
          <w:szCs w:val="22"/>
        </w:rPr>
      </w:pPr>
      <w:r>
        <w:rPr>
          <w:rFonts w:ascii="Cambria" w:hAnsi="Cambria"/>
          <w:b/>
          <w:bCs/>
          <w:sz w:val="22"/>
          <w:szCs w:val="22"/>
        </w:rPr>
        <w:t>III.</w:t>
      </w:r>
      <w:r>
        <w:rPr>
          <w:rFonts w:ascii="Cambria" w:hAnsi="Cambria"/>
          <w:sz w:val="22"/>
          <w:szCs w:val="22"/>
        </w:rPr>
        <w:t xml:space="preserve"> Na hipótese de previsão no edital de cláusula de reajustamento ou repactuação sobre os preços registrados, nos termos da Lei Federal nº 14.133, de 2021.</w:t>
      </w:r>
    </w:p>
    <w:p w14:paraId="1773C656">
      <w:pPr>
        <w:pStyle w:val="57"/>
        <w:ind w:firstLine="567"/>
        <w:rPr>
          <w:rFonts w:ascii="Cambria" w:hAnsi="Cambria"/>
          <w:sz w:val="22"/>
          <w:szCs w:val="22"/>
        </w:rPr>
      </w:pPr>
      <w:r>
        <w:rPr>
          <w:rFonts w:ascii="Cambria" w:hAnsi="Cambria"/>
          <w:b/>
          <w:bCs/>
          <w:sz w:val="22"/>
          <w:szCs w:val="22"/>
        </w:rPr>
        <w:t>a)</w:t>
      </w:r>
      <w:r>
        <w:rPr>
          <w:rFonts w:ascii="Cambria" w:hAnsi="Cambria"/>
          <w:sz w:val="22"/>
          <w:szCs w:val="22"/>
        </w:rPr>
        <w:t xml:space="preserve"> No caso do reajustamento, deverá ser respeitada a contagem da anualidade e o índice previstos para a contratação;  </w:t>
      </w:r>
    </w:p>
    <w:p w14:paraId="4F8C83F8">
      <w:pPr>
        <w:pStyle w:val="57"/>
        <w:ind w:firstLine="567"/>
        <w:rPr>
          <w:rFonts w:ascii="Cambria" w:hAnsi="Cambria"/>
          <w:sz w:val="22"/>
          <w:szCs w:val="22"/>
        </w:rPr>
      </w:pPr>
      <w:r>
        <w:rPr>
          <w:rFonts w:ascii="Cambria" w:hAnsi="Cambria"/>
          <w:b/>
          <w:bCs/>
          <w:sz w:val="22"/>
          <w:szCs w:val="22"/>
        </w:rPr>
        <w:t>b)</w:t>
      </w:r>
      <w:r>
        <w:rPr>
          <w:rFonts w:ascii="Cambria" w:hAnsi="Cambria"/>
          <w:sz w:val="22"/>
          <w:szCs w:val="22"/>
        </w:rPr>
        <w:t xml:space="preserve"> No caso da repactuação, poderá ser a pedido do interessado, conforme critérios definidos para a contratação.</w:t>
      </w:r>
    </w:p>
    <w:p w14:paraId="52D213AC">
      <w:pPr>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spacing w:before="240" w:after="240" w:afterLines="100" w:line="276" w:lineRule="auto"/>
        <w:ind w:right="-1"/>
        <w:jc w:val="both"/>
        <w:rPr>
          <w:rFonts w:ascii="Cambria" w:hAnsi="Cambria"/>
        </w:rPr>
      </w:pPr>
      <w:r>
        <w:rPr>
          <w:rFonts w:ascii="Cambria" w:hAnsi="Cambria" w:eastAsia="Arial"/>
          <w:b/>
        </w:rPr>
        <w:t>DA NEGOCIAÇÃO DE PREÇOS REGISTRADOS</w:t>
      </w:r>
    </w:p>
    <w:p w14:paraId="0A2742DB">
      <w:pPr>
        <w:pStyle w:val="30"/>
      </w:pPr>
      <w:r>
        <w:rPr>
          <w:b/>
        </w:rPr>
        <w:t>CLÁUSULA DÉCIMA NONA:</w:t>
      </w:r>
      <w:r>
        <w:t xml:space="preserve"> Na hipótese de o preço registrado tornar-se superior ao preço pra</w:t>
      </w:r>
      <w:r>
        <w:rPr>
          <w:rFonts w:eastAsia="Calibri"/>
        </w:rPr>
        <w:t>ti</w:t>
      </w:r>
      <w:r>
        <w:t>cado no mercado por mo</w:t>
      </w:r>
      <w:r>
        <w:rPr>
          <w:rFonts w:eastAsia="Calibri"/>
        </w:rPr>
        <w:t>ti</w:t>
      </w:r>
      <w:r>
        <w:t>vo superveniente, o órgão ou en</w:t>
      </w:r>
      <w:r>
        <w:rPr>
          <w:rFonts w:eastAsia="Calibri"/>
        </w:rPr>
        <w:t>ti</w:t>
      </w:r>
      <w:r>
        <w:t>dade gerenciadora convocará o fornecedor para negociar a redução do preço registrado.</w:t>
      </w:r>
    </w:p>
    <w:p w14:paraId="1F3C9464">
      <w:pPr>
        <w:pStyle w:val="55"/>
        <w:numPr>
          <w:ilvl w:val="0"/>
          <w:numId w:val="0"/>
        </w:numPr>
        <w:ind w:firstLine="567"/>
        <w:rPr>
          <w:rFonts w:ascii="Cambria" w:hAnsi="Cambria"/>
          <w:sz w:val="22"/>
          <w:szCs w:val="22"/>
        </w:rPr>
      </w:pPr>
      <w:r>
        <w:rPr>
          <w:rFonts w:ascii="Cambria" w:hAnsi="Cambria"/>
          <w:b/>
          <w:bCs/>
          <w:sz w:val="22"/>
          <w:szCs w:val="22"/>
        </w:rPr>
        <w:t>I.</w:t>
      </w:r>
      <w:r>
        <w:rPr>
          <w:rFonts w:ascii="Cambria" w:hAnsi="Cambria"/>
          <w:sz w:val="22"/>
          <w:szCs w:val="22"/>
        </w:rPr>
        <w:t xml:space="preserve"> Caso não aceite reduzir seu preço aos valores pra</w:t>
      </w:r>
      <w:r>
        <w:rPr>
          <w:rFonts w:ascii="Cambria" w:hAnsi="Cambria" w:eastAsia="Calibri"/>
          <w:sz w:val="22"/>
          <w:szCs w:val="22"/>
        </w:rPr>
        <w:t>ti</w:t>
      </w:r>
      <w:r>
        <w:rPr>
          <w:rFonts w:ascii="Cambria" w:hAnsi="Cambria"/>
          <w:sz w:val="22"/>
          <w:szCs w:val="22"/>
        </w:rPr>
        <w:t>cados pelo mercado, o fornecedor será liberado do compromisso assumido quanto ao item registrado, sem aplicação de penalidades administrativas.</w:t>
      </w:r>
    </w:p>
    <w:p w14:paraId="72158915">
      <w:pPr>
        <w:pStyle w:val="55"/>
        <w:numPr>
          <w:ilvl w:val="0"/>
          <w:numId w:val="0"/>
        </w:numPr>
        <w:ind w:firstLine="567"/>
        <w:rPr>
          <w:rFonts w:ascii="Cambria" w:hAnsi="Cambria"/>
          <w:sz w:val="22"/>
          <w:szCs w:val="22"/>
        </w:rPr>
      </w:pPr>
      <w:r>
        <w:rPr>
          <w:rFonts w:ascii="Cambria" w:hAnsi="Cambria"/>
          <w:b/>
          <w:bCs/>
          <w:sz w:val="22"/>
          <w:szCs w:val="22"/>
        </w:rPr>
        <w:t>II.</w:t>
      </w:r>
      <w:r>
        <w:rPr>
          <w:rFonts w:ascii="Cambria" w:hAnsi="Cambria"/>
          <w:sz w:val="22"/>
          <w:szCs w:val="22"/>
        </w:rPr>
        <w:t xml:space="preserve"> Na hipótese prevista no inciso anterior, o gerenciador convocará os fornecedores do cadastro de reserva, na ordem de classificação, para verificar se aceitam reduzir seus preços aos valores de mercado e não convocará os licitantes ou fornecedores que tiveram seu registro cancelado. </w:t>
      </w:r>
    </w:p>
    <w:p w14:paraId="3F38D2C8">
      <w:pPr>
        <w:pStyle w:val="55"/>
        <w:numPr>
          <w:ilvl w:val="0"/>
          <w:numId w:val="0"/>
        </w:numPr>
        <w:ind w:firstLine="567"/>
        <w:rPr>
          <w:rFonts w:ascii="Cambria" w:hAnsi="Cambria"/>
          <w:sz w:val="22"/>
          <w:szCs w:val="22"/>
        </w:rPr>
      </w:pPr>
      <w:r>
        <w:rPr>
          <w:rFonts w:ascii="Cambria" w:hAnsi="Cambria"/>
          <w:b/>
          <w:bCs/>
          <w:sz w:val="22"/>
          <w:szCs w:val="22"/>
        </w:rPr>
        <w:t>III.</w:t>
      </w:r>
      <w:r>
        <w:rPr>
          <w:rFonts w:ascii="Cambria" w:hAnsi="Cambria"/>
          <w:sz w:val="22"/>
          <w:szCs w:val="22"/>
        </w:rPr>
        <w:t xml:space="preserve"> Se não obtiver êxito nas negociações, o órgão ou en</w:t>
      </w:r>
      <w:r>
        <w:rPr>
          <w:rFonts w:ascii="Cambria" w:hAnsi="Cambria" w:eastAsia="Calibri"/>
          <w:sz w:val="22"/>
          <w:szCs w:val="22"/>
        </w:rPr>
        <w:t>tid</w:t>
      </w:r>
      <w:r>
        <w:rPr>
          <w:rFonts w:ascii="Cambria" w:hAnsi="Cambria"/>
          <w:sz w:val="22"/>
          <w:szCs w:val="22"/>
        </w:rPr>
        <w:t>ade gerenciadora procederá ao cancelamento da ata de registro de preços, adotando as medidas cabíveis para obtenção de contratação mais vantajosa.</w:t>
      </w:r>
      <w:bookmarkStart w:id="66" w:name="reducao_preco_mercado_negociacao_frustra"/>
      <w:bookmarkEnd w:id="66"/>
    </w:p>
    <w:p w14:paraId="01FB08B8">
      <w:pPr>
        <w:pStyle w:val="55"/>
        <w:numPr>
          <w:ilvl w:val="0"/>
          <w:numId w:val="0"/>
        </w:numPr>
        <w:ind w:firstLine="567"/>
        <w:rPr>
          <w:rFonts w:ascii="Cambria" w:hAnsi="Cambria"/>
          <w:sz w:val="22"/>
          <w:szCs w:val="22"/>
        </w:rPr>
      </w:pPr>
      <w:r>
        <w:rPr>
          <w:rFonts w:ascii="Cambria" w:hAnsi="Cambria" w:cs="Calibri"/>
          <w:b/>
          <w:bCs/>
          <w:sz w:val="22"/>
          <w:szCs w:val="22"/>
        </w:rPr>
        <w:t>IV.</w:t>
      </w:r>
      <w:r>
        <w:rPr>
          <w:rFonts w:ascii="Cambria" w:hAnsi="Cambria" w:cs="Calibri"/>
          <w:sz w:val="22"/>
          <w:szCs w:val="22"/>
        </w:rPr>
        <w:t xml:space="preserve"> Na hipótese de</w:t>
      </w:r>
      <w:r>
        <w:rPr>
          <w:rFonts w:ascii="Cambria" w:hAnsi="Cambria"/>
          <w:sz w:val="22"/>
          <w:szCs w:val="22"/>
        </w:rPr>
        <w:t xml:space="preserve"> redução do preço registrado, o gerenciador comunicará aos órgãos e às en</w:t>
      </w:r>
      <w:r>
        <w:rPr>
          <w:rFonts w:ascii="Cambria" w:hAnsi="Cambria" w:eastAsia="Calibri"/>
          <w:sz w:val="22"/>
          <w:szCs w:val="22"/>
        </w:rPr>
        <w:t>ti</w:t>
      </w:r>
      <w:r>
        <w:rPr>
          <w:rFonts w:ascii="Cambria" w:hAnsi="Cambria"/>
          <w:sz w:val="22"/>
          <w:szCs w:val="22"/>
        </w:rPr>
        <w:t xml:space="preserve">dades que </w:t>
      </w:r>
      <w:r>
        <w:rPr>
          <w:rFonts w:ascii="Cambria" w:hAnsi="Cambria" w:eastAsia="Calibri"/>
          <w:sz w:val="22"/>
          <w:szCs w:val="22"/>
        </w:rPr>
        <w:t>ti</w:t>
      </w:r>
      <w:r>
        <w:rPr>
          <w:rFonts w:ascii="Cambria" w:hAnsi="Cambria"/>
          <w:sz w:val="22"/>
          <w:szCs w:val="22"/>
        </w:rPr>
        <w:t>verem firmado contratos decorrentes da ata de registro de preços para que avaliem a conveniência e a oportunidade de diligenciarem negociação com vistas à alteração contratual, observado o disposto no artigo 124 da Lei Federal nº 14.133, de 2021.</w:t>
      </w:r>
    </w:p>
    <w:p w14:paraId="168A27F4">
      <w:pPr>
        <w:pStyle w:val="30"/>
      </w:pPr>
      <w:r>
        <w:rPr>
          <w:b/>
        </w:rPr>
        <w:t>CLÁUSULA VIGÉSIMA:</w:t>
      </w:r>
      <w:r>
        <w:t xml:space="preserve"> 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67" w:name="hipotese_preco_mercado_maior"/>
      <w:bookmarkEnd w:id="67"/>
    </w:p>
    <w:p w14:paraId="4D2B7C75">
      <w:pPr>
        <w:pStyle w:val="55"/>
        <w:numPr>
          <w:ilvl w:val="0"/>
          <w:numId w:val="0"/>
        </w:numPr>
        <w:ind w:firstLine="567"/>
        <w:rPr>
          <w:rFonts w:ascii="Cambria" w:hAnsi="Cambria"/>
          <w:sz w:val="22"/>
          <w:szCs w:val="22"/>
        </w:rPr>
      </w:pPr>
      <w:r>
        <w:rPr>
          <w:rFonts w:ascii="Cambria" w:hAnsi="Cambria"/>
          <w:b/>
          <w:bCs/>
          <w:sz w:val="22"/>
          <w:szCs w:val="22"/>
        </w:rPr>
        <w:t>I.</w:t>
      </w:r>
      <w:r>
        <w:rPr>
          <w:rFonts w:ascii="Cambria" w:hAnsi="Cambria"/>
          <w:sz w:val="22"/>
          <w:szCs w:val="22"/>
        </w:rPr>
        <w:t xml:space="preserve"> Neste caso, o fornecedor encaminhará, juntamente com o pedido de alteração, a documentação comprobatória ou à planilha de custos que demonstre a inviabilidade do preço registrado em relação às condições inicialmente pactuadas.</w:t>
      </w:r>
      <w:bookmarkStart w:id="68" w:name="prova_preco_mercado_maior"/>
      <w:bookmarkEnd w:id="68"/>
    </w:p>
    <w:p w14:paraId="1852638E">
      <w:pPr>
        <w:pStyle w:val="55"/>
        <w:numPr>
          <w:ilvl w:val="0"/>
          <w:numId w:val="0"/>
        </w:numPr>
        <w:ind w:firstLine="567"/>
        <w:rPr>
          <w:rFonts w:ascii="Cambria" w:hAnsi="Cambria"/>
          <w:sz w:val="22"/>
          <w:szCs w:val="22"/>
        </w:rPr>
      </w:pPr>
      <w:r>
        <w:rPr>
          <w:rFonts w:ascii="Cambria" w:hAnsi="Cambria"/>
          <w:b/>
          <w:bCs/>
          <w:sz w:val="22"/>
          <w:szCs w:val="22"/>
        </w:rPr>
        <w:t>II.</w:t>
      </w:r>
      <w:r>
        <w:rPr>
          <w:rFonts w:ascii="Cambria" w:hAnsi="Cambria"/>
          <w:sz w:val="22"/>
          <w:szCs w:val="22"/>
        </w:rPr>
        <w:t xml:space="preserve"> Não hipótese de não comprovação da existência de fato superveniente que inviabilize o preço registrado, o pedido será indeferido pelo órgão ou en</w:t>
      </w:r>
      <w:r>
        <w:rPr>
          <w:rFonts w:ascii="Cambria" w:hAnsi="Cambria" w:eastAsia="Calibri"/>
          <w:sz w:val="22"/>
          <w:szCs w:val="22"/>
        </w:rPr>
        <w:t>ti</w:t>
      </w:r>
      <w:r>
        <w:rPr>
          <w:rFonts w:ascii="Cambria" w:hAnsi="Cambria"/>
          <w:sz w:val="22"/>
          <w:szCs w:val="22"/>
        </w:rPr>
        <w:t>dade gerenciadora e o fornecedor deverá cumprir as obrigações estabelecidas na ata, sob pena de cancelamento do seu registro, sem prejuízo das sanções previstas na Lei nº 14.133, de 2021, e na legislação aplicável.</w:t>
      </w:r>
      <w:bookmarkStart w:id="69" w:name="nao_comprovacao_majoracao_mercado"/>
      <w:bookmarkEnd w:id="69"/>
    </w:p>
    <w:p w14:paraId="2BC20A44">
      <w:pPr>
        <w:pStyle w:val="55"/>
        <w:numPr>
          <w:ilvl w:val="0"/>
          <w:numId w:val="0"/>
        </w:numPr>
        <w:ind w:firstLine="567"/>
        <w:rPr>
          <w:rFonts w:ascii="Cambria" w:hAnsi="Cambria"/>
          <w:sz w:val="22"/>
          <w:szCs w:val="22"/>
        </w:rPr>
      </w:pPr>
      <w:r>
        <w:rPr>
          <w:rFonts w:ascii="Cambria" w:hAnsi="Cambria"/>
          <w:b/>
          <w:bCs/>
          <w:sz w:val="22"/>
          <w:szCs w:val="22"/>
        </w:rPr>
        <w:t>III.</w:t>
      </w:r>
      <w:r>
        <w:rPr>
          <w:rFonts w:ascii="Cambria" w:hAnsi="Cambria"/>
          <w:sz w:val="22"/>
          <w:szCs w:val="22"/>
        </w:rPr>
        <w:t xml:space="preserve"> Na hipótese de cancelamento do registro do fornecedor, nos termos do inciso anterior, o gerenciador convocará os fornecedores do cadastro de reserva, na ordem de classificação, para verificar se aceitam manter seus preços registrados.</w:t>
      </w:r>
    </w:p>
    <w:p w14:paraId="4E1097B6">
      <w:pPr>
        <w:pStyle w:val="55"/>
        <w:numPr>
          <w:ilvl w:val="0"/>
          <w:numId w:val="0"/>
        </w:numPr>
        <w:ind w:firstLine="567"/>
        <w:rPr>
          <w:rFonts w:ascii="Cambria" w:hAnsi="Cambria"/>
          <w:sz w:val="22"/>
          <w:szCs w:val="22"/>
        </w:rPr>
      </w:pPr>
      <w:r>
        <w:rPr>
          <w:rFonts w:ascii="Cambria" w:hAnsi="Cambria"/>
          <w:b/>
          <w:bCs/>
          <w:sz w:val="22"/>
          <w:szCs w:val="22"/>
        </w:rPr>
        <w:t>IV.</w:t>
      </w:r>
      <w:r>
        <w:rPr>
          <w:rFonts w:ascii="Cambria" w:hAnsi="Cambria"/>
          <w:sz w:val="22"/>
          <w:szCs w:val="22"/>
        </w:rPr>
        <w:t xml:space="preserve"> Se não obtiver êxito nas negociações, o órgão ou entidade gerenciadora procederá ao cancelamento da ata de registro de preços, e adotará as medidas cabíveis para a obtenção da contratação mais vantajosa.</w:t>
      </w:r>
      <w:bookmarkStart w:id="70" w:name="majora_preco_mercado_negociacao_frustra"/>
      <w:bookmarkEnd w:id="70"/>
    </w:p>
    <w:p w14:paraId="6D99061E">
      <w:pPr>
        <w:pStyle w:val="55"/>
        <w:numPr>
          <w:ilvl w:val="0"/>
          <w:numId w:val="0"/>
        </w:numPr>
        <w:ind w:firstLine="567"/>
        <w:rPr>
          <w:rFonts w:ascii="Cambria" w:hAnsi="Cambria"/>
          <w:sz w:val="22"/>
          <w:szCs w:val="22"/>
        </w:rPr>
      </w:pPr>
      <w:r>
        <w:rPr>
          <w:rFonts w:ascii="Cambria" w:hAnsi="Cambria"/>
          <w:b/>
          <w:bCs/>
          <w:sz w:val="22"/>
          <w:szCs w:val="22"/>
        </w:rPr>
        <w:t>V.</w:t>
      </w:r>
      <w:r>
        <w:rPr>
          <w:rFonts w:ascii="Cambria" w:hAnsi="Cambria"/>
          <w:sz w:val="22"/>
          <w:szCs w:val="22"/>
        </w:rPr>
        <w:t xml:space="preserve"> Na hipótese de comprovação da majoração do preço de mercado que inviabilize o preço registrado, conforme previsto no inciso I o órgão ou en</w:t>
      </w:r>
      <w:r>
        <w:rPr>
          <w:rFonts w:ascii="Cambria" w:hAnsi="Cambria" w:eastAsia="Calibri"/>
          <w:sz w:val="22"/>
          <w:szCs w:val="22"/>
        </w:rPr>
        <w:t>ti</w:t>
      </w:r>
      <w:r>
        <w:rPr>
          <w:rFonts w:ascii="Cambria" w:hAnsi="Cambria"/>
          <w:sz w:val="22"/>
          <w:szCs w:val="22"/>
        </w:rPr>
        <w:t>dade gerenciadora atualizará o preço registrado, de acordo com a realidade dos valores praticados pelo mercado.</w:t>
      </w:r>
    </w:p>
    <w:p w14:paraId="228CA769">
      <w:pPr>
        <w:spacing w:line="276" w:lineRule="auto"/>
        <w:ind w:firstLine="567"/>
        <w:jc w:val="both"/>
        <w:rPr>
          <w:rFonts w:ascii="Cambria" w:hAnsi="Cambria"/>
        </w:rPr>
      </w:pPr>
      <w:r>
        <w:rPr>
          <w:rFonts w:ascii="Cambria" w:hAnsi="Cambria"/>
          <w:b/>
        </w:rPr>
        <w:t xml:space="preserve">VI. </w:t>
      </w:r>
      <w:r>
        <w:rPr>
          <w:rFonts w:ascii="Cambria" w:hAnsi="Cambria"/>
        </w:rPr>
        <w:t>O órgão ou en</w:t>
      </w:r>
      <w:r>
        <w:rPr>
          <w:rFonts w:ascii="Cambria" w:hAnsi="Cambria" w:eastAsia="Calibri"/>
        </w:rPr>
        <w:t>ti</w:t>
      </w:r>
      <w:r>
        <w:rPr>
          <w:rFonts w:ascii="Cambria" w:hAnsi="Cambria"/>
        </w:rPr>
        <w:t>dade gerenciadora comunicará aos órgãos e às en</w:t>
      </w:r>
      <w:r>
        <w:rPr>
          <w:rFonts w:ascii="Cambria" w:hAnsi="Cambria" w:eastAsia="Calibri"/>
        </w:rPr>
        <w:t>ti</w:t>
      </w:r>
      <w:r>
        <w:rPr>
          <w:rFonts w:ascii="Cambria" w:hAnsi="Cambria"/>
        </w:rPr>
        <w:t xml:space="preserve">dades que </w:t>
      </w:r>
      <w:r>
        <w:rPr>
          <w:rFonts w:ascii="Cambria" w:hAnsi="Cambria" w:eastAsia="Calibri"/>
        </w:rPr>
        <w:t>ti</w:t>
      </w:r>
      <w:r>
        <w:rPr>
          <w:rFonts w:ascii="Cambria" w:hAnsi="Cambria"/>
        </w:rPr>
        <w:t>verem firmado contratos decorrentes da ata de registro de preços sobre a efe</w:t>
      </w:r>
      <w:r>
        <w:rPr>
          <w:rFonts w:ascii="Cambria" w:hAnsi="Cambria" w:eastAsia="Calibri"/>
        </w:rPr>
        <w:t>ti</w:t>
      </w:r>
      <w:r>
        <w:rPr>
          <w:rFonts w:ascii="Cambria" w:hAnsi="Cambria"/>
        </w:rPr>
        <w:t>va alteração do preço registrado, para que avaliem a necessidade de alteração contratual, observado o disposto no artigo 124 da Lei Federal nº 14.133, de 2021.</w:t>
      </w:r>
    </w:p>
    <w:p w14:paraId="06454DF5">
      <w:pPr>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spacing w:after="240" w:afterLines="100" w:line="276" w:lineRule="auto"/>
        <w:ind w:right="-1"/>
        <w:jc w:val="both"/>
        <w:rPr>
          <w:rFonts w:ascii="Cambria" w:hAnsi="Cambria"/>
        </w:rPr>
      </w:pPr>
      <w:r>
        <w:rPr>
          <w:rFonts w:ascii="Cambria" w:hAnsi="Cambria" w:eastAsia="Arial"/>
          <w:b/>
        </w:rPr>
        <w:t>DO REMANEJAMENTO DAS QUANTIDADES REGISTRADAS</w:t>
      </w:r>
    </w:p>
    <w:p w14:paraId="489B16A9">
      <w:pPr>
        <w:pStyle w:val="30"/>
      </w:pPr>
      <w:r>
        <w:rPr>
          <w:b/>
        </w:rPr>
        <w:t>CLÁUSULA VIGÉSIMA PRIMEIRA:</w:t>
      </w:r>
      <w:r>
        <w:t xml:space="preserve"> As quantidades previstas para os itens com preços registrados nas atas de registro de preços poderão ser remanejadas pelo órgão ou entidade gerenciadora entre os órgãos ou as entidades participantes e não participantes do registro de preços.</w:t>
      </w:r>
    </w:p>
    <w:p w14:paraId="00C12F95">
      <w:pPr>
        <w:pStyle w:val="30"/>
      </w:pPr>
      <w:r>
        <w:rPr>
          <w:b/>
        </w:rPr>
        <w:t>CLÁUSULA VIGÉSIMA SEGUNDA:</w:t>
      </w:r>
      <w:r>
        <w:t xml:space="preserve"> O remanejamento somente poderá ser feito:</w:t>
      </w:r>
    </w:p>
    <w:p w14:paraId="0E4B26F9">
      <w:pPr>
        <w:pStyle w:val="55"/>
        <w:numPr>
          <w:ilvl w:val="0"/>
          <w:numId w:val="0"/>
        </w:numPr>
        <w:ind w:firstLine="567"/>
        <w:rPr>
          <w:rFonts w:ascii="Cambria" w:hAnsi="Cambria"/>
          <w:sz w:val="22"/>
          <w:szCs w:val="22"/>
        </w:rPr>
      </w:pPr>
      <w:r>
        <w:rPr>
          <w:rFonts w:ascii="Cambria" w:hAnsi="Cambria"/>
          <w:b/>
          <w:bCs/>
          <w:sz w:val="22"/>
          <w:szCs w:val="22"/>
        </w:rPr>
        <w:t>I.</w:t>
      </w:r>
      <w:r>
        <w:rPr>
          <w:rFonts w:ascii="Cambria" w:hAnsi="Cambria"/>
          <w:sz w:val="22"/>
          <w:szCs w:val="22"/>
        </w:rPr>
        <w:t xml:space="preserve"> De órgão ou en</w:t>
      </w:r>
      <w:r>
        <w:rPr>
          <w:rFonts w:ascii="Cambria" w:hAnsi="Cambria" w:eastAsia="Arial"/>
          <w:sz w:val="22"/>
          <w:szCs w:val="22"/>
        </w:rPr>
        <w:t>ti</w:t>
      </w:r>
      <w:r>
        <w:rPr>
          <w:rFonts w:ascii="Cambria" w:hAnsi="Cambria"/>
          <w:sz w:val="22"/>
          <w:szCs w:val="22"/>
        </w:rPr>
        <w:t>dade par</w:t>
      </w:r>
      <w:r>
        <w:rPr>
          <w:rFonts w:ascii="Cambria" w:hAnsi="Cambria" w:eastAsia="Arial"/>
          <w:sz w:val="22"/>
          <w:szCs w:val="22"/>
        </w:rPr>
        <w:t>ti</w:t>
      </w:r>
      <w:r>
        <w:rPr>
          <w:rFonts w:ascii="Cambria" w:hAnsi="Cambria"/>
          <w:sz w:val="22"/>
          <w:szCs w:val="22"/>
        </w:rPr>
        <w:t>cipante para órgão ou en</w:t>
      </w:r>
      <w:r>
        <w:rPr>
          <w:rFonts w:ascii="Cambria" w:hAnsi="Cambria" w:eastAsia="Arial"/>
          <w:sz w:val="22"/>
          <w:szCs w:val="22"/>
        </w:rPr>
        <w:t>ti</w:t>
      </w:r>
      <w:r>
        <w:rPr>
          <w:rFonts w:ascii="Cambria" w:hAnsi="Cambria"/>
          <w:sz w:val="22"/>
          <w:szCs w:val="22"/>
        </w:rPr>
        <w:t>dade par</w:t>
      </w:r>
      <w:r>
        <w:rPr>
          <w:rFonts w:ascii="Cambria" w:hAnsi="Cambria" w:eastAsia="Arial"/>
          <w:sz w:val="22"/>
          <w:szCs w:val="22"/>
        </w:rPr>
        <w:t>ti</w:t>
      </w:r>
      <w:r>
        <w:rPr>
          <w:rFonts w:ascii="Cambria" w:hAnsi="Cambria"/>
          <w:sz w:val="22"/>
          <w:szCs w:val="22"/>
        </w:rPr>
        <w:t>cipante; ou</w:t>
      </w:r>
    </w:p>
    <w:p w14:paraId="7422C8A4">
      <w:pPr>
        <w:pStyle w:val="55"/>
        <w:numPr>
          <w:ilvl w:val="0"/>
          <w:numId w:val="0"/>
        </w:numPr>
        <w:ind w:firstLine="567"/>
        <w:rPr>
          <w:rFonts w:ascii="Cambria" w:hAnsi="Cambria"/>
          <w:sz w:val="22"/>
          <w:szCs w:val="22"/>
        </w:rPr>
      </w:pPr>
      <w:r>
        <w:rPr>
          <w:rFonts w:ascii="Cambria" w:hAnsi="Cambria"/>
          <w:b/>
          <w:bCs/>
          <w:sz w:val="22"/>
          <w:szCs w:val="22"/>
        </w:rPr>
        <w:t>II.</w:t>
      </w:r>
      <w:r>
        <w:rPr>
          <w:rFonts w:ascii="Cambria" w:hAnsi="Cambria"/>
          <w:sz w:val="22"/>
          <w:szCs w:val="22"/>
        </w:rPr>
        <w:t xml:space="preserve"> De órgão ou en</w:t>
      </w:r>
      <w:r>
        <w:rPr>
          <w:rFonts w:ascii="Cambria" w:hAnsi="Cambria" w:eastAsia="Arial"/>
          <w:sz w:val="22"/>
          <w:szCs w:val="22"/>
        </w:rPr>
        <w:t>ti</w:t>
      </w:r>
      <w:r>
        <w:rPr>
          <w:rFonts w:ascii="Cambria" w:hAnsi="Cambria"/>
          <w:sz w:val="22"/>
          <w:szCs w:val="22"/>
        </w:rPr>
        <w:t>dade par</w:t>
      </w:r>
      <w:r>
        <w:rPr>
          <w:rFonts w:ascii="Cambria" w:hAnsi="Cambria" w:eastAsia="Arial"/>
          <w:sz w:val="22"/>
          <w:szCs w:val="22"/>
        </w:rPr>
        <w:t>ti</w:t>
      </w:r>
      <w:r>
        <w:rPr>
          <w:rFonts w:ascii="Cambria" w:hAnsi="Cambria"/>
          <w:sz w:val="22"/>
          <w:szCs w:val="22"/>
        </w:rPr>
        <w:t>cipante para órgão ou entidade não participante.</w:t>
      </w:r>
    </w:p>
    <w:p w14:paraId="75782B08">
      <w:pPr>
        <w:pStyle w:val="30"/>
      </w:pPr>
      <w:r>
        <w:rPr>
          <w:b/>
        </w:rPr>
        <w:t>CLÁUSULA VIGÉSIMA TERCEIRA:</w:t>
      </w:r>
      <w:r>
        <w:t xml:space="preserve"> O órgão ou entidade gerenciadora que tiver estimado as quantidades que pretende contratar será considerado participante para efeito do remanejamento.</w:t>
      </w:r>
      <w:bookmarkStart w:id="71" w:name="gerenciador_estimador_é_partic_em_remane"/>
      <w:bookmarkEnd w:id="71"/>
    </w:p>
    <w:p w14:paraId="1E17C646">
      <w:pPr>
        <w:pStyle w:val="30"/>
      </w:pPr>
      <w:r>
        <w:rPr>
          <w:b/>
        </w:rPr>
        <w:t>CLÁUSULA VIGÉSIMA QUARTA:</w:t>
      </w:r>
      <w:r>
        <w:t xml:space="preserve"> Na hipótese de remanejamento de órgão ou entidade participante para órgão ou entidade não participante, serão observados os limites previstos no artigo 32 do Decreto nº 11.462, de 2023.</w:t>
      </w:r>
    </w:p>
    <w:p w14:paraId="111E225B">
      <w:pPr>
        <w:pStyle w:val="30"/>
      </w:pPr>
      <w:r>
        <w:rPr>
          <w:b/>
        </w:rPr>
        <w:t>CLÁUSULA VIGÉSIMA QUINTA:</w:t>
      </w:r>
      <w:r>
        <w:t xml:space="preserve"> Competirá ao órgão ou à entidade gerenciadora autorizar o remanejamento solicitado, com a redução do quantitativo inicialmente informado pelo órgão ou pela entidade participante, desde que haja prévia anuência do órgão ou da entidade que sofrer redução dos quantitativos informados.</w:t>
      </w:r>
    </w:p>
    <w:p w14:paraId="4C18B601">
      <w:pPr>
        <w:pStyle w:val="30"/>
      </w:pPr>
      <w:r>
        <w:rPr>
          <w:b/>
        </w:rPr>
        <w:t>CLÁUSULA VIGÉSIMA SEXTA:</w:t>
      </w:r>
      <w:r>
        <w:t xml:space="preserve"> Caso o remanejamento seja feito entre órgãos ou entidades dos Estados, do Distrito Federal ou de Municípios distintos, caberá ao fornecedor beneficiário da ata de registro de preços, observadas as condições nela estabelecidas, optar pela aceitação ou não do fornecimento decorrente do remanejamento dos itens.</w:t>
      </w:r>
    </w:p>
    <w:p w14:paraId="1A05C365">
      <w:pPr>
        <w:pStyle w:val="30"/>
      </w:pPr>
      <w:r>
        <w:rPr>
          <w:b/>
        </w:rPr>
        <w:t>CLÁUSULA VIGÉSIMA SÉTIMA:</w:t>
      </w:r>
      <w:r>
        <w:t xml:space="preserve"> Na hipótese da compra centralizada, não havendo indicação pelo órgão ou pela entidade gerenciadora, dos quantitativos dos participantes da compra centralizada, nos termos da cláusula vigésima terceira, a distribuição das quantidades para a execução descentralizada será por meio do remanejamento.</w:t>
      </w:r>
    </w:p>
    <w:p w14:paraId="3C035BF2">
      <w:pPr>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spacing w:before="240" w:beforeLines="100" w:line="276" w:lineRule="auto"/>
        <w:ind w:right="-1"/>
        <w:jc w:val="both"/>
        <w:rPr>
          <w:rFonts w:ascii="Cambria" w:hAnsi="Cambria"/>
        </w:rPr>
      </w:pPr>
      <w:r>
        <w:rPr>
          <w:rFonts w:ascii="Cambria" w:hAnsi="Cambria" w:eastAsia="Arial"/>
          <w:b/>
        </w:rPr>
        <w:t>DA ADESÃO À ATA DE REGISTRO DE PREÇOS</w:t>
      </w:r>
    </w:p>
    <w:p w14:paraId="5EDD3D99">
      <w:pPr>
        <w:pStyle w:val="34"/>
        <w:rPr>
          <w:i w:val="0"/>
          <w:iCs w:val="0"/>
          <w:color w:val="auto"/>
        </w:rPr>
      </w:pPr>
      <w:r>
        <w:rPr>
          <w:b/>
          <w:i w:val="0"/>
          <w:iCs w:val="0"/>
          <w:color w:val="auto"/>
        </w:rPr>
        <w:t>CLÁUSULA VIGÉSIMA OITAVA:</w:t>
      </w:r>
      <w:r>
        <w:rPr>
          <w:i w:val="0"/>
          <w:iCs w:val="0"/>
          <w:color w:val="auto"/>
        </w:rPr>
        <w:t xml:space="preserve"> Durante a vigência da ata, os órgãos e as entidades da Administração Pública que não participaram do procedimento de intenção de registro de preços poderão aderir à ata de registro de preços na condição de não participantes, observados os seguintes requisitos:</w:t>
      </w:r>
    </w:p>
    <w:p w14:paraId="6890FA16">
      <w:pPr>
        <w:pStyle w:val="36"/>
        <w:rPr>
          <w:i/>
          <w:iCs/>
          <w:color w:val="auto"/>
        </w:rPr>
      </w:pPr>
      <w:r>
        <w:rPr>
          <w:b/>
          <w:bCs/>
          <w:color w:val="auto"/>
        </w:rPr>
        <w:t>I.</w:t>
      </w:r>
      <w:r>
        <w:rPr>
          <w:color w:val="auto"/>
        </w:rPr>
        <w:t xml:space="preserve"> Apresentação de justificativa da vantagem da adesão, inclusive em situações de provável desabastecimento ou descontinuidade de serviço público;</w:t>
      </w:r>
    </w:p>
    <w:p w14:paraId="1CD7003A">
      <w:pPr>
        <w:pStyle w:val="36"/>
        <w:rPr>
          <w:i/>
          <w:iCs/>
          <w:color w:val="auto"/>
        </w:rPr>
      </w:pPr>
      <w:r>
        <w:rPr>
          <w:b/>
          <w:bCs/>
          <w:color w:val="auto"/>
        </w:rPr>
        <w:t>II.</w:t>
      </w:r>
      <w:r>
        <w:rPr>
          <w:color w:val="auto"/>
        </w:rPr>
        <w:t xml:space="preserve"> Demonstração de que os valores registrados estão compatíveis com os valores praticados pelo mercado na forma do artigo 23 da Lei Federal nº 14.133, de 2021; e</w:t>
      </w:r>
    </w:p>
    <w:p w14:paraId="7F306990">
      <w:pPr>
        <w:pStyle w:val="36"/>
        <w:rPr>
          <w:i/>
          <w:iCs/>
          <w:color w:val="auto"/>
        </w:rPr>
      </w:pPr>
      <w:r>
        <w:rPr>
          <w:b/>
          <w:bCs/>
          <w:color w:val="auto"/>
        </w:rPr>
        <w:t>III.</w:t>
      </w:r>
      <w:r>
        <w:rPr>
          <w:color w:val="auto"/>
        </w:rPr>
        <w:t xml:space="preserve"> Consulta e aceitação prévias do órgão ou da entidade gerenciadora e do fornecedor.</w:t>
      </w:r>
    </w:p>
    <w:p w14:paraId="7F4EB7DD">
      <w:pPr>
        <w:pStyle w:val="34"/>
        <w:rPr>
          <w:i w:val="0"/>
          <w:iCs w:val="0"/>
          <w:color w:val="auto"/>
        </w:rPr>
      </w:pPr>
      <w:r>
        <w:rPr>
          <w:b/>
          <w:i w:val="0"/>
          <w:iCs w:val="0"/>
          <w:color w:val="auto"/>
        </w:rPr>
        <w:t xml:space="preserve">CLÁUSULA VIGÉSIMA NONA: </w:t>
      </w:r>
      <w:r>
        <w:rPr>
          <w:i w:val="0"/>
          <w:iCs w:val="0"/>
          <w:color w:val="auto"/>
        </w:rPr>
        <w:t>A autorização do órgão ou entidade gerenciadora apenas será realizada após a aceitação da adesão pelo fornecedor.</w:t>
      </w:r>
    </w:p>
    <w:p w14:paraId="09F0918C">
      <w:pPr>
        <w:pStyle w:val="36"/>
        <w:rPr>
          <w:color w:val="auto"/>
        </w:rPr>
      </w:pPr>
      <w:r>
        <w:rPr>
          <w:b/>
          <w:bCs/>
          <w:color w:val="auto"/>
        </w:rPr>
        <w:t>I.</w:t>
      </w:r>
      <w:r>
        <w:rPr>
          <w:color w:val="auto"/>
        </w:rPr>
        <w:t xml:space="preserve"> O órgão ou entidade gerenciadora poderá rejeitar adesões caso elas possam acarretar prejuízo à execução de seus próprios contratos ou à sua capacidade de gerenciamento.</w:t>
      </w:r>
    </w:p>
    <w:p w14:paraId="6D0C6FDD">
      <w:pPr>
        <w:pStyle w:val="34"/>
        <w:rPr>
          <w:i w:val="0"/>
          <w:iCs w:val="0"/>
          <w:color w:val="auto"/>
        </w:rPr>
      </w:pPr>
      <w:r>
        <w:rPr>
          <w:b/>
          <w:i w:val="0"/>
          <w:iCs w:val="0"/>
          <w:color w:val="auto"/>
        </w:rPr>
        <w:t xml:space="preserve">CLÁUSULA TRIGÉSIMA: </w:t>
      </w:r>
      <w:r>
        <w:rPr>
          <w:i w:val="0"/>
          <w:iCs w:val="0"/>
          <w:color w:val="auto"/>
        </w:rPr>
        <w:t>Após a autorização do órgão ou da entidade gerenciadora, o órgão ou entidade não participante deverá efetivar a aquisição ou a contratação solicitada em até noventa dias, observado o prazo de vigência da ata.</w:t>
      </w:r>
    </w:p>
    <w:p w14:paraId="112C607B">
      <w:pPr>
        <w:pStyle w:val="34"/>
        <w:rPr>
          <w:i w:val="0"/>
          <w:iCs w:val="0"/>
          <w:color w:val="auto"/>
        </w:rPr>
      </w:pPr>
      <w:r>
        <w:rPr>
          <w:b/>
          <w:i w:val="0"/>
          <w:iCs w:val="0"/>
          <w:color w:val="auto"/>
        </w:rPr>
        <w:t xml:space="preserve">CLÁUSULA TRIGÉSIMA PRIMEIRA: </w:t>
      </w:r>
      <w:r>
        <w:rPr>
          <w:i w:val="0"/>
          <w:iCs w:val="0"/>
          <w:color w:val="auto"/>
        </w:rPr>
        <w:t>O prazo de que trata a cláusula anterior, relativo à efetivação da contratação, poderá ser prorrogado excepcionalmente, mediante solicitação do órgão ou da entidade não participante aceita pelo órgão ou pela entidade gerenciadora, desde que respeitado o limite temporal de vigência da ata de registro de preços.</w:t>
      </w:r>
    </w:p>
    <w:p w14:paraId="6E7E1770">
      <w:pPr>
        <w:pStyle w:val="34"/>
        <w:rPr>
          <w:i w:val="0"/>
          <w:iCs w:val="0"/>
          <w:color w:val="auto"/>
        </w:rPr>
      </w:pPr>
      <w:r>
        <w:rPr>
          <w:b/>
          <w:i w:val="0"/>
          <w:iCs w:val="0"/>
          <w:color w:val="auto"/>
        </w:rPr>
        <w:t xml:space="preserve">CLÁUSULA TRIGÉSIMA SEGUNDA: </w:t>
      </w:r>
      <w:r>
        <w:rPr>
          <w:i w:val="0"/>
          <w:iCs w:val="0"/>
          <w:color w:val="auto"/>
        </w:rPr>
        <w:t>O órgão ou a entidade poderá aderir a item da ata de registro de preços da qual seja integrante, na qualidade de não participante, para aqueles itens para os quais não tenha quantitativo registrado, observados os requisitos da cláusula vigésima nona.</w:t>
      </w:r>
    </w:p>
    <w:p w14:paraId="76560BD6">
      <w:pPr>
        <w:pStyle w:val="34"/>
        <w:rPr>
          <w:i w:val="0"/>
          <w:iCs w:val="0"/>
          <w:color w:val="auto"/>
        </w:rPr>
      </w:pPr>
      <w:r>
        <w:rPr>
          <w:b/>
          <w:i w:val="0"/>
          <w:iCs w:val="0"/>
          <w:color w:val="auto"/>
        </w:rPr>
        <w:t xml:space="preserve">CLÁUSULA TRIGÉSIMA TERCEIRA: </w:t>
      </w:r>
      <w:r>
        <w:rPr>
          <w:i w:val="0"/>
          <w:iCs w:val="0"/>
          <w:color w:val="auto"/>
        </w:rPr>
        <w:t>As aquisições ou contratações adicionais não poderão exceder, por órgão ou entidade, a cinquenta por cento dos quantitativos dos itens do instrumento convocatório registrados na ata de registro de preços para o gerenciador e para os participantes.</w:t>
      </w:r>
    </w:p>
    <w:p w14:paraId="5E10FD29">
      <w:pPr>
        <w:pStyle w:val="34"/>
        <w:rPr>
          <w:i w:val="0"/>
          <w:iCs w:val="0"/>
          <w:color w:val="auto"/>
        </w:rPr>
      </w:pPr>
      <w:r>
        <w:rPr>
          <w:b/>
          <w:i w:val="0"/>
          <w:iCs w:val="0"/>
          <w:color w:val="auto"/>
        </w:rPr>
        <w:t xml:space="preserve">CLÁUSULA TRIGÉSIMA QUARTA: </w:t>
      </w:r>
      <w:r>
        <w:rPr>
          <w:i w:val="0"/>
          <w:iCs w:val="0"/>
          <w:color w:val="auto"/>
        </w:rPr>
        <w:t>O quantitativo decorrente das adesões não poderá exceder, na totalidade, ao dobro do quantitativo de cada item registrado na ata de registro de preços para o gerenciador e os participantes, independentemente do número de órgãos ou entidades não participantes que aderirem à ata de registro de preços.</w:t>
      </w:r>
    </w:p>
    <w:p w14:paraId="70B1319D">
      <w:pPr>
        <w:pStyle w:val="30"/>
      </w:pPr>
      <w:r>
        <w:rPr>
          <w:b/>
        </w:rPr>
        <w:t xml:space="preserve">CLÁUSULA TRIGÉSIMA QUINTA: </w:t>
      </w:r>
      <w:r>
        <w:t>A adesão à ata de registro de preços por órgãos e entidades da Administração Pública estadual, distrital e municipal poderá ser exigida para fins de transferências voluntárias, não ficando sujeita ao limite de que trata a cláusula trigésima quarta, desde que seja destinada à execução descentralizada de programa ou projeto federal e comprovada a compatibilidade dos preços registrados com os valores praticados no mercado na forma do artigo 23 da Lei Federal nº 14.133, de 2021.</w:t>
      </w:r>
    </w:p>
    <w:p w14:paraId="6785D049">
      <w:pPr>
        <w:pStyle w:val="30"/>
      </w:pPr>
      <w:r>
        <w:rPr>
          <w:b/>
        </w:rPr>
        <w:t xml:space="preserve">CLÁUSULA TRIGÉSIMA SEXTA: </w:t>
      </w:r>
      <w:r>
        <w:t>É vedado efetuar acréscimos nos quantitativos fixados na ata de registro de preços.</w:t>
      </w:r>
    </w:p>
    <w:p w14:paraId="13947BB4">
      <w:pPr>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spacing w:before="240" w:after="240" w:afterLines="100" w:line="276" w:lineRule="auto"/>
        <w:ind w:right="-1"/>
        <w:jc w:val="both"/>
        <w:rPr>
          <w:rFonts w:ascii="Cambria" w:hAnsi="Cambria"/>
        </w:rPr>
      </w:pPr>
      <w:r>
        <w:rPr>
          <w:rFonts w:ascii="Cambria" w:hAnsi="Cambria" w:eastAsia="Arial"/>
          <w:b/>
        </w:rPr>
        <w:t>DAS PENALIDADES</w:t>
      </w:r>
    </w:p>
    <w:p w14:paraId="30555246">
      <w:pPr>
        <w:pStyle w:val="55"/>
        <w:numPr>
          <w:ilvl w:val="0"/>
          <w:numId w:val="0"/>
        </w:numPr>
        <w:rPr>
          <w:rFonts w:ascii="Cambria" w:hAnsi="Cambria"/>
          <w:sz w:val="22"/>
          <w:szCs w:val="22"/>
        </w:rPr>
      </w:pPr>
      <w:r>
        <w:rPr>
          <w:rFonts w:ascii="Cambria" w:hAnsi="Cambria"/>
          <w:b/>
          <w:bCs/>
          <w:sz w:val="22"/>
          <w:szCs w:val="22"/>
        </w:rPr>
        <w:t>CLÁSULA TRIGÉSIMA SÉTIMA:</w:t>
      </w:r>
      <w:r>
        <w:rPr>
          <w:rFonts w:ascii="Cambria" w:hAnsi="Cambria"/>
          <w:sz w:val="22"/>
          <w:szCs w:val="22"/>
        </w:rPr>
        <w:t xml:space="preserve"> O descumprimento da Ata de Registro de Preços ensejará aplicação das penalidades estabelecidas no Decreto Municipal nº 17, de 08 de janeiro de 2024, bem como o Edital do Pregão Eletrônico Registro de Preços.</w:t>
      </w:r>
    </w:p>
    <w:p w14:paraId="07902AEA">
      <w:pPr>
        <w:pStyle w:val="55"/>
        <w:numPr>
          <w:ilvl w:val="0"/>
          <w:numId w:val="0"/>
        </w:numPr>
        <w:rPr>
          <w:rFonts w:ascii="Cambria" w:hAnsi="Cambria"/>
          <w:sz w:val="22"/>
          <w:szCs w:val="22"/>
        </w:rPr>
      </w:pPr>
      <w:r>
        <w:rPr>
          <w:rFonts w:ascii="Cambria" w:hAnsi="Cambria"/>
          <w:b/>
          <w:bCs/>
          <w:sz w:val="22"/>
          <w:szCs w:val="22"/>
        </w:rPr>
        <w:t>CLÁSULA TRIGÉSIMA OITAVA:</w:t>
      </w:r>
      <w:r>
        <w:rPr>
          <w:rFonts w:ascii="Cambria" w:hAnsi="Cambria"/>
          <w:sz w:val="22"/>
          <w:szCs w:val="22"/>
        </w:rPr>
        <w:t xml:space="preserve"> As sanções também se aplicam aos integrantes do cadastro de reserva no registro de preços que, convocados, não honrarem o compromisso assumido injustificadamente após terem assinado a ata. </w:t>
      </w:r>
    </w:p>
    <w:p w14:paraId="40CB116C">
      <w:pPr>
        <w:pStyle w:val="55"/>
        <w:numPr>
          <w:ilvl w:val="0"/>
          <w:numId w:val="0"/>
        </w:numPr>
        <w:rPr>
          <w:rFonts w:ascii="Cambria" w:hAnsi="Cambria"/>
          <w:sz w:val="22"/>
          <w:szCs w:val="22"/>
        </w:rPr>
      </w:pPr>
      <w:r>
        <w:rPr>
          <w:rFonts w:ascii="Cambria" w:hAnsi="Cambria"/>
          <w:b/>
          <w:bCs/>
          <w:sz w:val="22"/>
          <w:szCs w:val="22"/>
        </w:rPr>
        <w:t>CLÁSULA TRIGÉSIMA NONA:</w:t>
      </w:r>
      <w:r>
        <w:rPr>
          <w:rFonts w:ascii="Cambria" w:hAnsi="Cambria"/>
          <w:sz w:val="22"/>
          <w:szCs w:val="22"/>
        </w:rPr>
        <w:t xml:space="preserve"> É da competência do gerenciador a aplicação das penalidades decorrentes do descumprimento do pactuado nesta ata de registro de preço, exceto nas hipóteses em que o descumprimento disser respeito às contratações dos órgãos ou entidade participante, caso no qual caberá ao respectivo órgão participante a aplicação da penalidade, conforme o Decreto Municipal nº 17, de 08 de janeiro de 2024.</w:t>
      </w:r>
    </w:p>
    <w:p w14:paraId="496841D6">
      <w:pPr>
        <w:pStyle w:val="30"/>
      </w:pPr>
      <w:r>
        <w:rPr>
          <w:b/>
          <w:bCs/>
        </w:rPr>
        <w:t>CLÁSULA QUADRAGÉSIMA:</w:t>
      </w:r>
      <w:r>
        <w:t xml:space="preserve"> O órgão ou entidade participante deverá comunicar ao órgão gerenciador qualquer das ocorrências previstas no próximo capítulo desta ata, dada a necessidade de instauração de procedimento para cancelamento do registro do fornecedor.</w:t>
      </w:r>
    </w:p>
    <w:p w14:paraId="4B44B298">
      <w:pPr>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spacing w:before="240" w:after="240" w:afterLines="100" w:line="276" w:lineRule="auto"/>
        <w:ind w:right="-1"/>
        <w:jc w:val="both"/>
        <w:rPr>
          <w:rFonts w:ascii="Cambria" w:hAnsi="Cambria"/>
        </w:rPr>
      </w:pPr>
      <w:r>
        <w:rPr>
          <w:rFonts w:ascii="Cambria" w:hAnsi="Cambria" w:eastAsia="Arial"/>
          <w:b/>
        </w:rPr>
        <w:t>DO CANCELAMENTO DO REGISTRO VENCEDOR E DOS PREÇOS REGISTRADOS</w:t>
      </w:r>
    </w:p>
    <w:p w14:paraId="5EDA8ED7">
      <w:pPr>
        <w:pStyle w:val="30"/>
      </w:pPr>
      <w:r>
        <w:rPr>
          <w:b/>
          <w:bCs/>
        </w:rPr>
        <w:t xml:space="preserve">CLÁSULA QUADRAGÉSIMA PRIMEIRA: </w:t>
      </w:r>
      <w:r>
        <w:t>O registro do fornecedor será cancelado pelo gerenciador, quando o fornecedor:</w:t>
      </w:r>
      <w:bookmarkStart w:id="72" w:name="cancelamento_do_fornecedor"/>
      <w:bookmarkEnd w:id="72"/>
    </w:p>
    <w:p w14:paraId="01A6B3CA">
      <w:pPr>
        <w:pStyle w:val="55"/>
        <w:numPr>
          <w:ilvl w:val="0"/>
          <w:numId w:val="0"/>
        </w:numPr>
        <w:ind w:firstLine="567"/>
        <w:rPr>
          <w:rFonts w:ascii="Cambria" w:hAnsi="Cambria"/>
          <w:sz w:val="22"/>
          <w:szCs w:val="22"/>
        </w:rPr>
      </w:pPr>
      <w:r>
        <w:rPr>
          <w:rFonts w:ascii="Cambria" w:hAnsi="Cambria"/>
          <w:b/>
          <w:bCs/>
          <w:sz w:val="22"/>
          <w:szCs w:val="22"/>
        </w:rPr>
        <w:t>I.</w:t>
      </w:r>
      <w:r>
        <w:rPr>
          <w:rFonts w:ascii="Cambria" w:hAnsi="Cambria"/>
          <w:sz w:val="22"/>
          <w:szCs w:val="22"/>
        </w:rPr>
        <w:t xml:space="preserve"> Descumprir as condições da ata de registro de preços, sem motivo justificado;</w:t>
      </w:r>
    </w:p>
    <w:p w14:paraId="734BEC26">
      <w:pPr>
        <w:pStyle w:val="55"/>
        <w:numPr>
          <w:ilvl w:val="0"/>
          <w:numId w:val="0"/>
        </w:numPr>
        <w:ind w:firstLine="567"/>
        <w:rPr>
          <w:rFonts w:ascii="Cambria" w:hAnsi="Cambria"/>
          <w:sz w:val="22"/>
          <w:szCs w:val="22"/>
        </w:rPr>
      </w:pPr>
      <w:r>
        <w:rPr>
          <w:rFonts w:ascii="Cambria" w:hAnsi="Cambria"/>
          <w:b/>
          <w:bCs/>
          <w:sz w:val="22"/>
          <w:szCs w:val="22"/>
        </w:rPr>
        <w:t>II.</w:t>
      </w:r>
      <w:r>
        <w:rPr>
          <w:rFonts w:ascii="Cambria" w:hAnsi="Cambria"/>
          <w:sz w:val="22"/>
          <w:szCs w:val="22"/>
        </w:rPr>
        <w:t xml:space="preserve"> Não re</w:t>
      </w:r>
      <w:r>
        <w:rPr>
          <w:rFonts w:ascii="Cambria" w:hAnsi="Cambria" w:eastAsia="Arial"/>
          <w:sz w:val="22"/>
          <w:szCs w:val="22"/>
        </w:rPr>
        <w:t>ti</w:t>
      </w:r>
      <w:r>
        <w:rPr>
          <w:rFonts w:ascii="Cambria" w:hAnsi="Cambria"/>
          <w:sz w:val="22"/>
          <w:szCs w:val="22"/>
        </w:rPr>
        <w:t>rar a nota de empenho, ou instrumento equivalente, no prazo estabelecido pela Administração sem justificativa razoável;</w:t>
      </w:r>
    </w:p>
    <w:p w14:paraId="42AF6E9C">
      <w:pPr>
        <w:pStyle w:val="55"/>
        <w:numPr>
          <w:ilvl w:val="0"/>
          <w:numId w:val="0"/>
        </w:numPr>
        <w:ind w:firstLine="567"/>
        <w:rPr>
          <w:rFonts w:ascii="Cambria" w:hAnsi="Cambria"/>
          <w:sz w:val="22"/>
          <w:szCs w:val="22"/>
        </w:rPr>
      </w:pPr>
      <w:r>
        <w:rPr>
          <w:rFonts w:ascii="Cambria" w:hAnsi="Cambria"/>
          <w:b/>
          <w:bCs/>
          <w:sz w:val="22"/>
          <w:szCs w:val="22"/>
        </w:rPr>
        <w:t>III.</w:t>
      </w:r>
      <w:r>
        <w:rPr>
          <w:rFonts w:ascii="Cambria" w:hAnsi="Cambria"/>
          <w:sz w:val="22"/>
          <w:szCs w:val="22"/>
        </w:rPr>
        <w:t xml:space="preserve"> Não aceitar manter seu preço registrado, na hipótese prevista no artigo 27, § 2º, do Decreto nº 11.462, de 2023; ou</w:t>
      </w:r>
    </w:p>
    <w:p w14:paraId="5F331EFA">
      <w:pPr>
        <w:pStyle w:val="55"/>
        <w:numPr>
          <w:ilvl w:val="0"/>
          <w:numId w:val="0"/>
        </w:numPr>
        <w:ind w:firstLine="567"/>
        <w:rPr>
          <w:rFonts w:ascii="Cambria" w:hAnsi="Cambria"/>
          <w:sz w:val="22"/>
          <w:szCs w:val="22"/>
        </w:rPr>
      </w:pPr>
      <w:r>
        <w:rPr>
          <w:rFonts w:ascii="Cambria" w:hAnsi="Cambria"/>
          <w:b/>
          <w:bCs/>
          <w:sz w:val="22"/>
          <w:szCs w:val="22"/>
        </w:rPr>
        <w:t>IV.</w:t>
      </w:r>
      <w:r>
        <w:rPr>
          <w:rFonts w:ascii="Cambria" w:hAnsi="Cambria"/>
          <w:sz w:val="22"/>
          <w:szCs w:val="22"/>
        </w:rPr>
        <w:t xml:space="preserve"> Sofrer sanção prevista nos incisos III ou IV do caput do artigo 156 da Lei Federal nº 14.133, de 2021.</w:t>
      </w:r>
    </w:p>
    <w:p w14:paraId="47384186">
      <w:pPr>
        <w:pStyle w:val="57"/>
        <w:ind w:firstLine="567"/>
        <w:rPr>
          <w:rFonts w:ascii="Cambria" w:hAnsi="Cambria"/>
          <w:sz w:val="22"/>
          <w:szCs w:val="22"/>
        </w:rPr>
      </w:pPr>
      <w:r>
        <w:rPr>
          <w:rFonts w:ascii="Cambria" w:hAnsi="Cambria"/>
          <w:b/>
          <w:bCs/>
          <w:sz w:val="22"/>
          <w:szCs w:val="22"/>
        </w:rPr>
        <w:t>a)</w:t>
      </w:r>
      <w:r>
        <w:rPr>
          <w:rFonts w:ascii="Cambria" w:hAnsi="Cambria"/>
          <w:sz w:val="22"/>
          <w:szCs w:val="22"/>
        </w:rPr>
        <w:t xml:space="preserve"> Na hipótese de aplicação de sanção prevista nos incisos III ou IV do caput do artigo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54369050">
      <w:pPr>
        <w:pStyle w:val="30"/>
      </w:pPr>
      <w:r>
        <w:rPr>
          <w:b/>
          <w:bCs/>
        </w:rPr>
        <w:t xml:space="preserve">CLÁSULA QUADRAGÉSIMA SEGUNDA: </w:t>
      </w:r>
      <w:r>
        <w:t>O cancelamento de registros nas hipóteses previstas na cláusula quadragésima primeira será formalizada por despacho do órgão ou da entidade gerenciadora, garantidos os princípios do contraditório e da ampla defesa.</w:t>
      </w:r>
    </w:p>
    <w:p w14:paraId="4C4B36B6">
      <w:pPr>
        <w:pStyle w:val="30"/>
      </w:pPr>
      <w:r>
        <w:rPr>
          <w:b/>
          <w:bCs/>
        </w:rPr>
        <w:t xml:space="preserve">CLÁSULA QUADRAGÉSIMA TERCEIRA: </w:t>
      </w:r>
      <w:r>
        <w:t>Na hipótese de cancelamento do registro do fornecedor, o órgão ou a entidade gerenciadora poderá convocar os licitantes que compõem o cadastro de reserva, observada a ordem de classificação.</w:t>
      </w:r>
    </w:p>
    <w:p w14:paraId="7C7EC24C">
      <w:pPr>
        <w:pStyle w:val="30"/>
      </w:pPr>
      <w:r>
        <w:rPr>
          <w:b/>
          <w:bCs/>
        </w:rPr>
        <w:t xml:space="preserve">CLÁSULA QUADRAGÉSIMA QUARTA: </w:t>
      </w:r>
      <w:r>
        <w:t>O cancelamento dos preços registrados poderá ser realizado pelo gerenciador, em determinada ata de registro de preços, total ou parcialmente, nas seguintes hipóteses, desde que devidamente comprovadas e justificadas:</w:t>
      </w:r>
      <w:bookmarkStart w:id="73" w:name="cancelamento_da_ata"/>
      <w:bookmarkEnd w:id="73"/>
      <w:r>
        <w:t xml:space="preserve"> </w:t>
      </w:r>
    </w:p>
    <w:p w14:paraId="25F0EA2D">
      <w:pPr>
        <w:pStyle w:val="55"/>
        <w:numPr>
          <w:ilvl w:val="0"/>
          <w:numId w:val="0"/>
        </w:numPr>
        <w:ind w:firstLine="567"/>
        <w:rPr>
          <w:rFonts w:ascii="Cambria" w:hAnsi="Cambria"/>
          <w:sz w:val="22"/>
          <w:szCs w:val="22"/>
        </w:rPr>
      </w:pPr>
      <w:r>
        <w:rPr>
          <w:rFonts w:ascii="Cambria" w:hAnsi="Cambria"/>
          <w:b/>
          <w:bCs/>
          <w:sz w:val="22"/>
          <w:szCs w:val="22"/>
        </w:rPr>
        <w:t>I.</w:t>
      </w:r>
      <w:r>
        <w:rPr>
          <w:rFonts w:ascii="Cambria" w:hAnsi="Cambria"/>
          <w:sz w:val="22"/>
          <w:szCs w:val="22"/>
        </w:rPr>
        <w:t xml:space="preserve"> Por razão de interesse público;</w:t>
      </w:r>
    </w:p>
    <w:p w14:paraId="265490E6">
      <w:pPr>
        <w:pStyle w:val="55"/>
        <w:numPr>
          <w:ilvl w:val="0"/>
          <w:numId w:val="0"/>
        </w:numPr>
        <w:ind w:firstLine="567"/>
        <w:rPr>
          <w:rFonts w:ascii="Cambria" w:hAnsi="Cambria"/>
          <w:sz w:val="22"/>
          <w:szCs w:val="22"/>
        </w:rPr>
      </w:pPr>
      <w:r>
        <w:rPr>
          <w:rFonts w:ascii="Cambria" w:hAnsi="Cambria"/>
          <w:b/>
          <w:bCs/>
          <w:sz w:val="22"/>
          <w:szCs w:val="22"/>
        </w:rPr>
        <w:t>II.</w:t>
      </w:r>
      <w:r>
        <w:rPr>
          <w:rFonts w:ascii="Cambria" w:hAnsi="Cambria"/>
          <w:sz w:val="22"/>
          <w:szCs w:val="22"/>
        </w:rPr>
        <w:t xml:space="preserve"> A pedido do fornecedor, decorrente de caso fortuito ou força maior; ou</w:t>
      </w:r>
    </w:p>
    <w:p w14:paraId="15478526">
      <w:pPr>
        <w:pStyle w:val="55"/>
        <w:numPr>
          <w:ilvl w:val="0"/>
          <w:numId w:val="0"/>
        </w:numPr>
        <w:ind w:firstLine="567"/>
        <w:rPr>
          <w:rFonts w:ascii="Cambria" w:hAnsi="Cambria"/>
          <w:sz w:val="22"/>
          <w:szCs w:val="22"/>
        </w:rPr>
      </w:pPr>
      <w:r>
        <w:rPr>
          <w:rFonts w:ascii="Cambria" w:hAnsi="Cambria"/>
          <w:b/>
          <w:bCs/>
          <w:sz w:val="22"/>
          <w:szCs w:val="22"/>
        </w:rPr>
        <w:t>III.</w:t>
      </w:r>
      <w:r>
        <w:rPr>
          <w:rFonts w:ascii="Cambria" w:hAnsi="Cambria"/>
          <w:sz w:val="22"/>
          <w:szCs w:val="22"/>
        </w:rPr>
        <w:t xml:space="preserve"> Se não houver êxito nas negociações, nas hipóteses em que o preço de mercado tornar-se superior ou inferior ao preço registrado, nos termos do Decreto Municipal nº 17, de 08 de janeiro de 2024.</w:t>
      </w:r>
    </w:p>
    <w:p w14:paraId="4E87D35C">
      <w:pPr>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spacing w:before="240" w:after="240" w:afterLines="100" w:line="276" w:lineRule="auto"/>
        <w:ind w:right="-1"/>
        <w:jc w:val="both"/>
        <w:rPr>
          <w:rFonts w:ascii="Cambria" w:hAnsi="Cambria"/>
        </w:rPr>
      </w:pPr>
      <w:r>
        <w:rPr>
          <w:rFonts w:ascii="Cambria" w:hAnsi="Cambria" w:eastAsia="Arial"/>
          <w:b/>
        </w:rPr>
        <w:t>DOS DIREITOS E OBRIGAÇÕES DAS PARTES</w:t>
      </w:r>
    </w:p>
    <w:p w14:paraId="60A18FF0">
      <w:pPr>
        <w:spacing w:before="240" w:after="240" w:afterLines="100" w:line="276" w:lineRule="auto"/>
        <w:ind w:right="-1"/>
        <w:jc w:val="both"/>
        <w:rPr>
          <w:rFonts w:ascii="Cambria" w:hAnsi="Cambria"/>
        </w:rPr>
      </w:pPr>
      <w:r>
        <w:rPr>
          <w:rFonts w:ascii="Cambria" w:hAnsi="Cambria"/>
          <w:b/>
          <w:bCs/>
        </w:rPr>
        <w:t xml:space="preserve">CLÁSULA QUADRAGÉSIMA QUINTA: </w:t>
      </w:r>
      <w:r>
        <w:rPr>
          <w:rFonts w:ascii="Cambria" w:hAnsi="Cambria"/>
        </w:rPr>
        <w:t>Compete ao órgão Gestor:</w:t>
      </w:r>
    </w:p>
    <w:p w14:paraId="75341536">
      <w:pPr>
        <w:spacing w:before="240" w:after="240" w:afterLines="100" w:line="276" w:lineRule="auto"/>
        <w:ind w:right="-1" w:firstLine="567"/>
        <w:jc w:val="both"/>
        <w:rPr>
          <w:rFonts w:ascii="Cambria" w:hAnsi="Cambria"/>
        </w:rPr>
      </w:pPr>
      <w:r>
        <w:rPr>
          <w:rFonts w:ascii="Cambria" w:hAnsi="Cambria"/>
          <w:b/>
          <w:bCs/>
        </w:rPr>
        <w:t>I.</w:t>
      </w:r>
      <w:r>
        <w:rPr>
          <w:rFonts w:ascii="Cambria" w:hAnsi="Cambria"/>
        </w:rPr>
        <w:t xml:space="preserve"> A administração e os atos de controle da Ata de Registro de Preços decorrente da presente licitação serão do Órgão gerenciador do Sistema de Registro de preços, nos termos do Decreto Municipal nº 17, de 2024.</w:t>
      </w:r>
    </w:p>
    <w:p w14:paraId="106E23F6">
      <w:pPr>
        <w:spacing w:before="240" w:after="240" w:afterLines="100" w:line="276" w:lineRule="auto"/>
        <w:ind w:right="-1" w:firstLine="567"/>
        <w:jc w:val="both"/>
        <w:rPr>
          <w:rFonts w:ascii="Cambria" w:hAnsi="Cambria"/>
        </w:rPr>
      </w:pPr>
      <w:r>
        <w:rPr>
          <w:rFonts w:ascii="Cambria" w:hAnsi="Cambria"/>
          <w:b/>
          <w:bCs/>
        </w:rPr>
        <w:t xml:space="preserve">II. </w:t>
      </w:r>
      <w:r>
        <w:rPr>
          <w:rFonts w:ascii="Cambria" w:hAnsi="Cambria"/>
        </w:rPr>
        <w:t xml:space="preserve">O órgão acompanhará, periodicamente, os preços praticados no mercado para os materiais registrados, para fins de controle e fixados do valor máximo a ser pago pela administração. </w:t>
      </w:r>
    </w:p>
    <w:p w14:paraId="46ED7C95">
      <w:pPr>
        <w:spacing w:before="240" w:after="240" w:afterLines="100" w:line="276" w:lineRule="auto"/>
        <w:ind w:left="567" w:right="-1" w:firstLine="567"/>
        <w:jc w:val="both"/>
        <w:rPr>
          <w:rFonts w:ascii="Cambria" w:hAnsi="Cambria"/>
        </w:rPr>
      </w:pPr>
      <w:r>
        <w:rPr>
          <w:rFonts w:ascii="Cambria" w:hAnsi="Cambria"/>
          <w:b/>
          <w:bCs/>
        </w:rPr>
        <w:t xml:space="preserve">a) </w:t>
      </w:r>
      <w:r>
        <w:rPr>
          <w:rFonts w:ascii="Cambria" w:hAnsi="Cambria"/>
        </w:rPr>
        <w:t>O órgão gerenciador sempre que os órgãos e entidades usuários da ata de registro de preços necessitarem da entrega dos materiais, indicará os fornecedores e seus respectivos a serem fornecidos.</w:t>
      </w:r>
    </w:p>
    <w:p w14:paraId="2B7DC526">
      <w:pPr>
        <w:spacing w:before="240" w:after="240" w:afterLines="100" w:line="276" w:lineRule="auto"/>
        <w:ind w:right="-1" w:firstLine="567"/>
        <w:jc w:val="both"/>
        <w:rPr>
          <w:rFonts w:ascii="Cambria" w:hAnsi="Cambria"/>
        </w:rPr>
      </w:pPr>
      <w:r>
        <w:rPr>
          <w:rFonts w:ascii="Cambria" w:hAnsi="Cambria"/>
          <w:b/>
          <w:bCs/>
        </w:rPr>
        <w:t>III.</w:t>
      </w:r>
      <w:r>
        <w:rPr>
          <w:rFonts w:ascii="Cambria" w:hAnsi="Cambria"/>
        </w:rPr>
        <w:t xml:space="preserve"> Optar pela contratação ou não dos bens decorrentes do Sistema de Registro de Preços ou das quantidades estimadas, ficando-lhe facultada a utilização de outros meios para aquisição de item, respeitada a legislação relativas às licitações, em que caiba recurso ou indenização.</w:t>
      </w:r>
    </w:p>
    <w:p w14:paraId="08275060">
      <w:pPr>
        <w:spacing w:before="240" w:after="240" w:afterLines="100" w:line="276" w:lineRule="auto"/>
        <w:ind w:right="-1" w:firstLine="567"/>
        <w:jc w:val="both"/>
        <w:rPr>
          <w:rFonts w:ascii="Cambria" w:hAnsi="Cambria"/>
        </w:rPr>
      </w:pPr>
      <w:r>
        <w:rPr>
          <w:rFonts w:ascii="Cambria" w:hAnsi="Cambria"/>
          <w:b/>
          <w:bCs/>
        </w:rPr>
        <w:t>IV.</w:t>
      </w:r>
      <w:r>
        <w:rPr>
          <w:rFonts w:ascii="Cambria" w:hAnsi="Cambria"/>
        </w:rPr>
        <w:t xml:space="preserve"> Dilatar o prazo de vigência de registro de preços “de ofício” através de termo aditivo, com a publicação na mesma forma da Ata de Registro de Preços originária, observando o prazo legalmente permitido, quando os preços apresentarem mais vantajosos para a administração e/ou existirem demandas para atendimento dos órgãos usuários.</w:t>
      </w:r>
    </w:p>
    <w:p w14:paraId="24095CE5">
      <w:pPr>
        <w:spacing w:before="240" w:after="240" w:afterLines="100" w:line="276" w:lineRule="auto"/>
        <w:ind w:right="-1" w:firstLine="567"/>
        <w:jc w:val="both"/>
        <w:rPr>
          <w:rFonts w:ascii="Cambria" w:hAnsi="Cambria"/>
        </w:rPr>
      </w:pPr>
      <w:r>
        <w:rPr>
          <w:rFonts w:ascii="Cambria" w:hAnsi="Cambria"/>
          <w:b/>
          <w:bCs/>
        </w:rPr>
        <w:t>V.</w:t>
      </w:r>
      <w:r>
        <w:rPr>
          <w:rFonts w:ascii="Cambria" w:hAnsi="Cambria"/>
        </w:rPr>
        <w:t xml:space="preserve"> Decidir sobre a revisão ou cancelamento dos preços registrados no prazo máximo de 10 (dez) dias úteis, salvo motivo de forma maior devidamente justificado no processo.</w:t>
      </w:r>
    </w:p>
    <w:p w14:paraId="239F54A5">
      <w:pPr>
        <w:spacing w:before="240" w:after="240" w:afterLines="100" w:line="276" w:lineRule="auto"/>
        <w:ind w:right="-1" w:firstLine="567"/>
        <w:jc w:val="both"/>
        <w:rPr>
          <w:rFonts w:ascii="Cambria" w:hAnsi="Cambria"/>
        </w:rPr>
      </w:pPr>
      <w:r>
        <w:rPr>
          <w:rFonts w:ascii="Cambria" w:hAnsi="Cambria"/>
          <w:b/>
          <w:bCs/>
        </w:rPr>
        <w:t>VI.</w:t>
      </w:r>
      <w:r>
        <w:rPr>
          <w:rFonts w:ascii="Cambria" w:hAnsi="Cambria"/>
        </w:rPr>
        <w:t xml:space="preserve"> Emitir autorização de compra.</w:t>
      </w:r>
    </w:p>
    <w:p w14:paraId="1EA2FD95">
      <w:pPr>
        <w:spacing w:before="240" w:after="240" w:afterLines="100" w:line="276" w:lineRule="auto"/>
        <w:ind w:right="-1" w:firstLine="567"/>
        <w:jc w:val="both"/>
        <w:rPr>
          <w:rFonts w:ascii="Cambria" w:hAnsi="Cambria"/>
        </w:rPr>
      </w:pPr>
      <w:r>
        <w:rPr>
          <w:rFonts w:ascii="Cambria" w:hAnsi="Cambria"/>
          <w:b/>
          <w:bCs/>
        </w:rPr>
        <w:t>VII.</w:t>
      </w:r>
      <w:r>
        <w:rPr>
          <w:rFonts w:ascii="Cambria" w:hAnsi="Cambria"/>
        </w:rPr>
        <w:t xml:space="preserve"> Dar preferência de contratação com o detentor de registro de preços ou conceder igualdade de condições, no caso de contratações por outros meios permitidos pela legislação.</w:t>
      </w:r>
    </w:p>
    <w:p w14:paraId="3EE11393">
      <w:pPr>
        <w:spacing w:before="240" w:after="240" w:afterLines="100" w:line="276" w:lineRule="auto"/>
        <w:ind w:right="-1"/>
        <w:jc w:val="both"/>
        <w:rPr>
          <w:rFonts w:ascii="Cambria" w:hAnsi="Cambria"/>
        </w:rPr>
      </w:pPr>
      <w:r>
        <w:rPr>
          <w:rFonts w:ascii="Cambria" w:hAnsi="Cambria"/>
          <w:b/>
          <w:bCs/>
        </w:rPr>
        <w:t xml:space="preserve">CLÁSULA QUADRAGÉSIMA SEXTA: </w:t>
      </w:r>
      <w:r>
        <w:rPr>
          <w:rFonts w:ascii="Cambria" w:hAnsi="Cambria"/>
        </w:rPr>
        <w:t>Compete aos órgãos ou entidades usuárias:</w:t>
      </w:r>
    </w:p>
    <w:p w14:paraId="32B14F48">
      <w:pPr>
        <w:spacing w:before="240" w:after="240" w:afterLines="100" w:line="276" w:lineRule="auto"/>
        <w:ind w:right="-1" w:firstLine="567"/>
        <w:jc w:val="both"/>
        <w:rPr>
          <w:rFonts w:ascii="Cambria" w:hAnsi="Cambria"/>
        </w:rPr>
      </w:pPr>
      <w:r>
        <w:rPr>
          <w:rFonts w:ascii="Cambria" w:hAnsi="Cambria"/>
          <w:b/>
          <w:bCs/>
        </w:rPr>
        <w:t xml:space="preserve">I. </w:t>
      </w:r>
      <w:r>
        <w:rPr>
          <w:rFonts w:ascii="Cambria" w:hAnsi="Cambria"/>
        </w:rPr>
        <w:t>Proporcionar ao detentor da ata todas as condições para cumprimento de suas obrigações e entrega dos materiais dentro das normas estabelecidas no Edital.</w:t>
      </w:r>
    </w:p>
    <w:p w14:paraId="3162C533">
      <w:pPr>
        <w:spacing w:before="240" w:after="240" w:afterLines="100" w:line="276" w:lineRule="auto"/>
        <w:ind w:right="-1" w:firstLine="567"/>
        <w:jc w:val="both"/>
        <w:rPr>
          <w:rFonts w:ascii="Cambria" w:hAnsi="Cambria"/>
        </w:rPr>
      </w:pPr>
      <w:r>
        <w:rPr>
          <w:rFonts w:ascii="Cambria" w:hAnsi="Cambria"/>
          <w:b/>
          <w:bCs/>
        </w:rPr>
        <w:t xml:space="preserve">II. </w:t>
      </w:r>
      <w:r>
        <w:rPr>
          <w:rFonts w:ascii="Cambria" w:hAnsi="Cambria"/>
        </w:rPr>
        <w:t>Tomar conhecimento da Ata de Registro de Preços, inclusive de eventuais alterações para o correto cumprimento de suas disposições.</w:t>
      </w:r>
    </w:p>
    <w:p w14:paraId="6BE215A2">
      <w:pPr>
        <w:spacing w:before="240" w:after="240" w:afterLines="100" w:line="276" w:lineRule="auto"/>
        <w:ind w:right="-1" w:firstLine="567"/>
        <w:jc w:val="both"/>
        <w:rPr>
          <w:rFonts w:ascii="Cambria" w:hAnsi="Cambria"/>
        </w:rPr>
      </w:pPr>
      <w:r>
        <w:rPr>
          <w:rFonts w:ascii="Cambria" w:hAnsi="Cambria"/>
          <w:b/>
          <w:bCs/>
        </w:rPr>
        <w:t xml:space="preserve">III. </w:t>
      </w:r>
      <w:r>
        <w:rPr>
          <w:rFonts w:ascii="Cambria" w:hAnsi="Cambria"/>
        </w:rPr>
        <w:t>Proceder à fiscalização da contratação, mediante controle do cumprimento de todas as obrigações relativas ao fornecimento, inclusive encaminhado ao órgão gerenciador qualquer irregularidade verificada.</w:t>
      </w:r>
    </w:p>
    <w:p w14:paraId="3561436C">
      <w:pPr>
        <w:spacing w:before="240" w:after="240" w:afterLines="100" w:line="276" w:lineRule="auto"/>
        <w:ind w:left="567" w:right="-1" w:firstLine="567"/>
        <w:jc w:val="both"/>
        <w:rPr>
          <w:rFonts w:ascii="Cambria" w:hAnsi="Cambria"/>
        </w:rPr>
      </w:pPr>
      <w:r>
        <w:rPr>
          <w:rFonts w:ascii="Cambria" w:hAnsi="Cambria"/>
          <w:b/>
          <w:bCs/>
        </w:rPr>
        <w:t xml:space="preserve">a) </w:t>
      </w:r>
      <w:r>
        <w:rPr>
          <w:rFonts w:ascii="Cambria" w:hAnsi="Cambria"/>
        </w:rPr>
        <w:t>Cabe ao órgão participante aplicar, garantida a ampla defesa e o contraditório, as penalidades decorrentes do descumprimento do pactuado na Ata de Registro de Preços ou do descumprimento das obrigações contratuais, em relação às suas próprias contratações, informando ocorrências ao órgão gerenciador.</w:t>
      </w:r>
    </w:p>
    <w:p w14:paraId="3A5FC2DD">
      <w:pPr>
        <w:spacing w:before="240" w:after="240" w:afterLines="100" w:line="276" w:lineRule="auto"/>
        <w:ind w:right="-1" w:firstLine="567"/>
        <w:jc w:val="both"/>
        <w:rPr>
          <w:rFonts w:ascii="Cambria" w:hAnsi="Cambria"/>
        </w:rPr>
      </w:pPr>
      <w:r>
        <w:rPr>
          <w:rFonts w:ascii="Cambria" w:hAnsi="Cambria"/>
          <w:b/>
          <w:bCs/>
        </w:rPr>
        <w:t xml:space="preserve">IV. </w:t>
      </w:r>
      <w:r>
        <w:rPr>
          <w:rFonts w:ascii="Cambria" w:hAnsi="Cambria"/>
        </w:rPr>
        <w:t>Rejeitar, no todo ou em parte, os produtos entregues em desacordo com as obrigações assumidas pelo detentor da ata.</w:t>
      </w:r>
    </w:p>
    <w:p w14:paraId="753FC38E">
      <w:pPr>
        <w:spacing w:before="240" w:after="240" w:afterLines="100" w:line="276" w:lineRule="auto"/>
        <w:ind w:right="-1"/>
        <w:jc w:val="both"/>
        <w:rPr>
          <w:rFonts w:ascii="Cambria" w:hAnsi="Cambria"/>
        </w:rPr>
      </w:pPr>
      <w:r>
        <w:rPr>
          <w:rFonts w:ascii="Cambria" w:hAnsi="Cambria"/>
          <w:b/>
          <w:bCs/>
        </w:rPr>
        <w:t xml:space="preserve">CLÁSULA QUINQUAGÉSIMA: </w:t>
      </w:r>
      <w:r>
        <w:rPr>
          <w:rFonts w:ascii="Cambria" w:hAnsi="Cambria"/>
        </w:rPr>
        <w:t>Compete ao compromitente da Ata:</w:t>
      </w:r>
    </w:p>
    <w:p w14:paraId="3E587C5F">
      <w:pPr>
        <w:spacing w:before="240" w:after="240" w:afterLines="100" w:line="276" w:lineRule="auto"/>
        <w:ind w:right="-1" w:firstLine="567"/>
        <w:jc w:val="both"/>
        <w:rPr>
          <w:rFonts w:ascii="Cambria" w:hAnsi="Cambria"/>
        </w:rPr>
      </w:pPr>
      <w:r>
        <w:rPr>
          <w:rFonts w:ascii="Cambria" w:hAnsi="Cambria"/>
          <w:b/>
          <w:bCs/>
        </w:rPr>
        <w:t xml:space="preserve">I. </w:t>
      </w:r>
      <w:r>
        <w:rPr>
          <w:rFonts w:ascii="Cambria" w:hAnsi="Cambria"/>
        </w:rPr>
        <w:t>Entregar os produtos nas condições estabelecidas no edital e seus anexos, e atender todos os pedidos de contratação durante o período de duração do registro de preços, independentemente da quantidade do pedido ou de valor mínimo, de acordo com a sua capacidade de fornecimento fixada na proposta de preços de sua titularidade, observando as quantidades, prazos e locais estabelecidas pelo Órgão usuário da Ata de Registro de Preços.</w:t>
      </w:r>
    </w:p>
    <w:p w14:paraId="4092E1EE">
      <w:pPr>
        <w:spacing w:before="240" w:after="240" w:afterLines="100" w:line="276" w:lineRule="auto"/>
        <w:ind w:right="-1" w:firstLine="567"/>
        <w:jc w:val="both"/>
        <w:rPr>
          <w:rFonts w:ascii="Cambria" w:hAnsi="Cambria"/>
        </w:rPr>
      </w:pPr>
      <w:r>
        <w:rPr>
          <w:rFonts w:ascii="Cambria" w:hAnsi="Cambria"/>
          <w:b/>
          <w:bCs/>
        </w:rPr>
        <w:t xml:space="preserve">II. </w:t>
      </w:r>
      <w:r>
        <w:rPr>
          <w:rFonts w:ascii="Cambria" w:hAnsi="Cambria"/>
        </w:rPr>
        <w:t>Manter durante a vigência do registro de preços, a compatibilidade de todas as condições de habilitação e qualificação exigidas na licitação.</w:t>
      </w:r>
    </w:p>
    <w:p w14:paraId="1F149B15">
      <w:pPr>
        <w:spacing w:before="240" w:after="240" w:afterLines="100" w:line="276" w:lineRule="auto"/>
        <w:ind w:right="-1" w:firstLine="567"/>
        <w:jc w:val="both"/>
        <w:rPr>
          <w:rFonts w:ascii="Cambria" w:hAnsi="Cambria"/>
        </w:rPr>
      </w:pPr>
      <w:r>
        <w:rPr>
          <w:rFonts w:ascii="Cambria" w:hAnsi="Cambria"/>
          <w:b/>
          <w:bCs/>
        </w:rPr>
        <w:t xml:space="preserve">III. </w:t>
      </w:r>
      <w:r>
        <w:rPr>
          <w:rFonts w:ascii="Cambria" w:hAnsi="Cambria"/>
        </w:rPr>
        <w:t>Substituir os produtos recusados pelo órgão ou entidade usuária, sem qualquer ônus para a Administração no prazo máximo de 48 (quarente e oito) horas, independentemente da aplicação das penalidades cabíveis.</w:t>
      </w:r>
    </w:p>
    <w:p w14:paraId="33ABE78C">
      <w:pPr>
        <w:spacing w:before="240" w:after="240" w:afterLines="100" w:line="276" w:lineRule="auto"/>
        <w:ind w:right="-1" w:firstLine="567"/>
        <w:jc w:val="both"/>
        <w:rPr>
          <w:rFonts w:ascii="Cambria" w:hAnsi="Cambria"/>
        </w:rPr>
      </w:pPr>
      <w:r>
        <w:rPr>
          <w:rFonts w:ascii="Cambria" w:hAnsi="Cambria"/>
          <w:b/>
          <w:bCs/>
        </w:rPr>
        <w:t xml:space="preserve">IV. </w:t>
      </w:r>
      <w:r>
        <w:rPr>
          <w:rFonts w:ascii="Cambria" w:hAnsi="Cambria"/>
        </w:rPr>
        <w:t>Ter revisado ou cancelado o registro de seus preços, quando presentes os pressupostos previstos nesta Ata de Registro de Preços.</w:t>
      </w:r>
    </w:p>
    <w:p w14:paraId="77984680">
      <w:pPr>
        <w:spacing w:before="240" w:after="240" w:afterLines="100" w:line="276" w:lineRule="auto"/>
        <w:ind w:right="-1" w:firstLine="567"/>
        <w:jc w:val="both"/>
        <w:rPr>
          <w:rFonts w:ascii="Cambria" w:hAnsi="Cambria"/>
        </w:rPr>
      </w:pPr>
      <w:r>
        <w:rPr>
          <w:rFonts w:ascii="Cambria" w:hAnsi="Cambria"/>
          <w:b/>
          <w:bCs/>
        </w:rPr>
        <w:t xml:space="preserve">V. </w:t>
      </w:r>
      <w:r>
        <w:rPr>
          <w:rFonts w:ascii="Cambria" w:hAnsi="Cambria"/>
        </w:rPr>
        <w:t>Atender a demanda dos órgãos ou entidades usuários, durante a fase de negociação de revisão de preços, com preços inicialmente registrados, garantida a compensação dos valores dos produtos já entregues, caso do reconhecimento pela Administração do rompimento do equilíbrio originalmente estipulado.</w:t>
      </w:r>
    </w:p>
    <w:p w14:paraId="547F0D71">
      <w:pPr>
        <w:spacing w:before="240" w:after="240" w:afterLines="100" w:line="276" w:lineRule="auto"/>
        <w:ind w:right="-1" w:firstLine="567"/>
        <w:jc w:val="both"/>
        <w:rPr>
          <w:rFonts w:ascii="Cambria" w:hAnsi="Cambria"/>
        </w:rPr>
      </w:pPr>
      <w:r>
        <w:rPr>
          <w:rFonts w:ascii="Cambria" w:hAnsi="Cambria"/>
          <w:b/>
          <w:bCs/>
        </w:rPr>
        <w:t xml:space="preserve">VI. </w:t>
      </w:r>
      <w:r>
        <w:rPr>
          <w:rFonts w:ascii="Cambria" w:hAnsi="Cambria"/>
        </w:rPr>
        <w:t>Vincular-se ao preço máximo (novo preço) definido pela Administração, resultante do ato de revisão.</w:t>
      </w:r>
    </w:p>
    <w:p w14:paraId="606D6ED5">
      <w:pPr>
        <w:spacing w:before="240" w:after="240" w:afterLines="100" w:line="276" w:lineRule="auto"/>
        <w:ind w:right="-1" w:firstLine="567"/>
        <w:jc w:val="both"/>
        <w:rPr>
          <w:rFonts w:ascii="Cambria" w:hAnsi="Cambria"/>
        </w:rPr>
      </w:pPr>
      <w:r>
        <w:rPr>
          <w:rFonts w:ascii="Cambria" w:hAnsi="Cambria"/>
          <w:b/>
          <w:bCs/>
        </w:rPr>
        <w:t xml:space="preserve">VII. </w:t>
      </w:r>
      <w:r>
        <w:rPr>
          <w:rFonts w:ascii="Cambria" w:hAnsi="Cambria"/>
        </w:rPr>
        <w:t>Ter direito de preferência ou, igualdade de condições caso a administração optar pela contratação dos bens ou serviços objeto de registro por outros meios facultados na legislação relativa às licitações.</w:t>
      </w:r>
    </w:p>
    <w:p w14:paraId="7CC62DB7">
      <w:pPr>
        <w:spacing w:before="240" w:after="240" w:afterLines="100" w:line="276" w:lineRule="auto"/>
        <w:ind w:right="-1" w:firstLine="567"/>
        <w:jc w:val="both"/>
        <w:rPr>
          <w:rFonts w:ascii="Cambria" w:hAnsi="Cambria"/>
        </w:rPr>
      </w:pPr>
      <w:r>
        <w:rPr>
          <w:rFonts w:ascii="Cambria" w:hAnsi="Cambria"/>
          <w:b/>
          <w:bCs/>
        </w:rPr>
        <w:t xml:space="preserve">VIII. </w:t>
      </w:r>
      <w:r>
        <w:rPr>
          <w:rFonts w:ascii="Cambria" w:hAnsi="Cambria"/>
        </w:rPr>
        <w:t>Responsabilizar-se pelos danos causados diretamente à Administração ou a terceiros, decorrentes de sua culpa ou dolo até a entrega do objeto de registro de preços.</w:t>
      </w:r>
    </w:p>
    <w:p w14:paraId="3921599D">
      <w:pPr>
        <w:spacing w:before="240" w:after="240" w:afterLines="100" w:line="276" w:lineRule="auto"/>
        <w:ind w:right="-1" w:firstLine="567"/>
        <w:jc w:val="both"/>
        <w:rPr>
          <w:rFonts w:ascii="Cambria" w:hAnsi="Cambria"/>
        </w:rPr>
      </w:pPr>
      <w:r>
        <w:rPr>
          <w:rFonts w:ascii="Cambria" w:hAnsi="Cambria"/>
          <w:b/>
          <w:bCs/>
        </w:rPr>
        <w:t xml:space="preserve">IX. </w:t>
      </w:r>
      <w:r>
        <w:rPr>
          <w:rFonts w:ascii="Cambria" w:hAnsi="Cambria"/>
        </w:rPr>
        <w:t>Receber os pagamentos respectivos nas condições pactuadas no edital e nesta Ata de Registro de Preços.</w:t>
      </w:r>
    </w:p>
    <w:p w14:paraId="311BC8E6">
      <w:pPr>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spacing w:before="240" w:after="240" w:afterLines="100" w:line="276" w:lineRule="auto"/>
        <w:ind w:right="-1"/>
        <w:jc w:val="both"/>
        <w:rPr>
          <w:rFonts w:ascii="Cambria" w:hAnsi="Cambria"/>
        </w:rPr>
      </w:pPr>
      <w:r>
        <w:rPr>
          <w:rFonts w:ascii="Cambria" w:hAnsi="Cambria" w:eastAsia="Arial"/>
          <w:b/>
        </w:rPr>
        <w:t>DO FORNECIMENTO, LOCAL E PRAZO DE ENTREGA</w:t>
      </w:r>
    </w:p>
    <w:p w14:paraId="35F1077D">
      <w:pPr>
        <w:pStyle w:val="22"/>
        <w:spacing w:before="100" w:after="240" w:line="276" w:lineRule="auto"/>
        <w:ind w:right="-1"/>
        <w:jc w:val="both"/>
        <w:rPr>
          <w:rFonts w:ascii="Cambria" w:hAnsi="Cambria"/>
        </w:rPr>
      </w:pPr>
      <w:r>
        <w:rPr>
          <w:rFonts w:ascii="Cambria" w:hAnsi="Cambria"/>
          <w:b/>
          <w:bCs/>
        </w:rPr>
        <w:t>CLÁSULA QUINQUAGÉSIMA PRIMEIRA:</w:t>
      </w:r>
      <w:r>
        <w:rPr>
          <w:rFonts w:ascii="Cambria" w:hAnsi="Cambria" w:cs="Arial"/>
        </w:rPr>
        <w:t xml:space="preserve"> Os produtos deverão ser entregues em até 10 (dez) dias úteis na sede da Secretaria Municipal de Saúde de Piracanjuba/GO situada na </w:t>
      </w:r>
      <w:r>
        <w:rPr>
          <w:rFonts w:ascii="Cambria" w:hAnsi="Cambria" w:cs="Segoe UI"/>
        </w:rPr>
        <w:t>Rua Cônego Olinto, s/n, Centro – Piracanjuba/GO</w:t>
      </w:r>
      <w:r>
        <w:rPr>
          <w:rFonts w:ascii="Cambria" w:hAnsi="Cambria" w:cs="Arial"/>
        </w:rPr>
        <w:t>, nos horários das 07 horas às 11 horas e das 13 horas às 17 horas conforme determinação dada através de Requisição/Solicitação/ Ordem de Fornecimento pela requisitante, sem ônus adicionais, tais como: transporte, alimentação, etc.</w:t>
      </w:r>
    </w:p>
    <w:p w14:paraId="2A3C92C1">
      <w:pPr>
        <w:pStyle w:val="22"/>
        <w:spacing w:before="100" w:after="240" w:line="276" w:lineRule="auto"/>
        <w:ind w:right="-1"/>
        <w:jc w:val="both"/>
        <w:rPr>
          <w:rFonts w:ascii="Cambria" w:hAnsi="Cambria"/>
        </w:rPr>
      </w:pPr>
      <w:bookmarkStart w:id="74" w:name="_Hlk160026043"/>
      <w:r>
        <w:rPr>
          <w:rFonts w:ascii="Cambria" w:hAnsi="Cambria"/>
          <w:b/>
          <w:bCs/>
        </w:rPr>
        <w:t>CLÁSULA QUINQUAGÉSIMA SEGUNDA:</w:t>
      </w:r>
      <w:r>
        <w:rPr>
          <w:rFonts w:ascii="Cambria" w:hAnsi="Cambria"/>
        </w:rPr>
        <w:t xml:space="preserve"> Os produtos serão recebidos:</w:t>
      </w:r>
    </w:p>
    <w:p w14:paraId="70D6AF95">
      <w:pPr>
        <w:tabs>
          <w:tab w:val="left" w:pos="1701"/>
        </w:tabs>
        <w:spacing w:before="240" w:after="240" w:line="276" w:lineRule="auto"/>
        <w:ind w:right="-1" w:firstLine="567"/>
        <w:jc w:val="both"/>
        <w:rPr>
          <w:rFonts w:ascii="Cambria" w:hAnsi="Cambria"/>
        </w:rPr>
      </w:pPr>
      <w:r>
        <w:rPr>
          <w:rFonts w:ascii="Cambria" w:hAnsi="Cambria"/>
          <w:b/>
        </w:rPr>
        <w:t>I. Provisoriamente,</w:t>
      </w:r>
      <w:r>
        <w:rPr>
          <w:rFonts w:ascii="Cambria" w:hAnsi="Cambria"/>
        </w:rPr>
        <w:t xml:space="preserve"> </w:t>
      </w:r>
      <w:r>
        <w:rPr>
          <w:rFonts w:ascii="Cambria" w:hAnsi="Cambria" w:cs="Arial"/>
        </w:rPr>
        <w:t>de forma sumária, no ato da entrega, juntamente com a nota fiscal ou instrumento de cobrança equivalente, pelo responsável do acompanhamento e fiscalização do instrumento contratual, para efeito de posterior verificação de sua conformidade com as especificações constantes no termo de referência e na proposta.</w:t>
      </w:r>
    </w:p>
    <w:p w14:paraId="771ACD2E">
      <w:pPr>
        <w:tabs>
          <w:tab w:val="left" w:pos="1701"/>
        </w:tabs>
        <w:spacing w:before="240" w:after="240" w:line="276" w:lineRule="auto"/>
        <w:ind w:right="-1" w:firstLine="567"/>
        <w:jc w:val="both"/>
        <w:rPr>
          <w:rFonts w:ascii="Cambria" w:hAnsi="Cambria"/>
        </w:rPr>
      </w:pPr>
      <w:r>
        <w:rPr>
          <w:rFonts w:ascii="Cambria" w:hAnsi="Cambria"/>
          <w:b/>
        </w:rPr>
        <w:t>II. Definitivamente,</w:t>
      </w:r>
      <w:r>
        <w:rPr>
          <w:rFonts w:ascii="Cambria" w:hAnsi="Cambria"/>
        </w:rPr>
        <w:t xml:space="preserve"> </w:t>
      </w:r>
      <w:r>
        <w:rPr>
          <w:rFonts w:ascii="Cambria" w:hAnsi="Cambria" w:cs="Arial"/>
        </w:rPr>
        <w:t>no prazo de 02 (dois) dias úteis, a contar do recebimento provisório, após a verificação da qualidade e quantidade do material e consequente aceitação mediante termo detalhado.</w:t>
      </w:r>
    </w:p>
    <w:p w14:paraId="5A3E46D6">
      <w:pPr>
        <w:spacing w:before="240" w:after="240" w:line="276" w:lineRule="auto"/>
        <w:ind w:left="567" w:right="-1" w:firstLine="567"/>
        <w:jc w:val="both"/>
        <w:rPr>
          <w:rFonts w:ascii="Cambria" w:hAnsi="Cambria"/>
        </w:rPr>
      </w:pPr>
      <w:r>
        <w:rPr>
          <w:rFonts w:ascii="Cambria" w:hAnsi="Cambria"/>
          <w:b/>
        </w:rPr>
        <w:t>a)</w:t>
      </w:r>
      <w:r>
        <w:rPr>
          <w:rFonts w:ascii="Cambria" w:hAnsi="Cambria"/>
        </w:rPr>
        <w:t xml:space="preserve"> Na hipótese de a verificação a que se refere o inciso II não ser procedida dentro do prazo acima fixado, reputar-se-á como realizada, consumando-se o recebimento definitivo no dia do esgotamento do prazo.</w:t>
      </w:r>
    </w:p>
    <w:p w14:paraId="22305397">
      <w:pPr>
        <w:spacing w:before="240" w:after="240" w:line="276" w:lineRule="auto"/>
        <w:ind w:left="567" w:right="-1" w:firstLine="567"/>
        <w:jc w:val="both"/>
        <w:rPr>
          <w:rFonts w:ascii="Cambria" w:hAnsi="Cambria"/>
        </w:rPr>
      </w:pPr>
      <w:r>
        <w:rPr>
          <w:rFonts w:ascii="Cambria" w:hAnsi="Cambria"/>
          <w:b/>
          <w:bCs/>
        </w:rPr>
        <w:t>b)</w:t>
      </w:r>
      <w:r>
        <w:rPr>
          <w:rFonts w:ascii="Cambria" w:hAnsi="Cambria"/>
        </w:rPr>
        <w:t xml:space="preserve"> O prazo para recebimento definitivo poderá ser excepcionalmente prorrogado, de forma justificada, por igual período, quando houver necessidade de diligência para aferição do atendimento das exigências contratuais.</w:t>
      </w:r>
      <w:bookmarkEnd w:id="74"/>
    </w:p>
    <w:p w14:paraId="33038526">
      <w:pPr>
        <w:pStyle w:val="22"/>
        <w:spacing w:before="100" w:after="240" w:line="276" w:lineRule="auto"/>
        <w:ind w:right="-1"/>
        <w:jc w:val="both"/>
        <w:rPr>
          <w:rFonts w:ascii="Cambria" w:hAnsi="Cambria"/>
          <w:b/>
          <w:iCs/>
        </w:rPr>
      </w:pPr>
      <w:r>
        <w:rPr>
          <w:rFonts w:ascii="Cambria" w:hAnsi="Cambria"/>
          <w:b/>
          <w:bCs/>
        </w:rPr>
        <w:t>CLÁSULA QUINQUAGÉSIMA TERCEIRA:</w:t>
      </w:r>
      <w:r>
        <w:rPr>
          <w:rFonts w:ascii="Cambria" w:hAnsi="Cambria"/>
        </w:rPr>
        <w:t xml:space="preserve"> Os objetos deste contrato </w:t>
      </w:r>
      <w:r>
        <w:rPr>
          <w:rFonts w:ascii="Cambria" w:hAnsi="Cambria"/>
          <w:iCs/>
        </w:rPr>
        <w:t xml:space="preserve">serão solicitados conforme a necessidade da </w:t>
      </w:r>
      <w:r>
        <w:rPr>
          <w:rFonts w:ascii="Cambria" w:hAnsi="Cambria"/>
        </w:rPr>
        <w:t>Secretaria Municipal de Saúde de Piracanjuba/GO</w:t>
      </w:r>
      <w:r>
        <w:rPr>
          <w:rFonts w:ascii="Cambria" w:hAnsi="Cambria"/>
          <w:iCs/>
        </w:rPr>
        <w:t>,</w:t>
      </w:r>
      <w:r>
        <w:rPr>
          <w:rFonts w:ascii="Cambria" w:hAnsi="Cambria"/>
        </w:rPr>
        <w:t xml:space="preserve"> após a assinatura</w:t>
      </w:r>
      <w:r>
        <w:rPr>
          <w:rFonts w:ascii="Cambria" w:hAnsi="Cambria"/>
          <w:iCs/>
        </w:rPr>
        <w:t xml:space="preserve"> e publicação do instrumento contratual, e apresentação de requisição/solicitação devidamente assinada, com identificação do respectivo servidor público municipal competente.</w:t>
      </w:r>
    </w:p>
    <w:p w14:paraId="2917CC9C">
      <w:pPr>
        <w:pStyle w:val="22"/>
        <w:spacing w:before="100" w:after="240" w:line="276" w:lineRule="auto"/>
        <w:ind w:right="-1"/>
        <w:jc w:val="both"/>
        <w:rPr>
          <w:rFonts w:ascii="Cambria" w:hAnsi="Cambria"/>
        </w:rPr>
      </w:pPr>
      <w:r>
        <w:rPr>
          <w:rFonts w:ascii="Cambria" w:hAnsi="Cambria"/>
          <w:b/>
          <w:bCs/>
        </w:rPr>
        <w:t>CLÁSULA QUINQUAGÉSIMA QUARTA:</w:t>
      </w:r>
      <w:r>
        <w:rPr>
          <w:rFonts w:ascii="Cambria" w:hAnsi="Cambria"/>
        </w:rPr>
        <w:t xml:space="preserve"> A não execução do objeto desta Ata de Registro de preços será motivo de aplicação das penalidades previstas nesta, bem como nas sanções elencadas no Instrumento Convocatório do Pregão, e ainda conforme rege a Lei Federal nº 14.133, de 2021.</w:t>
      </w:r>
    </w:p>
    <w:p w14:paraId="1111534B">
      <w:pPr>
        <w:pStyle w:val="22"/>
        <w:spacing w:before="100" w:after="240" w:line="276" w:lineRule="auto"/>
        <w:ind w:right="-1"/>
        <w:jc w:val="both"/>
        <w:rPr>
          <w:rFonts w:ascii="Cambria" w:hAnsi="Cambria"/>
        </w:rPr>
      </w:pPr>
      <w:r>
        <w:rPr>
          <w:rFonts w:ascii="Cambria" w:hAnsi="Cambria"/>
          <w:b/>
          <w:bCs/>
        </w:rPr>
        <w:t>CLÁSULA QUINQUAGÉSIMA QUINTA:</w:t>
      </w:r>
      <w:r>
        <w:rPr>
          <w:rFonts w:ascii="Cambria" w:hAnsi="Cambria"/>
        </w:rPr>
        <w:t xml:space="preserve"> Não serão aceitos produto de baixa qualidade, sem resistência de uso, fora de padrões ou que contenham quaisquer outras circunstâncias que possa frustrar o bom desempenho e as expectativas da Administração.</w:t>
      </w:r>
    </w:p>
    <w:p w14:paraId="01014DE1">
      <w:pPr>
        <w:pBdr>
          <w:top w:val="single" w:color="auto" w:sz="4" w:space="1"/>
          <w:left w:val="single" w:color="auto" w:sz="4" w:space="4"/>
          <w:bottom w:val="single" w:color="auto" w:sz="4" w:space="1"/>
          <w:right w:val="single" w:color="auto" w:sz="4" w:space="4"/>
        </w:pBdr>
        <w:shd w:val="clear" w:color="auto" w:fill="D8D8D8" w:themeFill="background1" w:themeFillShade="D9"/>
        <w:spacing w:before="240" w:line="276" w:lineRule="auto"/>
        <w:ind w:right="-1"/>
        <w:jc w:val="both"/>
        <w:rPr>
          <w:rFonts w:ascii="Cambria" w:hAnsi="Cambria"/>
          <w:b/>
        </w:rPr>
      </w:pPr>
      <w:r>
        <w:rPr>
          <w:rFonts w:ascii="Cambria" w:hAnsi="Cambria"/>
          <w:b/>
        </w:rPr>
        <w:t>DO PAGAMENTO</w:t>
      </w:r>
    </w:p>
    <w:p w14:paraId="76F211D9">
      <w:pPr>
        <w:spacing w:after="240" w:line="276" w:lineRule="auto"/>
        <w:ind w:right="-1"/>
        <w:jc w:val="both"/>
        <w:rPr>
          <w:rFonts w:ascii="Cambria" w:hAnsi="Cambria"/>
        </w:rPr>
      </w:pPr>
      <w:r>
        <w:rPr>
          <w:rFonts w:ascii="Cambria" w:hAnsi="Cambria"/>
          <w:b/>
          <w:bCs/>
        </w:rPr>
        <w:t xml:space="preserve">CLÁSULA QUINQUAGÉSIMA SEXTA: </w:t>
      </w:r>
      <w:r>
        <w:rPr>
          <w:rFonts w:ascii="Cambria" w:hAnsi="Cambria"/>
        </w:rPr>
        <w:t xml:space="preserve">A forma de pagamento será de 30 (trinta) dias, após a protocolização da Nota Fiscal, entregues na Secretaria Municipal de Saúde de Piracanjuba/GO, com sede na </w:t>
      </w:r>
      <w:r>
        <w:rPr>
          <w:rFonts w:ascii="Cambria" w:hAnsi="Cambria" w:cs="Arial"/>
        </w:rPr>
        <w:t>Rua Cônego Olinto, nº 120, Centro – Piracanjuba/GO</w:t>
      </w:r>
      <w:r>
        <w:rPr>
          <w:rFonts w:ascii="Cambria" w:hAnsi="Cambria"/>
        </w:rPr>
        <w:t>, E-mail: janeeliaspba@hotmail.com, Fone: (64) 3405-1172/ (64) 9 9601-5760.</w:t>
      </w:r>
    </w:p>
    <w:p w14:paraId="0B967B9C">
      <w:pPr>
        <w:spacing w:after="240" w:line="276" w:lineRule="auto"/>
        <w:ind w:right="-1" w:firstLine="567"/>
        <w:jc w:val="both"/>
        <w:rPr>
          <w:rFonts w:ascii="Cambria" w:hAnsi="Cambria"/>
          <w:bCs/>
        </w:rPr>
      </w:pPr>
      <w:r>
        <w:rPr>
          <w:rFonts w:ascii="Cambria" w:hAnsi="Cambria"/>
          <w:b/>
        </w:rPr>
        <w:t xml:space="preserve">I. </w:t>
      </w:r>
      <w:r>
        <w:rPr>
          <w:rFonts w:ascii="Cambria" w:hAnsi="Cambria"/>
          <w:bCs/>
        </w:rPr>
        <w:t>No caso de controvérsia sobre a execução do objeto, quanto à dimensão, qualidade e quantidade, deverá ser observado o teor do art. 143, de Lei Federal nº 14.133, de 2021, comunicando-se ao licitante para emissão de Nota Fiscal no que pertine a parcela incontroversa da execução do objeto para efeito de liquidação e pagamento.</w:t>
      </w:r>
    </w:p>
    <w:p w14:paraId="2710C025">
      <w:pPr>
        <w:spacing w:after="240" w:line="276" w:lineRule="auto"/>
        <w:ind w:right="-1" w:firstLine="567"/>
        <w:jc w:val="both"/>
        <w:rPr>
          <w:rFonts w:ascii="Cambria" w:hAnsi="Cambria"/>
          <w:bCs/>
        </w:rPr>
      </w:pPr>
      <w:r>
        <w:rPr>
          <w:rFonts w:ascii="Cambria" w:hAnsi="Cambria"/>
          <w:b/>
        </w:rPr>
        <w:t xml:space="preserve">II. </w:t>
      </w:r>
      <w:r>
        <w:rPr>
          <w:rFonts w:ascii="Cambria" w:hAnsi="Cambria"/>
          <w:bCs/>
        </w:rPr>
        <w:t>Nenhum pagamento será efetuado ao licitante enquanto pendente de liquidação, qualquer obrigação que lhe for imposta, em virtude de penalidade ou inadimplência, sem que isso gere direito ao pleito de reajustamento de preços ou correção monetária (quando for o caso).</w:t>
      </w:r>
    </w:p>
    <w:p w14:paraId="48A803AA">
      <w:pPr>
        <w:spacing w:after="240" w:line="276" w:lineRule="auto"/>
        <w:ind w:right="-1" w:firstLine="567"/>
        <w:jc w:val="both"/>
        <w:rPr>
          <w:rFonts w:ascii="Cambria" w:hAnsi="Cambria"/>
          <w:bCs/>
        </w:rPr>
      </w:pPr>
      <w:r>
        <w:rPr>
          <w:rFonts w:ascii="Cambria" w:hAnsi="Cambria"/>
          <w:b/>
        </w:rPr>
        <w:t>III.</w:t>
      </w:r>
      <w:r>
        <w:rPr>
          <w:rFonts w:ascii="Cambria" w:hAnsi="Cambria"/>
          <w:bCs/>
        </w:rPr>
        <w:t xml:space="preserve"> O pagamento via Ordem Bancária, creditado na instituição bancária eleita pela Contratada, que deverá indicar na Nota Fiscal Eletrônica o banco, número da conta corrente e agencia com a qual opera. O órgão gerenciador não efetuará pagamento por meio de títulos de cobrança bancária.</w:t>
      </w:r>
    </w:p>
    <w:p w14:paraId="70A17ADB">
      <w:pPr>
        <w:spacing w:after="240" w:line="276" w:lineRule="auto"/>
        <w:ind w:right="-1" w:firstLine="567"/>
        <w:jc w:val="both"/>
        <w:rPr>
          <w:rFonts w:ascii="Cambria" w:hAnsi="Cambria"/>
          <w:bCs/>
        </w:rPr>
      </w:pPr>
      <w:r>
        <w:rPr>
          <w:rFonts w:ascii="Cambria" w:hAnsi="Cambria"/>
          <w:b/>
        </w:rPr>
        <w:t>IV.</w:t>
      </w:r>
      <w:r>
        <w:rPr>
          <w:rFonts w:ascii="Cambria" w:hAnsi="Cambria"/>
          <w:bCs/>
        </w:rPr>
        <w:t xml:space="preserve"> No caso de incorreção nos documentos apresentados, inclusive na Nota Fiscal/ Fatura, serão devolvidos a licitante para correções necessárias, não respondendo o órgão gerenciador por quaisquer encargos resultantes de atrasos na liquidação dos pagamentos correspondentes, quando este se der por culpa da licitante. Nesta hipótese, o prazo para pagamento iniciar-se-á após a comprovação da regularização da situação, não acarretando qualquer ônus para a administração.</w:t>
      </w:r>
    </w:p>
    <w:p w14:paraId="7DF30530">
      <w:pPr>
        <w:spacing w:after="240" w:line="276" w:lineRule="auto"/>
        <w:ind w:right="-1" w:firstLine="567"/>
        <w:jc w:val="both"/>
        <w:rPr>
          <w:rFonts w:ascii="Cambria" w:hAnsi="Cambria"/>
          <w:bCs/>
        </w:rPr>
      </w:pPr>
      <w:r>
        <w:rPr>
          <w:rFonts w:ascii="Cambria" w:hAnsi="Cambria"/>
          <w:b/>
        </w:rPr>
        <w:t>V.</w:t>
      </w:r>
      <w:r>
        <w:rPr>
          <w:rFonts w:ascii="Cambria" w:hAnsi="Cambria"/>
          <w:bCs/>
        </w:rPr>
        <w:t xml:space="preserve"> A liberação do pagamento ficará condicionada a consulta prévia ao Sistema de Cadastro de Fornecedores da Prefeitura para verificação da situação da licitante em relação às condições de habilitação e qualificação exigidas também no processo licitatório, cujo resultado será impresso e juntado aos autos do processo.</w:t>
      </w:r>
    </w:p>
    <w:p w14:paraId="6F1AF659">
      <w:pPr>
        <w:pStyle w:val="12"/>
        <w:spacing w:line="276" w:lineRule="auto"/>
        <w:ind w:right="-1" w:firstLine="567"/>
        <w:jc w:val="both"/>
        <w:rPr>
          <w:rFonts w:ascii="Cambria" w:hAnsi="Cambria"/>
          <w:sz w:val="22"/>
          <w:szCs w:val="22"/>
        </w:rPr>
      </w:pPr>
      <w:r>
        <w:rPr>
          <w:rFonts w:ascii="Cambria" w:hAnsi="Cambria"/>
          <w:b/>
          <w:sz w:val="22"/>
          <w:szCs w:val="22"/>
        </w:rPr>
        <w:t xml:space="preserve">VI. </w:t>
      </w:r>
      <w:r>
        <w:rPr>
          <w:rFonts w:ascii="Cambria" w:hAnsi="Cambria"/>
          <w:sz w:val="22"/>
          <w:szCs w:val="22"/>
        </w:rPr>
        <w:t>O pagamento será efetuado pelo total do item fornecido, constante da ordem de fornecimento, acompanhada da Nota Fiscal.</w:t>
      </w:r>
    </w:p>
    <w:p w14:paraId="7869B488">
      <w:pPr>
        <w:pStyle w:val="30"/>
      </w:pPr>
      <w:r>
        <w:rPr>
          <w:b/>
          <w:bCs/>
        </w:rPr>
        <w:t xml:space="preserve">CLÁSULA QUINQUAGÉSIMA SÉTIMA: </w:t>
      </w:r>
      <w:r>
        <w:t xml:space="preserve">Para fins de liquidação, o setor competente deverá verificar se a nota fiscal ou instrumento de cobrança equivalente apresentado expressa os elementos necessários e essenciais do documento, tais como: </w:t>
      </w:r>
    </w:p>
    <w:p w14:paraId="0A3FBD85">
      <w:pPr>
        <w:pStyle w:val="32"/>
        <w:spacing w:before="0" w:after="0"/>
      </w:pPr>
      <w:r>
        <w:rPr>
          <w:b/>
          <w:bCs/>
        </w:rPr>
        <w:t>I.</w:t>
      </w:r>
      <w:r>
        <w:t xml:space="preserve"> o prazo de validade;</w:t>
      </w:r>
    </w:p>
    <w:p w14:paraId="4A565163">
      <w:pPr>
        <w:pStyle w:val="32"/>
        <w:spacing w:before="0" w:after="0"/>
      </w:pPr>
      <w:r>
        <w:rPr>
          <w:b/>
          <w:bCs/>
        </w:rPr>
        <w:t>II.</w:t>
      </w:r>
      <w:r>
        <w:t xml:space="preserve"> a data da emissão; </w:t>
      </w:r>
    </w:p>
    <w:p w14:paraId="6C7D1409">
      <w:pPr>
        <w:pStyle w:val="32"/>
        <w:spacing w:before="0" w:after="0"/>
      </w:pPr>
      <w:r>
        <w:rPr>
          <w:b/>
          <w:bCs/>
        </w:rPr>
        <w:t>III.</w:t>
      </w:r>
      <w:r>
        <w:t xml:space="preserve"> os dados da Ata de Registro de preços e do órgão contratante; </w:t>
      </w:r>
    </w:p>
    <w:p w14:paraId="15768BA4">
      <w:pPr>
        <w:pStyle w:val="32"/>
        <w:spacing w:before="0" w:after="0"/>
      </w:pPr>
      <w:r>
        <w:rPr>
          <w:b/>
          <w:bCs/>
        </w:rPr>
        <w:t>IV.</w:t>
      </w:r>
      <w:r>
        <w:t xml:space="preserve"> o período respectivo de execução da Ata de Registro de Preços; </w:t>
      </w:r>
    </w:p>
    <w:p w14:paraId="7FD7DB7B">
      <w:pPr>
        <w:pStyle w:val="32"/>
        <w:spacing w:before="0" w:after="0"/>
      </w:pPr>
      <w:r>
        <w:rPr>
          <w:b/>
          <w:bCs/>
        </w:rPr>
        <w:t>V.</w:t>
      </w:r>
      <w:r>
        <w:t xml:space="preserve"> o valor a pagar; e </w:t>
      </w:r>
    </w:p>
    <w:p w14:paraId="1CDE6668">
      <w:pPr>
        <w:pStyle w:val="22"/>
        <w:spacing w:line="276" w:lineRule="auto"/>
        <w:ind w:right="-1" w:firstLine="567"/>
        <w:jc w:val="both"/>
        <w:rPr>
          <w:rFonts w:ascii="Cambria" w:hAnsi="Cambria"/>
        </w:rPr>
      </w:pPr>
      <w:r>
        <w:rPr>
          <w:rFonts w:ascii="Cambria" w:hAnsi="Cambria"/>
          <w:b/>
          <w:bCs/>
        </w:rPr>
        <w:t>VI.</w:t>
      </w:r>
      <w:r>
        <w:rPr>
          <w:rFonts w:ascii="Cambria" w:hAnsi="Cambria"/>
        </w:rPr>
        <w:t xml:space="preserve"> eventual destaque do valor de retenções tributárias cabíveis.</w:t>
      </w:r>
    </w:p>
    <w:p w14:paraId="460E6413">
      <w:pPr>
        <w:pBdr>
          <w:top w:val="single" w:color="auto" w:sz="4" w:space="1"/>
          <w:left w:val="single" w:color="auto" w:sz="4" w:space="4"/>
          <w:bottom w:val="single" w:color="auto" w:sz="4" w:space="1"/>
          <w:right w:val="single" w:color="auto" w:sz="4" w:space="4"/>
        </w:pBdr>
        <w:shd w:val="clear" w:color="auto" w:fill="D8D8D8" w:themeFill="background1" w:themeFillShade="D9"/>
        <w:spacing w:before="240" w:line="276" w:lineRule="auto"/>
        <w:ind w:right="-1"/>
        <w:jc w:val="both"/>
        <w:rPr>
          <w:rFonts w:ascii="Cambria" w:hAnsi="Cambria"/>
        </w:rPr>
      </w:pPr>
      <w:r>
        <w:rPr>
          <w:rFonts w:ascii="Cambria" w:hAnsi="Cambria" w:eastAsia="Arial"/>
          <w:b/>
        </w:rPr>
        <w:t>DAS DISPOSIÇÕES FINAIS</w:t>
      </w:r>
    </w:p>
    <w:p w14:paraId="3121FECD">
      <w:pPr>
        <w:spacing w:before="240" w:after="240" w:afterLines="100" w:line="276" w:lineRule="auto"/>
        <w:ind w:right="-1"/>
        <w:jc w:val="both"/>
        <w:rPr>
          <w:rFonts w:ascii="Cambria" w:hAnsi="Cambria"/>
        </w:rPr>
      </w:pPr>
      <w:r>
        <w:rPr>
          <w:rFonts w:ascii="Cambria" w:hAnsi="Cambria"/>
          <w:b/>
          <w:bCs/>
        </w:rPr>
        <w:t>CLÁSULA QUINQUAGÉSIMA OITAVA</w:t>
      </w:r>
      <w:r>
        <w:rPr>
          <w:rFonts w:ascii="Cambria" w:hAnsi="Cambria" w:eastAsia="Arial"/>
          <w:b/>
        </w:rPr>
        <w:t xml:space="preserve">: </w:t>
      </w:r>
      <w:r>
        <w:rPr>
          <w:rFonts w:ascii="Cambria" w:hAnsi="Cambria"/>
        </w:rPr>
        <w:t>As omissões desta Ata e as dúvidas oriundas de sua interpretação serão sanadas de acordo com o que dispuserem o Edital do Pregão Eletrônico nº 53/2024 e a proposta apresentada pela licitante, prevalecendo, em caso de conflito, as disposições do Edital sobre a da proposta.</w:t>
      </w:r>
    </w:p>
    <w:p w14:paraId="0038C668">
      <w:pPr>
        <w:spacing w:after="240" w:afterLines="100" w:line="276" w:lineRule="auto"/>
        <w:ind w:right="-1"/>
        <w:jc w:val="both"/>
        <w:rPr>
          <w:rFonts w:ascii="Cambria" w:hAnsi="Cambria"/>
        </w:rPr>
      </w:pPr>
      <w:r>
        <w:rPr>
          <w:rFonts w:ascii="Cambria" w:hAnsi="Cambria"/>
          <w:b/>
          <w:bCs/>
        </w:rPr>
        <w:t>CLÁSULA QUINQUAGÉSIMA NONA</w:t>
      </w:r>
      <w:r>
        <w:rPr>
          <w:rFonts w:ascii="Cambria" w:hAnsi="Cambria" w:eastAsia="Arial"/>
          <w:b/>
        </w:rPr>
        <w:t xml:space="preserve">: </w:t>
      </w:r>
      <w:r>
        <w:rPr>
          <w:rFonts w:ascii="Cambria" w:hAnsi="Cambria"/>
        </w:rPr>
        <w:t>O presente registro decorre de adjudicação à Promitente Contratada dos objetos, cujas descrições, quantidades e especificações constam no Termo de Referência - Anexo, do Pregão Eletrônico nº 53/2024, conforme decisão da Agente de Contratação/ Pregoeira do Município, lavrada em Ata de Sessão Eletrônica datada de __ de ____________ de 20___, e Termo de Homologação exarado pelo atual Prefeito de Piracanjuba, Sr. Claudiney Antônio Machado datado de ___ de _____________ de 20____.</w:t>
      </w:r>
    </w:p>
    <w:p w14:paraId="1D2045A5">
      <w:pPr>
        <w:spacing w:after="240" w:afterLines="100" w:line="276" w:lineRule="auto"/>
        <w:ind w:right="-1"/>
        <w:jc w:val="both"/>
        <w:rPr>
          <w:rFonts w:ascii="Cambria" w:hAnsi="Cambria"/>
        </w:rPr>
      </w:pPr>
      <w:r>
        <w:rPr>
          <w:rFonts w:ascii="Cambria" w:hAnsi="Cambria" w:eastAsia="Arial"/>
          <w:b/>
        </w:rPr>
        <w:t xml:space="preserve">CLÁUSULA </w:t>
      </w:r>
      <w:r>
        <w:fldChar w:fldCharType="begin"/>
      </w:r>
      <w:r>
        <w:instrText xml:space="preserve"> HYPERLINK "https://www.google.com/search?sca_esv=0dcc3d4151cae03d&amp;sxsrf=ACQVn0_A98oCKQJWsgZzadxgDo09eYCY4Q:1709144110186&amp;q=septuag%C3%A9sima&amp;spell=1&amp;sa=X&amp;ved=2ahUKEwj1vrr80c6EAxVBr5UCHSSECZoQBSgAegQIChAC" </w:instrText>
      </w:r>
      <w:r>
        <w:fldChar w:fldCharType="separate"/>
      </w:r>
      <w:r>
        <w:rPr>
          <w:rFonts w:ascii="Cambria" w:hAnsi="Cambria" w:cs="Arial"/>
          <w:b/>
          <w:bCs/>
        </w:rPr>
        <w:t>SEPTUAGÉSIMA</w:t>
      </w:r>
      <w:r>
        <w:rPr>
          <w:rFonts w:ascii="Cambria" w:hAnsi="Cambria" w:cs="Arial"/>
          <w:b/>
          <w:bCs/>
        </w:rPr>
        <w:fldChar w:fldCharType="end"/>
      </w:r>
      <w:r>
        <w:rPr>
          <w:rFonts w:ascii="Cambria" w:hAnsi="Cambria" w:eastAsia="Arial"/>
          <w:b/>
        </w:rPr>
        <w:t xml:space="preserve">: </w:t>
      </w:r>
      <w:r>
        <w:rPr>
          <w:rFonts w:ascii="Cambria" w:hAnsi="Cambria"/>
        </w:rPr>
        <w:t xml:space="preserve">Caberá à Secretaria Municipal de Saúde de Piracanjuba/GO o gerenciamento da presente Ata de Registro de Preços nos termos da legislação vigente. </w:t>
      </w:r>
    </w:p>
    <w:p w14:paraId="0A0D4302">
      <w:pPr>
        <w:pBdr>
          <w:top w:val="single" w:color="auto" w:sz="4" w:space="1"/>
          <w:left w:val="single" w:color="auto" w:sz="4" w:space="4"/>
          <w:bottom w:val="single" w:color="auto" w:sz="4" w:space="1"/>
          <w:right w:val="single" w:color="auto" w:sz="4" w:space="4"/>
        </w:pBdr>
        <w:shd w:val="clear" w:color="auto" w:fill="D8D8D8" w:themeFill="background1" w:themeFillShade="D9"/>
        <w:spacing w:before="240" w:line="276" w:lineRule="auto"/>
        <w:ind w:right="-1"/>
        <w:jc w:val="both"/>
        <w:rPr>
          <w:rFonts w:ascii="Cambria" w:hAnsi="Cambria"/>
        </w:rPr>
      </w:pPr>
      <w:r>
        <w:rPr>
          <w:rFonts w:ascii="Cambria" w:hAnsi="Cambria" w:eastAsia="Arial"/>
          <w:b/>
        </w:rPr>
        <w:t>DO FORO</w:t>
      </w:r>
    </w:p>
    <w:p w14:paraId="35F92317">
      <w:pPr>
        <w:spacing w:after="240" w:afterLines="100" w:line="276" w:lineRule="auto"/>
        <w:ind w:right="-1"/>
        <w:jc w:val="both"/>
        <w:rPr>
          <w:rFonts w:ascii="Cambria" w:hAnsi="Cambria"/>
        </w:rPr>
      </w:pPr>
      <w:r>
        <w:rPr>
          <w:rFonts w:ascii="Cambria" w:hAnsi="Cambria" w:eastAsia="Arial"/>
          <w:b/>
        </w:rPr>
        <w:t xml:space="preserve">CLÁUSULA </w:t>
      </w:r>
      <w:r>
        <w:fldChar w:fldCharType="begin"/>
      </w:r>
      <w:r>
        <w:instrText xml:space="preserve"> HYPERLINK "https://www.google.com/search?sca_esv=0dcc3d4151cae03d&amp;sxsrf=ACQVn0_A98oCKQJWsgZzadxgDo09eYCY4Q:1709144110186&amp;q=septuag%C3%A9sima&amp;spell=1&amp;sa=X&amp;ved=2ahUKEwj1vrr80c6EAxVBr5UCHSSECZoQBSgAegQIChAC" </w:instrText>
      </w:r>
      <w:r>
        <w:fldChar w:fldCharType="separate"/>
      </w:r>
      <w:r>
        <w:rPr>
          <w:rFonts w:ascii="Cambria" w:hAnsi="Cambria" w:cs="Arial"/>
          <w:b/>
          <w:bCs/>
        </w:rPr>
        <w:t>SEPTUAGÉSIMA</w:t>
      </w:r>
      <w:r>
        <w:rPr>
          <w:rFonts w:ascii="Cambria" w:hAnsi="Cambria" w:cs="Arial"/>
          <w:b/>
          <w:bCs/>
        </w:rPr>
        <w:fldChar w:fldCharType="end"/>
      </w:r>
      <w:r>
        <w:rPr>
          <w:rFonts w:ascii="Cambria" w:hAnsi="Cambria" w:eastAsia="Arial"/>
          <w:b/>
        </w:rPr>
        <w:t xml:space="preserve"> PRIMEIRA: </w:t>
      </w:r>
      <w:r>
        <w:rPr>
          <w:rFonts w:ascii="Cambria" w:hAnsi="Cambria"/>
        </w:rPr>
        <w:t xml:space="preserve">Fica eleito o foro da Comarca de Piracanjuba, para dirimir quaisquer dúvidas decorrentes da execução desta Ata, com renúncia das partes a qualquer outro, por mais privilegiado que seja. </w:t>
      </w:r>
    </w:p>
    <w:p w14:paraId="4490CB4E">
      <w:pPr>
        <w:pStyle w:val="12"/>
        <w:spacing w:before="0" w:beforeAutospacing="0" w:after="0" w:afterAutospacing="0" w:line="276" w:lineRule="auto"/>
        <w:ind w:right="-1"/>
        <w:jc w:val="right"/>
        <w:rPr>
          <w:rFonts w:ascii="Cambria" w:hAnsi="Cambria"/>
          <w:b/>
          <w:sz w:val="22"/>
          <w:szCs w:val="22"/>
        </w:rPr>
      </w:pPr>
      <w:r>
        <w:rPr>
          <w:rFonts w:ascii="Cambria" w:hAnsi="Cambria"/>
          <w:sz w:val="22"/>
          <w:szCs w:val="22"/>
        </w:rPr>
        <w:t>Piracanjuba/ GO, aos _____ dias do mês de ___________ de 20__</w:t>
      </w:r>
    </w:p>
    <w:p w14:paraId="5A530D7F">
      <w:pPr>
        <w:spacing w:after="0" w:line="276" w:lineRule="auto"/>
        <w:ind w:right="-1"/>
        <w:jc w:val="center"/>
        <w:rPr>
          <w:rFonts w:ascii="Cambria" w:hAnsi="Cambria"/>
          <w:b/>
        </w:rPr>
      </w:pPr>
    </w:p>
    <w:p w14:paraId="01D453F8">
      <w:pPr>
        <w:spacing w:after="0" w:line="276" w:lineRule="auto"/>
        <w:ind w:right="-1"/>
        <w:jc w:val="center"/>
        <w:rPr>
          <w:rFonts w:ascii="Cambria" w:hAnsi="Cambria"/>
          <w:b/>
        </w:rPr>
      </w:pPr>
      <w:r>
        <w:rPr>
          <w:rFonts w:ascii="Cambria" w:hAnsi="Cambria"/>
          <w:b/>
        </w:rPr>
        <w:t>SILVIA RAQUEL DE SÁ ARAÚJO BARBOSA</w:t>
      </w:r>
    </w:p>
    <w:p w14:paraId="68AB4996">
      <w:pPr>
        <w:spacing w:after="0" w:line="276" w:lineRule="auto"/>
        <w:ind w:right="-1"/>
        <w:jc w:val="center"/>
        <w:rPr>
          <w:rFonts w:ascii="Cambria" w:hAnsi="Cambria"/>
          <w:bCs/>
        </w:rPr>
      </w:pPr>
      <w:r>
        <w:rPr>
          <w:rFonts w:ascii="Cambria" w:hAnsi="Cambria"/>
          <w:bCs/>
        </w:rPr>
        <w:t>Secretária Municipal de Saúde</w:t>
      </w:r>
    </w:p>
    <w:p w14:paraId="49A60265">
      <w:pPr>
        <w:spacing w:after="0" w:line="276" w:lineRule="auto"/>
        <w:ind w:right="-1"/>
        <w:jc w:val="center"/>
        <w:rPr>
          <w:rFonts w:ascii="Cambria" w:hAnsi="Cambria"/>
          <w:bCs/>
        </w:rPr>
      </w:pPr>
      <w:r>
        <w:rPr>
          <w:rFonts w:ascii="Cambria" w:hAnsi="Cambria"/>
          <w:bCs/>
        </w:rPr>
        <w:t>Gestora do Fundo Municipal de Saúde</w:t>
      </w:r>
    </w:p>
    <w:p w14:paraId="7F8205AD">
      <w:pPr>
        <w:spacing w:after="120" w:afterLines="50" w:line="360" w:lineRule="auto"/>
        <w:ind w:right="-1"/>
        <w:contextualSpacing/>
        <w:jc w:val="center"/>
        <w:rPr>
          <w:rFonts w:ascii="Cambria" w:hAnsi="Cambria" w:eastAsia="Arial"/>
        </w:rPr>
      </w:pPr>
      <w:r>
        <w:rPr>
          <w:rFonts w:ascii="Cambria" w:hAnsi="Cambria" w:eastAsia="Arial"/>
        </w:rPr>
        <w:t>Contratante</w:t>
      </w:r>
    </w:p>
    <w:p w14:paraId="687F50D7">
      <w:pPr>
        <w:spacing w:after="120" w:afterLines="50" w:line="360" w:lineRule="auto"/>
        <w:ind w:right="-1"/>
        <w:contextualSpacing/>
        <w:jc w:val="center"/>
        <w:rPr>
          <w:rFonts w:eastAsia="Arial" w:asciiTheme="majorHAnsi" w:hAnsiTheme="majorHAnsi"/>
        </w:rPr>
      </w:pPr>
    </w:p>
    <w:p w14:paraId="0DBC18F8">
      <w:pPr>
        <w:spacing w:after="0"/>
        <w:jc w:val="center"/>
      </w:pPr>
      <w:r>
        <w:rPr>
          <w:rFonts w:ascii="Cambria" w:hAnsi="Cambria"/>
          <w:b/>
        </w:rPr>
        <w:t>__________________________________</w:t>
      </w:r>
    </w:p>
    <w:p w14:paraId="079BFEBB">
      <w:pPr>
        <w:tabs>
          <w:tab w:val="left" w:pos="1701"/>
        </w:tabs>
        <w:spacing w:after="0" w:line="276" w:lineRule="auto"/>
        <w:jc w:val="center"/>
        <w:rPr>
          <w:rFonts w:ascii="Cambria" w:hAnsi="Cambria"/>
          <w:bCs/>
        </w:rPr>
      </w:pPr>
      <w:r>
        <w:rPr>
          <w:rFonts w:ascii="Cambria" w:hAnsi="Cambria"/>
          <w:bCs/>
        </w:rPr>
        <w:t>Contratada</w:t>
      </w:r>
    </w:p>
    <w:p w14:paraId="7AEA5541">
      <w:pPr>
        <w:rPr>
          <w:rFonts w:ascii="Cambria" w:hAnsi="Cambria"/>
          <w:b/>
        </w:rPr>
      </w:pPr>
      <w:r>
        <w:rPr>
          <w:rFonts w:ascii="Cambria" w:hAnsi="Cambria"/>
          <w:b/>
        </w:rPr>
        <w:br w:type="page"/>
      </w:r>
    </w:p>
    <w:p w14:paraId="644C9003">
      <w:pPr>
        <w:tabs>
          <w:tab w:val="left" w:pos="1701"/>
        </w:tabs>
        <w:spacing w:before="240" w:line="276" w:lineRule="auto"/>
        <w:jc w:val="center"/>
        <w:rPr>
          <w:rFonts w:ascii="Cambria" w:hAnsi="Cambria"/>
          <w:b/>
        </w:rPr>
      </w:pPr>
      <w:r>
        <w:rPr>
          <w:rFonts w:ascii="Cambria" w:hAnsi="Cambria"/>
          <w:b/>
        </w:rPr>
        <w:t>PREGÃO ELETRÔNICO Nº 53/2024</w:t>
      </w:r>
    </w:p>
    <w:p w14:paraId="683DBC19">
      <w:pPr>
        <w:tabs>
          <w:tab w:val="left" w:pos="1701"/>
        </w:tabs>
        <w:spacing w:before="240" w:line="276" w:lineRule="auto"/>
        <w:jc w:val="center"/>
        <w:rPr>
          <w:rFonts w:ascii="Cambria" w:hAnsi="Cambria"/>
          <w:b/>
        </w:rPr>
      </w:pPr>
      <w:r>
        <w:rPr>
          <w:rFonts w:ascii="Cambria" w:hAnsi="Cambria"/>
          <w:b/>
        </w:rPr>
        <w:t>ANEXO VI</w:t>
      </w:r>
    </w:p>
    <w:p w14:paraId="2365F256">
      <w:pPr>
        <w:tabs>
          <w:tab w:val="left" w:pos="3390"/>
        </w:tabs>
        <w:spacing w:before="240" w:after="240" w:line="276" w:lineRule="auto"/>
        <w:jc w:val="center"/>
        <w:rPr>
          <w:rFonts w:ascii="Cambria" w:hAnsi="Cambria"/>
          <w:b/>
          <w:u w:val="single"/>
        </w:rPr>
      </w:pPr>
      <w:r>
        <w:rPr>
          <w:rFonts w:ascii="Cambria" w:hAnsi="Cambria"/>
          <w:b/>
          <w:u w:val="single"/>
        </w:rPr>
        <w:t>MINUTA DE CONTRATO DE FORNECIMENTO</w:t>
      </w:r>
    </w:p>
    <w:p w14:paraId="190E8C42">
      <w:pPr>
        <w:spacing w:before="240" w:after="240" w:line="276" w:lineRule="auto"/>
        <w:ind w:left="4536" w:right="-1"/>
        <w:jc w:val="both"/>
        <w:rPr>
          <w:rFonts w:ascii="Cambria" w:hAnsi="Cambria"/>
        </w:rPr>
      </w:pPr>
      <w:r>
        <w:rPr>
          <w:rFonts w:ascii="Cambria" w:hAnsi="Cambria"/>
        </w:rPr>
        <w:t xml:space="preserve">Contrato que entre si celebram o </w:t>
      </w:r>
      <w:r>
        <w:rPr>
          <w:rFonts w:ascii="Cambria" w:hAnsi="Cambria"/>
          <w:b/>
        </w:rPr>
        <w:t xml:space="preserve">FUNDO MUNICIPAL DE SAÚDE </w:t>
      </w:r>
      <w:r>
        <w:rPr>
          <w:rFonts w:ascii="Cambria" w:hAnsi="Cambria"/>
        </w:rPr>
        <w:t xml:space="preserve">e a Empresa </w:t>
      </w:r>
      <w:r>
        <w:rPr>
          <w:rFonts w:ascii="Cambria" w:hAnsi="Cambria" w:eastAsia="Arial" w:cs="Arial"/>
          <w:b/>
        </w:rPr>
        <w:t>_________________</w:t>
      </w:r>
      <w:r>
        <w:rPr>
          <w:rFonts w:ascii="Cambria" w:hAnsi="Cambria"/>
        </w:rPr>
        <w:t>, na forma abaixo:</w:t>
      </w:r>
    </w:p>
    <w:p w14:paraId="5E279099">
      <w:pPr>
        <w:pStyle w:val="12"/>
        <w:spacing w:line="276" w:lineRule="auto"/>
        <w:ind w:right="-1"/>
        <w:jc w:val="both"/>
        <w:rPr>
          <w:rFonts w:ascii="Cambria" w:hAnsi="Cambria"/>
          <w:sz w:val="22"/>
          <w:szCs w:val="22"/>
        </w:rPr>
      </w:pPr>
      <w:r>
        <w:rPr>
          <w:rFonts w:ascii="Cambria" w:hAnsi="Cambria"/>
          <w:b/>
          <w:sz w:val="22"/>
          <w:szCs w:val="22"/>
        </w:rPr>
        <w:t>CONTRATANTE</w:t>
      </w:r>
      <w:r>
        <w:rPr>
          <w:rFonts w:ascii="Cambria" w:hAnsi="Cambria"/>
          <w:sz w:val="22"/>
          <w:szCs w:val="22"/>
        </w:rPr>
        <w:t xml:space="preserve">: </w:t>
      </w:r>
      <w:r>
        <w:rPr>
          <w:rFonts w:ascii="Cambria" w:hAnsi="Cambria"/>
          <w:b/>
          <w:sz w:val="22"/>
          <w:szCs w:val="22"/>
        </w:rPr>
        <w:t>FUNDO MUNICIPAL DE SAÚDE DE PIRACANJUBA</w:t>
      </w:r>
      <w:r>
        <w:rPr>
          <w:rFonts w:ascii="Cambria" w:hAnsi="Cambria"/>
          <w:sz w:val="22"/>
          <w:szCs w:val="22"/>
        </w:rPr>
        <w:t xml:space="preserve">, Pessoa Jurídica de Direito Público, inscrita no CNPJ sob o nº 01.753.396/0001-00, com sede na </w:t>
      </w:r>
      <w:r>
        <w:rPr>
          <w:rFonts w:ascii="Cambria" w:hAnsi="Cambria" w:cs="Segoe UI"/>
          <w:sz w:val="22"/>
          <w:szCs w:val="22"/>
        </w:rPr>
        <w:t>Rua Cônego Olinto, s/n, Centro – Piracanjuba/GO</w:t>
      </w:r>
      <w:r>
        <w:rPr>
          <w:rFonts w:ascii="Cambria" w:hAnsi="Cambria"/>
          <w:sz w:val="22"/>
          <w:szCs w:val="22"/>
        </w:rPr>
        <w:t xml:space="preserve">, neste ato representado por sua atual Gestora, </w:t>
      </w:r>
      <w:r>
        <w:rPr>
          <w:rFonts w:ascii="Cambria" w:hAnsi="Cambria"/>
          <w:b/>
          <w:sz w:val="22"/>
          <w:szCs w:val="22"/>
        </w:rPr>
        <w:t>Sra. Silvia Raquel de Sá Araújo Barbosa</w:t>
      </w:r>
      <w:r>
        <w:rPr>
          <w:rFonts w:ascii="Cambria" w:hAnsi="Cambria"/>
          <w:sz w:val="22"/>
          <w:szCs w:val="22"/>
        </w:rPr>
        <w:t>, brasileira, inscrita no CPF sob o nº ____________, residente e domiciliado nesta cidade.</w:t>
      </w:r>
    </w:p>
    <w:p w14:paraId="2EE32882">
      <w:pPr>
        <w:pStyle w:val="12"/>
        <w:spacing w:before="240" w:line="276" w:lineRule="auto"/>
        <w:ind w:right="-1"/>
        <w:jc w:val="both"/>
        <w:rPr>
          <w:rFonts w:ascii="Cambria" w:hAnsi="Cambria"/>
          <w:sz w:val="22"/>
          <w:szCs w:val="22"/>
        </w:rPr>
      </w:pPr>
      <w:r>
        <w:rPr>
          <w:rFonts w:ascii="Cambria" w:hAnsi="Cambria"/>
          <w:b/>
          <w:sz w:val="22"/>
          <w:szCs w:val="22"/>
        </w:rPr>
        <w:t>CONTRATADO</w:t>
      </w:r>
      <w:r>
        <w:rPr>
          <w:rFonts w:ascii="Cambria" w:hAnsi="Cambria"/>
          <w:sz w:val="22"/>
          <w:szCs w:val="22"/>
        </w:rPr>
        <w:t xml:space="preserve">: </w:t>
      </w:r>
      <w:r>
        <w:rPr>
          <w:rFonts w:ascii="Cambria" w:hAnsi="Cambria"/>
          <w:b/>
          <w:sz w:val="22"/>
          <w:szCs w:val="22"/>
        </w:rPr>
        <w:t xml:space="preserve">_______________________, </w:t>
      </w:r>
      <w:r>
        <w:rPr>
          <w:rFonts w:ascii="Cambria" w:hAnsi="Cambria"/>
          <w:sz w:val="22"/>
          <w:szCs w:val="22"/>
        </w:rPr>
        <w:t>inscrita no CNPJ sob o nº ______________, com sede na _____________, Fone: _____________, E-mail: _____________, neste ato representado pelo (a) Sr. (a), _____________, brasileiro, inscrito no CPF sob o nº ____________, residente em ___________.</w:t>
      </w:r>
    </w:p>
    <w:p w14:paraId="5B95BE6B">
      <w:pPr>
        <w:pStyle w:val="12"/>
        <w:spacing w:line="276" w:lineRule="auto"/>
        <w:ind w:right="-1"/>
        <w:jc w:val="both"/>
        <w:rPr>
          <w:rFonts w:ascii="Cambria" w:hAnsi="Cambria"/>
          <w:sz w:val="22"/>
          <w:szCs w:val="22"/>
        </w:rPr>
      </w:pPr>
      <w:r>
        <w:rPr>
          <w:rFonts w:ascii="Cambria" w:hAnsi="Cambria"/>
          <w:sz w:val="22"/>
          <w:szCs w:val="22"/>
        </w:rPr>
        <w:t xml:space="preserve">O </w:t>
      </w:r>
      <w:r>
        <w:rPr>
          <w:rFonts w:ascii="Cambria" w:hAnsi="Cambria"/>
          <w:b/>
          <w:sz w:val="22"/>
          <w:szCs w:val="22"/>
        </w:rPr>
        <w:t>CONTRATANTE</w:t>
      </w:r>
      <w:r>
        <w:rPr>
          <w:rFonts w:ascii="Cambria" w:hAnsi="Cambria"/>
          <w:sz w:val="22"/>
          <w:szCs w:val="22"/>
        </w:rPr>
        <w:t xml:space="preserve"> e o </w:t>
      </w:r>
      <w:r>
        <w:rPr>
          <w:rFonts w:ascii="Cambria" w:hAnsi="Cambria"/>
          <w:b/>
          <w:sz w:val="22"/>
          <w:szCs w:val="22"/>
        </w:rPr>
        <w:t>CONTRATADO</w:t>
      </w:r>
      <w:r>
        <w:rPr>
          <w:rFonts w:ascii="Cambria" w:hAnsi="Cambria"/>
          <w:sz w:val="22"/>
          <w:szCs w:val="22"/>
        </w:rPr>
        <w:t xml:space="preserve">, acima especificados, têm entre si ajustados o presente Contrato de Fornecimento, conforme autorização constante do </w:t>
      </w:r>
      <w:r>
        <w:rPr>
          <w:rFonts w:ascii="Cambria" w:hAnsi="Cambria" w:eastAsia="Arial"/>
          <w:sz w:val="22"/>
          <w:szCs w:val="22"/>
        </w:rPr>
        <w:t>Pregão Eletrônico</w:t>
      </w:r>
      <w:r>
        <w:rPr>
          <w:rFonts w:ascii="Cambria" w:hAnsi="Cambria"/>
          <w:sz w:val="22"/>
          <w:szCs w:val="22"/>
        </w:rPr>
        <w:t xml:space="preserve"> nº 53/2024 e do Despacho Homologatório expedido em __ de ______________ de 20__, Processo Administrativo n° 155796/2024 regulado pelos preceitos de direito público e especialmente pela Lei Federal nº 14.133, de 01 de abril de 2021, e demais legislação aplicável, bem como mediante as seguintes Cláusulas e condições.</w:t>
      </w:r>
    </w:p>
    <w:p w14:paraId="1AB6FBBF">
      <w:pPr>
        <w:pBdr>
          <w:top w:val="single" w:color="auto" w:sz="4" w:space="1"/>
          <w:left w:val="single" w:color="auto" w:sz="4" w:space="4"/>
          <w:bottom w:val="single" w:color="auto" w:sz="4" w:space="1"/>
          <w:right w:val="single" w:color="auto" w:sz="4" w:space="4"/>
        </w:pBdr>
        <w:shd w:val="clear" w:color="auto" w:fill="D8D8D8" w:themeFill="background1" w:themeFillShade="D9"/>
        <w:spacing w:before="240" w:after="120" w:line="276" w:lineRule="auto"/>
        <w:ind w:right="-1"/>
        <w:jc w:val="both"/>
        <w:rPr>
          <w:rFonts w:ascii="Cambria" w:hAnsi="Cambria"/>
          <w:b/>
        </w:rPr>
      </w:pPr>
      <w:r>
        <w:rPr>
          <w:rFonts w:ascii="Cambria" w:hAnsi="Cambria"/>
          <w:b/>
        </w:rPr>
        <w:t>CLÁUSULA PRIMEIRA – DO OBJETO</w:t>
      </w:r>
    </w:p>
    <w:p w14:paraId="78E47EF0">
      <w:pPr>
        <w:jc w:val="both"/>
        <w:rPr>
          <w:rFonts w:ascii="Cambria" w:hAnsi="Cambria"/>
        </w:rPr>
      </w:pPr>
      <w:r>
        <w:rPr>
          <w:rFonts w:ascii="Cambria" w:hAnsi="Cambria"/>
          <w:b/>
        </w:rPr>
        <w:t>1.1</w:t>
      </w:r>
      <w:r>
        <w:rPr>
          <w:rFonts w:ascii="Cambria" w:hAnsi="Cambria"/>
        </w:rPr>
        <w:t xml:space="preserve"> O presente Contrato tem por objeto, sem custos além dos previstos, neste instrumento, o fornecimento de medicamentos, materiais medico hospitalares e laboratoriais, os quais foram fracassados ou desertos de outras licitações (Pregão Eletrônico nº 10/2024, Pregão Eletrônico nº 18/2024, Pregão Eletrônico nº 31/2024 e Pregão Eletrônico nº 35/2024), afim de atender as demandas das Unidades ligadas à Secretaria Municipal de Saúde de Piracanjuba/GO, conforme especificações contidas no Estudo Técnico Preliminar e Termo de Referência, anexos ao Edital do </w:t>
      </w:r>
      <w:r>
        <w:rPr>
          <w:rFonts w:ascii="Cambria" w:hAnsi="Cambria" w:eastAsia="Arial"/>
        </w:rPr>
        <w:t>Pregão Eletrônico</w:t>
      </w:r>
      <w:r>
        <w:rPr>
          <w:rFonts w:ascii="Cambria" w:hAnsi="Cambria"/>
        </w:rPr>
        <w:t xml:space="preserve"> nº 53/2024, e condições deste Contrato.</w:t>
      </w:r>
    </w:p>
    <w:p w14:paraId="70E6B200">
      <w:pPr>
        <w:spacing w:before="240" w:line="276" w:lineRule="auto"/>
        <w:ind w:right="-1"/>
        <w:jc w:val="both"/>
        <w:rPr>
          <w:rFonts w:ascii="Cambria" w:hAnsi="Cambria"/>
        </w:rPr>
      </w:pPr>
      <w:r>
        <w:rPr>
          <w:rFonts w:ascii="Cambria" w:hAnsi="Cambria"/>
          <w:b/>
        </w:rPr>
        <w:t>1.2</w:t>
      </w:r>
      <w:r>
        <w:rPr>
          <w:rFonts w:ascii="Cambria" w:hAnsi="Cambria"/>
        </w:rPr>
        <w:t xml:space="preserve"> Fazem parte integrante deste Contrato, independentemente de sua transcrição, o Termo de Referência, o Edital de Pregão Eletrônico nº 53/2024 a Proposta de Preços Realinhada do Contratado e/ou Planilha de Composição de Custos e Formação de Preços e outros documentos utilizados no julgamento da respectiva licitação, sendo vinculado o Edital a este Contrato, conforme inciso I e II, do artigo 92, da Lei Federal nº 14.133, de 2021.</w:t>
      </w:r>
    </w:p>
    <w:p w14:paraId="5D478ABB">
      <w:pPr>
        <w:pBdr>
          <w:top w:val="single" w:color="auto" w:sz="4" w:space="1"/>
          <w:left w:val="single" w:color="auto" w:sz="4" w:space="4"/>
          <w:bottom w:val="single" w:color="auto" w:sz="4" w:space="1"/>
          <w:right w:val="single" w:color="auto" w:sz="4" w:space="4"/>
        </w:pBdr>
        <w:shd w:val="clear" w:color="auto" w:fill="D8D8D8" w:themeFill="background1" w:themeFillShade="D9"/>
        <w:spacing w:before="120" w:after="240" w:line="276" w:lineRule="auto"/>
        <w:ind w:right="-1"/>
        <w:jc w:val="both"/>
        <w:rPr>
          <w:rFonts w:ascii="Cambria" w:hAnsi="Cambria"/>
        </w:rPr>
      </w:pPr>
      <w:r>
        <w:rPr>
          <w:rFonts w:ascii="Cambria" w:hAnsi="Cambria"/>
          <w:b/>
        </w:rPr>
        <w:t>CLÁUSULA SEGUNDA</w:t>
      </w:r>
      <w:r>
        <w:rPr>
          <w:rFonts w:ascii="Cambria" w:hAnsi="Cambria"/>
        </w:rPr>
        <w:t xml:space="preserve"> – </w:t>
      </w:r>
      <w:r>
        <w:rPr>
          <w:rFonts w:ascii="Cambria" w:hAnsi="Cambria"/>
          <w:b/>
        </w:rPr>
        <w:t>DA ESPECIFICAÇÃO E DO PREÇO</w:t>
      </w:r>
    </w:p>
    <w:p w14:paraId="1CA214F5">
      <w:pPr>
        <w:spacing w:before="120" w:after="240" w:line="276" w:lineRule="auto"/>
        <w:ind w:right="-1"/>
        <w:jc w:val="both"/>
        <w:rPr>
          <w:rFonts w:ascii="Cambria" w:hAnsi="Cambria"/>
        </w:rPr>
      </w:pPr>
      <w:r>
        <w:rPr>
          <w:rFonts w:ascii="Cambria" w:hAnsi="Cambria"/>
          <w:b/>
        </w:rPr>
        <w:t>2.1</w:t>
      </w:r>
      <w:r>
        <w:rPr>
          <w:rFonts w:ascii="Cambria" w:hAnsi="Cambria"/>
        </w:rPr>
        <w:t xml:space="preserve"> O </w:t>
      </w:r>
      <w:r>
        <w:rPr>
          <w:rFonts w:ascii="Cambria" w:hAnsi="Cambria"/>
          <w:b/>
        </w:rPr>
        <w:t>CONTRATANTE</w:t>
      </w:r>
      <w:r>
        <w:rPr>
          <w:rFonts w:ascii="Cambria" w:hAnsi="Cambria"/>
        </w:rPr>
        <w:t xml:space="preserve"> se obriga a pagar à </w:t>
      </w:r>
      <w:r>
        <w:rPr>
          <w:rFonts w:ascii="Cambria" w:hAnsi="Cambria"/>
          <w:b/>
        </w:rPr>
        <w:t>CONTRATADA</w:t>
      </w:r>
      <w:r>
        <w:rPr>
          <w:rFonts w:ascii="Cambria" w:hAnsi="Cambria"/>
        </w:rPr>
        <w:t>, pelo fornecimento do objeto do presente contrato, os preços conforme abaixo especificados:</w:t>
      </w:r>
    </w:p>
    <w:tbl>
      <w:tblPr>
        <w:tblStyle w:val="4"/>
        <w:tblW w:w="9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3597"/>
        <w:gridCol w:w="991"/>
        <w:gridCol w:w="849"/>
        <w:gridCol w:w="848"/>
        <w:gridCol w:w="1136"/>
        <w:gridCol w:w="1112"/>
      </w:tblGrid>
      <w:tr w14:paraId="6C84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42" w:type="dxa"/>
            <w:tcBorders>
              <w:top w:val="single" w:color="auto" w:sz="4" w:space="0"/>
              <w:left w:val="single" w:color="auto" w:sz="4" w:space="0"/>
              <w:bottom w:val="single" w:color="auto" w:sz="4" w:space="0"/>
              <w:right w:val="single" w:color="auto" w:sz="4" w:space="0"/>
            </w:tcBorders>
          </w:tcPr>
          <w:p w14:paraId="110AB97F">
            <w:pPr>
              <w:spacing w:after="0" w:line="240" w:lineRule="auto"/>
              <w:ind w:left="-79" w:right="-1" w:firstLine="6"/>
              <w:jc w:val="center"/>
              <w:rPr>
                <w:rFonts w:ascii="Cambria" w:hAnsi="Cambria"/>
                <w:b/>
              </w:rPr>
            </w:pPr>
            <w:r>
              <w:rPr>
                <w:rFonts w:ascii="Cambria" w:hAnsi="Cambria"/>
                <w:b/>
              </w:rPr>
              <w:t>Item</w:t>
            </w:r>
          </w:p>
        </w:tc>
        <w:tc>
          <w:tcPr>
            <w:tcW w:w="3597" w:type="dxa"/>
            <w:tcBorders>
              <w:top w:val="single" w:color="auto" w:sz="4" w:space="0"/>
              <w:left w:val="single" w:color="auto" w:sz="4" w:space="0"/>
              <w:bottom w:val="single" w:color="auto" w:sz="4" w:space="0"/>
              <w:right w:val="single" w:color="auto" w:sz="4" w:space="0"/>
            </w:tcBorders>
          </w:tcPr>
          <w:p w14:paraId="637B0358">
            <w:pPr>
              <w:spacing w:after="0" w:line="240" w:lineRule="auto"/>
              <w:ind w:right="-1" w:hanging="11"/>
              <w:jc w:val="center"/>
              <w:rPr>
                <w:rFonts w:ascii="Cambria" w:hAnsi="Cambria"/>
                <w:b/>
              </w:rPr>
            </w:pPr>
            <w:r>
              <w:rPr>
                <w:rFonts w:ascii="Cambria" w:hAnsi="Cambria"/>
                <w:b/>
              </w:rPr>
              <w:t>Descrição</w:t>
            </w:r>
          </w:p>
        </w:tc>
        <w:tc>
          <w:tcPr>
            <w:tcW w:w="991" w:type="dxa"/>
            <w:tcBorders>
              <w:top w:val="single" w:color="auto" w:sz="4" w:space="0"/>
              <w:left w:val="single" w:color="auto" w:sz="4" w:space="0"/>
              <w:bottom w:val="single" w:color="auto" w:sz="4" w:space="0"/>
              <w:right w:val="single" w:color="auto" w:sz="4" w:space="0"/>
            </w:tcBorders>
          </w:tcPr>
          <w:p w14:paraId="013C2861">
            <w:pPr>
              <w:spacing w:after="0" w:line="240" w:lineRule="auto"/>
              <w:ind w:right="-1" w:hanging="11"/>
              <w:jc w:val="center"/>
              <w:rPr>
                <w:rFonts w:ascii="Cambria" w:hAnsi="Cambria"/>
                <w:b/>
              </w:rPr>
            </w:pPr>
            <w:r>
              <w:rPr>
                <w:rFonts w:ascii="Cambria" w:hAnsi="Cambria"/>
                <w:b/>
              </w:rPr>
              <w:t>Marca/ Modelo</w:t>
            </w:r>
          </w:p>
        </w:tc>
        <w:tc>
          <w:tcPr>
            <w:tcW w:w="849" w:type="dxa"/>
            <w:tcBorders>
              <w:top w:val="single" w:color="auto" w:sz="4" w:space="0"/>
              <w:left w:val="single" w:color="auto" w:sz="4" w:space="0"/>
              <w:bottom w:val="single" w:color="auto" w:sz="4" w:space="0"/>
              <w:right w:val="single" w:color="auto" w:sz="4" w:space="0"/>
            </w:tcBorders>
          </w:tcPr>
          <w:p w14:paraId="7BE5C9CE">
            <w:pPr>
              <w:spacing w:after="0" w:line="240" w:lineRule="auto"/>
              <w:ind w:right="-1" w:hanging="34"/>
              <w:jc w:val="center"/>
              <w:rPr>
                <w:rFonts w:ascii="Cambria" w:hAnsi="Cambria"/>
                <w:b/>
              </w:rPr>
            </w:pPr>
            <w:r>
              <w:rPr>
                <w:rFonts w:ascii="Cambria" w:hAnsi="Cambria"/>
                <w:b/>
              </w:rPr>
              <w:t>Qtd</w:t>
            </w:r>
          </w:p>
        </w:tc>
        <w:tc>
          <w:tcPr>
            <w:tcW w:w="848" w:type="dxa"/>
            <w:tcBorders>
              <w:top w:val="single" w:color="auto" w:sz="4" w:space="0"/>
              <w:left w:val="single" w:color="auto" w:sz="4" w:space="0"/>
              <w:bottom w:val="single" w:color="auto" w:sz="4" w:space="0"/>
              <w:right w:val="single" w:color="auto" w:sz="4" w:space="0"/>
            </w:tcBorders>
          </w:tcPr>
          <w:p w14:paraId="397BE95C">
            <w:pPr>
              <w:spacing w:after="0" w:line="240" w:lineRule="auto"/>
              <w:ind w:right="-1" w:hanging="36"/>
              <w:jc w:val="center"/>
              <w:rPr>
                <w:rFonts w:ascii="Cambria" w:hAnsi="Cambria"/>
                <w:b/>
              </w:rPr>
            </w:pPr>
            <w:r>
              <w:rPr>
                <w:rFonts w:ascii="Cambria" w:hAnsi="Cambria"/>
                <w:b/>
              </w:rPr>
              <w:t>Und</w:t>
            </w:r>
          </w:p>
        </w:tc>
        <w:tc>
          <w:tcPr>
            <w:tcW w:w="1136" w:type="dxa"/>
            <w:tcBorders>
              <w:top w:val="single" w:color="auto" w:sz="4" w:space="0"/>
              <w:left w:val="single" w:color="auto" w:sz="4" w:space="0"/>
              <w:bottom w:val="single" w:color="auto" w:sz="4" w:space="0"/>
              <w:right w:val="single" w:color="auto" w:sz="4" w:space="0"/>
            </w:tcBorders>
          </w:tcPr>
          <w:p w14:paraId="61B447A9">
            <w:pPr>
              <w:spacing w:after="0" w:line="240" w:lineRule="auto"/>
              <w:ind w:right="-1" w:firstLine="18"/>
              <w:jc w:val="center"/>
              <w:rPr>
                <w:rFonts w:ascii="Cambria" w:hAnsi="Cambria"/>
                <w:b/>
              </w:rPr>
            </w:pPr>
            <w:r>
              <w:rPr>
                <w:rFonts w:ascii="Cambria" w:hAnsi="Cambria"/>
                <w:b/>
              </w:rPr>
              <w:t>Valor Unitário</w:t>
            </w:r>
          </w:p>
        </w:tc>
        <w:tc>
          <w:tcPr>
            <w:tcW w:w="1112" w:type="dxa"/>
            <w:tcBorders>
              <w:top w:val="single" w:color="auto" w:sz="4" w:space="0"/>
              <w:left w:val="single" w:color="auto" w:sz="4" w:space="0"/>
              <w:bottom w:val="single" w:color="auto" w:sz="4" w:space="0"/>
              <w:right w:val="single" w:color="auto" w:sz="4" w:space="0"/>
            </w:tcBorders>
          </w:tcPr>
          <w:p w14:paraId="5C2E050B">
            <w:pPr>
              <w:spacing w:after="0" w:line="240" w:lineRule="auto"/>
              <w:ind w:right="-1" w:firstLine="18"/>
              <w:jc w:val="center"/>
              <w:rPr>
                <w:rFonts w:ascii="Cambria" w:hAnsi="Cambria"/>
                <w:b/>
              </w:rPr>
            </w:pPr>
            <w:r>
              <w:rPr>
                <w:rFonts w:ascii="Cambria" w:hAnsi="Cambria"/>
                <w:b/>
              </w:rPr>
              <w:t>Valor Total</w:t>
            </w:r>
          </w:p>
        </w:tc>
      </w:tr>
      <w:tr w14:paraId="2359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Borders>
              <w:top w:val="single" w:color="auto" w:sz="4" w:space="0"/>
              <w:left w:val="single" w:color="auto" w:sz="4" w:space="0"/>
              <w:bottom w:val="single" w:color="auto" w:sz="4" w:space="0"/>
              <w:right w:val="single" w:color="auto" w:sz="4" w:space="0"/>
            </w:tcBorders>
          </w:tcPr>
          <w:p w14:paraId="2FFD7B4A">
            <w:pPr>
              <w:spacing w:after="0" w:line="240" w:lineRule="auto"/>
              <w:ind w:left="-79" w:right="-1" w:firstLine="6"/>
              <w:jc w:val="center"/>
              <w:rPr>
                <w:rFonts w:ascii="Cambria" w:hAnsi="Cambria"/>
                <w:b/>
              </w:rPr>
            </w:pPr>
          </w:p>
        </w:tc>
        <w:tc>
          <w:tcPr>
            <w:tcW w:w="3597" w:type="dxa"/>
            <w:tcBorders>
              <w:top w:val="single" w:color="auto" w:sz="4" w:space="0"/>
              <w:left w:val="single" w:color="auto" w:sz="4" w:space="0"/>
              <w:bottom w:val="single" w:color="auto" w:sz="4" w:space="0"/>
              <w:right w:val="single" w:color="auto" w:sz="4" w:space="0"/>
            </w:tcBorders>
          </w:tcPr>
          <w:p w14:paraId="2A6F8772">
            <w:pPr>
              <w:spacing w:after="0" w:line="240" w:lineRule="auto"/>
              <w:ind w:right="-1" w:hanging="11"/>
              <w:jc w:val="center"/>
              <w:rPr>
                <w:rFonts w:ascii="Cambria" w:hAnsi="Cambria"/>
                <w:b/>
              </w:rPr>
            </w:pPr>
          </w:p>
        </w:tc>
        <w:tc>
          <w:tcPr>
            <w:tcW w:w="991" w:type="dxa"/>
            <w:tcBorders>
              <w:top w:val="single" w:color="auto" w:sz="4" w:space="0"/>
              <w:left w:val="single" w:color="auto" w:sz="4" w:space="0"/>
              <w:bottom w:val="single" w:color="auto" w:sz="4" w:space="0"/>
              <w:right w:val="single" w:color="auto" w:sz="4" w:space="0"/>
            </w:tcBorders>
          </w:tcPr>
          <w:p w14:paraId="13ABF7C9">
            <w:pPr>
              <w:spacing w:after="0" w:line="240" w:lineRule="auto"/>
              <w:ind w:right="-1" w:hanging="11"/>
              <w:jc w:val="center"/>
              <w:rPr>
                <w:rFonts w:ascii="Cambria" w:hAnsi="Cambria"/>
                <w:b/>
              </w:rPr>
            </w:pPr>
          </w:p>
        </w:tc>
        <w:tc>
          <w:tcPr>
            <w:tcW w:w="849" w:type="dxa"/>
            <w:tcBorders>
              <w:top w:val="single" w:color="auto" w:sz="4" w:space="0"/>
              <w:left w:val="single" w:color="auto" w:sz="4" w:space="0"/>
              <w:bottom w:val="single" w:color="auto" w:sz="4" w:space="0"/>
              <w:right w:val="single" w:color="auto" w:sz="4" w:space="0"/>
            </w:tcBorders>
          </w:tcPr>
          <w:p w14:paraId="474D858E">
            <w:pPr>
              <w:spacing w:after="0" w:line="240" w:lineRule="auto"/>
              <w:ind w:right="-1" w:hanging="34"/>
              <w:jc w:val="center"/>
              <w:rPr>
                <w:rFonts w:ascii="Cambria" w:hAnsi="Cambria"/>
                <w:b/>
              </w:rPr>
            </w:pPr>
          </w:p>
        </w:tc>
        <w:tc>
          <w:tcPr>
            <w:tcW w:w="848" w:type="dxa"/>
            <w:tcBorders>
              <w:top w:val="single" w:color="auto" w:sz="4" w:space="0"/>
              <w:left w:val="single" w:color="auto" w:sz="4" w:space="0"/>
              <w:bottom w:val="single" w:color="auto" w:sz="4" w:space="0"/>
              <w:right w:val="single" w:color="auto" w:sz="4" w:space="0"/>
            </w:tcBorders>
          </w:tcPr>
          <w:p w14:paraId="04096085">
            <w:pPr>
              <w:spacing w:after="0" w:line="240" w:lineRule="auto"/>
              <w:ind w:right="-1" w:hanging="36"/>
              <w:jc w:val="center"/>
              <w:rPr>
                <w:rFonts w:ascii="Cambria" w:hAnsi="Cambria"/>
                <w:b/>
              </w:rPr>
            </w:pPr>
          </w:p>
        </w:tc>
        <w:tc>
          <w:tcPr>
            <w:tcW w:w="1136" w:type="dxa"/>
            <w:tcBorders>
              <w:top w:val="single" w:color="auto" w:sz="4" w:space="0"/>
              <w:left w:val="single" w:color="auto" w:sz="4" w:space="0"/>
              <w:bottom w:val="single" w:color="auto" w:sz="4" w:space="0"/>
              <w:right w:val="single" w:color="auto" w:sz="4" w:space="0"/>
            </w:tcBorders>
          </w:tcPr>
          <w:p w14:paraId="76C8902D">
            <w:pPr>
              <w:spacing w:after="0" w:line="240" w:lineRule="auto"/>
              <w:ind w:right="-1" w:firstLine="18"/>
              <w:jc w:val="center"/>
              <w:rPr>
                <w:rFonts w:ascii="Cambria" w:hAnsi="Cambria"/>
                <w:b/>
              </w:rPr>
            </w:pPr>
          </w:p>
        </w:tc>
        <w:tc>
          <w:tcPr>
            <w:tcW w:w="1112" w:type="dxa"/>
            <w:tcBorders>
              <w:top w:val="single" w:color="auto" w:sz="4" w:space="0"/>
              <w:left w:val="single" w:color="auto" w:sz="4" w:space="0"/>
              <w:bottom w:val="single" w:color="auto" w:sz="4" w:space="0"/>
              <w:right w:val="single" w:color="auto" w:sz="4" w:space="0"/>
            </w:tcBorders>
          </w:tcPr>
          <w:p w14:paraId="07500197">
            <w:pPr>
              <w:spacing w:after="0" w:line="240" w:lineRule="auto"/>
              <w:ind w:right="-1" w:firstLine="18"/>
              <w:jc w:val="center"/>
              <w:rPr>
                <w:rFonts w:ascii="Cambria" w:hAnsi="Cambria"/>
                <w:b/>
              </w:rPr>
            </w:pPr>
          </w:p>
        </w:tc>
      </w:tr>
      <w:tr w14:paraId="424D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5" w:type="dxa"/>
            <w:gridSpan w:val="7"/>
            <w:tcBorders>
              <w:top w:val="single" w:color="auto" w:sz="4" w:space="0"/>
              <w:left w:val="single" w:color="auto" w:sz="4" w:space="0"/>
              <w:bottom w:val="single" w:color="auto" w:sz="4" w:space="0"/>
              <w:right w:val="single" w:color="auto" w:sz="4" w:space="0"/>
            </w:tcBorders>
          </w:tcPr>
          <w:p w14:paraId="4511433D">
            <w:pPr>
              <w:spacing w:after="0" w:line="240" w:lineRule="auto"/>
              <w:ind w:right="-1" w:firstLine="18"/>
              <w:jc w:val="center"/>
              <w:rPr>
                <w:rFonts w:ascii="Cambria" w:hAnsi="Cambria"/>
                <w:b/>
              </w:rPr>
            </w:pPr>
            <w:r>
              <w:rPr>
                <w:rFonts w:ascii="Cambria" w:hAnsi="Cambria"/>
                <w:b/>
              </w:rPr>
              <w:t>TOTAL DO FORNECEDOR -----------------------------------------------R$ XXXX,XXX</w:t>
            </w:r>
          </w:p>
        </w:tc>
      </w:tr>
    </w:tbl>
    <w:p w14:paraId="2A920062">
      <w:pPr>
        <w:pBdr>
          <w:top w:val="single" w:color="auto" w:sz="4" w:space="1"/>
          <w:left w:val="single" w:color="auto" w:sz="4" w:space="4"/>
          <w:bottom w:val="single" w:color="auto" w:sz="4" w:space="1"/>
          <w:right w:val="single" w:color="auto" w:sz="4" w:space="4"/>
        </w:pBdr>
        <w:shd w:val="clear" w:color="auto" w:fill="D8D8D8" w:themeFill="background1" w:themeFillShade="D9"/>
        <w:spacing w:before="120" w:line="276" w:lineRule="auto"/>
        <w:ind w:right="-1"/>
        <w:jc w:val="both"/>
        <w:rPr>
          <w:rFonts w:ascii="Cambria" w:hAnsi="Cambria" w:eastAsia="Calibri"/>
        </w:rPr>
      </w:pPr>
      <w:r>
        <w:rPr>
          <w:rFonts w:ascii="Cambria" w:hAnsi="Cambria"/>
          <w:b/>
        </w:rPr>
        <w:t xml:space="preserve">CLÁUSULA TERCEIRA – DA VIGÊNCIA </w:t>
      </w:r>
    </w:p>
    <w:p w14:paraId="3E257177">
      <w:pPr>
        <w:shd w:val="clear" w:color="auto" w:fill="FFFFFF"/>
        <w:spacing w:before="240" w:after="240" w:line="276" w:lineRule="auto"/>
        <w:ind w:right="-1"/>
        <w:jc w:val="both"/>
        <w:rPr>
          <w:rFonts w:ascii="Cambria" w:hAnsi="Cambria"/>
        </w:rPr>
      </w:pPr>
      <w:r>
        <w:rPr>
          <w:rFonts w:ascii="Cambria" w:hAnsi="Cambria"/>
          <w:b/>
        </w:rPr>
        <w:t xml:space="preserve">3.1 </w:t>
      </w:r>
      <w:r>
        <w:rPr>
          <w:rFonts w:ascii="Cambria" w:hAnsi="Cambria"/>
        </w:rPr>
        <w:t xml:space="preserve">O prazo de vigência da contratação é de </w:t>
      </w:r>
      <w:r>
        <w:rPr>
          <w:rFonts w:ascii="Cambria" w:hAnsi="Cambria"/>
          <w:b/>
          <w:bCs/>
        </w:rPr>
        <w:t>xxx (xxxx)</w:t>
      </w:r>
      <w:r>
        <w:rPr>
          <w:rFonts w:ascii="Cambria" w:hAnsi="Cambria"/>
        </w:rPr>
        <w:t xml:space="preserve"> meses contados da data de sua publicação no Portal Nacional de Contratações Públicas, na forma do artigo 94, prorrogável nos termos dos artigos 106 e 107, ambos da Lei Federal nº 14.133, de 2021.</w:t>
      </w:r>
    </w:p>
    <w:p w14:paraId="7F0EC91B">
      <w:pPr>
        <w:shd w:val="clear" w:color="auto" w:fill="FFFFFF"/>
        <w:spacing w:before="240" w:after="240" w:line="276" w:lineRule="auto"/>
        <w:ind w:right="-1" w:firstLine="567"/>
        <w:jc w:val="both"/>
        <w:rPr>
          <w:rFonts w:ascii="Cambria" w:hAnsi="Cambria"/>
        </w:rPr>
      </w:pPr>
      <w:r>
        <w:rPr>
          <w:rFonts w:ascii="Cambria" w:hAnsi="Cambria"/>
          <w:b/>
          <w:bCs/>
        </w:rPr>
        <w:t>I.</w:t>
      </w:r>
      <w:r>
        <w:rPr>
          <w:rFonts w:ascii="Cambria" w:hAnsi="Cambria"/>
        </w:rPr>
        <w:t xml:space="preserve"> A prorrogação que se trata este item é condicionada ao ateste, pela autoridade competente, de que as condições e os preços permanecem vantajosos para a Administração Pública, permitida a negociação com o contratado.</w:t>
      </w:r>
    </w:p>
    <w:p w14:paraId="7F9AB296">
      <w:pPr>
        <w:shd w:val="clear" w:color="auto" w:fill="FFFFFF"/>
        <w:spacing w:before="240" w:after="240" w:line="276" w:lineRule="auto"/>
        <w:ind w:right="-1"/>
        <w:jc w:val="both"/>
        <w:rPr>
          <w:rFonts w:ascii="Cambria" w:hAnsi="Cambria"/>
        </w:rPr>
      </w:pPr>
      <w:r>
        <w:rPr>
          <w:rFonts w:ascii="Cambria" w:hAnsi="Cambria"/>
          <w:b/>
          <w:bCs/>
        </w:rPr>
        <w:t>3.2</w:t>
      </w:r>
      <w:r>
        <w:rPr>
          <w:rFonts w:ascii="Cambria" w:hAnsi="Cambria"/>
        </w:rPr>
        <w:t xml:space="preserve"> O contratado não tem direito subjetivo à prorrogação contratual.</w:t>
      </w:r>
    </w:p>
    <w:p w14:paraId="0AAC006E">
      <w:pPr>
        <w:shd w:val="clear" w:color="auto" w:fill="FFFFFF"/>
        <w:spacing w:before="240" w:after="240" w:line="276" w:lineRule="auto"/>
        <w:ind w:right="-1"/>
        <w:jc w:val="both"/>
        <w:rPr>
          <w:rFonts w:ascii="Cambria" w:hAnsi="Cambria"/>
        </w:rPr>
      </w:pPr>
      <w:r>
        <w:rPr>
          <w:rFonts w:ascii="Cambria" w:hAnsi="Cambria"/>
          <w:b/>
          <w:bCs/>
        </w:rPr>
        <w:t>3.3</w:t>
      </w:r>
      <w:r>
        <w:rPr>
          <w:rFonts w:ascii="Cambria" w:hAnsi="Cambria"/>
        </w:rPr>
        <w:t xml:space="preserve"> A prorrogação de contrato deverá ser promovida mediante prorrogação contratual.</w:t>
      </w:r>
    </w:p>
    <w:p w14:paraId="6F84AAF9">
      <w:pPr>
        <w:shd w:val="clear" w:color="auto" w:fill="FFFFFF"/>
        <w:spacing w:before="240" w:after="240" w:line="276" w:lineRule="auto"/>
        <w:ind w:right="-1"/>
        <w:jc w:val="both"/>
        <w:rPr>
          <w:rFonts w:ascii="Cambria" w:hAnsi="Cambria"/>
          <w:b/>
        </w:rPr>
      </w:pPr>
      <w:r>
        <w:rPr>
          <w:rFonts w:ascii="Cambria" w:hAnsi="Cambria"/>
          <w:b/>
        </w:rPr>
        <w:t xml:space="preserve">3.4 </w:t>
      </w:r>
      <w:r>
        <w:rPr>
          <w:rFonts w:ascii="Cambria" w:hAnsi="Cambria"/>
          <w:bCs/>
        </w:rPr>
        <w:t>O contrato não poderá ser prorrogado quando o contratado tiver sido penalizado nas sanções de declaração de inidoneidade ou impedimento de licitar e contratar com o Poder Público, observadas as abrangências de aplicação.</w:t>
      </w:r>
    </w:p>
    <w:p w14:paraId="3D7EAF1B">
      <w:pPr>
        <w:pBdr>
          <w:top w:val="single" w:color="auto" w:sz="4" w:space="1"/>
          <w:left w:val="single" w:color="auto" w:sz="4" w:space="4"/>
          <w:bottom w:val="single" w:color="auto" w:sz="4" w:space="1"/>
          <w:right w:val="single" w:color="auto" w:sz="4" w:space="4"/>
        </w:pBdr>
        <w:shd w:val="clear" w:color="auto" w:fill="D8D8D8" w:themeFill="background1" w:themeFillShade="D9"/>
        <w:spacing w:before="120" w:after="240" w:line="276" w:lineRule="auto"/>
        <w:ind w:right="-1"/>
        <w:jc w:val="both"/>
        <w:rPr>
          <w:rFonts w:ascii="Cambria" w:hAnsi="Cambria"/>
          <w:b/>
        </w:rPr>
      </w:pPr>
      <w:r>
        <w:rPr>
          <w:rFonts w:ascii="Cambria" w:hAnsi="Cambria"/>
          <w:b/>
        </w:rPr>
        <w:t xml:space="preserve">CLÁUSULA QUARTA – DO LOCAL E PRAZO PARA EXECUÇÃO </w:t>
      </w:r>
    </w:p>
    <w:p w14:paraId="462F90D8">
      <w:pPr>
        <w:pStyle w:val="22"/>
        <w:spacing w:before="100" w:after="240" w:line="276" w:lineRule="auto"/>
        <w:ind w:right="-1"/>
        <w:jc w:val="both"/>
        <w:rPr>
          <w:rFonts w:ascii="Cambria" w:hAnsi="Cambria"/>
        </w:rPr>
      </w:pPr>
      <w:r>
        <w:rPr>
          <w:rFonts w:ascii="Cambria" w:hAnsi="Cambria" w:cs="Arial"/>
          <w:b/>
          <w:bCs/>
        </w:rPr>
        <w:t>4.1</w:t>
      </w:r>
      <w:r>
        <w:rPr>
          <w:rFonts w:ascii="Cambria" w:hAnsi="Cambria" w:cs="Arial"/>
        </w:rPr>
        <w:t xml:space="preserve"> Os produtos deverão ser entregues em até 10 (dez) dias úteis na sede da Secretaria Municipal de Saúde de Piracanjuba/GO situada na </w:t>
      </w:r>
      <w:r>
        <w:rPr>
          <w:rFonts w:ascii="Cambria" w:hAnsi="Cambria" w:cs="Segoe UI"/>
        </w:rPr>
        <w:t>Rua Cônego Olinto, s/n, Centro – Piracanjuba/GO</w:t>
      </w:r>
      <w:r>
        <w:rPr>
          <w:rFonts w:ascii="Cambria" w:hAnsi="Cambria" w:cs="Arial"/>
        </w:rPr>
        <w:t>, nos horários das 07 horas às 11 horas e das 13 horas às 17 horas conforme determinação dada através de Requisição/Solicitação/ Ordem de Fornecimento pela requisitante, sem ônus adicionais, tais como: transporte, alimentação, etc</w:t>
      </w:r>
      <w:r>
        <w:rPr>
          <w:rFonts w:ascii="Cambria" w:hAnsi="Cambria"/>
        </w:rPr>
        <w:t>.</w:t>
      </w:r>
    </w:p>
    <w:p w14:paraId="5BFF1388">
      <w:pPr>
        <w:pStyle w:val="22"/>
        <w:spacing w:before="100" w:after="240" w:line="276" w:lineRule="auto"/>
        <w:ind w:right="-1"/>
        <w:jc w:val="both"/>
        <w:rPr>
          <w:rFonts w:ascii="Cambria" w:hAnsi="Cambria"/>
        </w:rPr>
      </w:pPr>
      <w:r>
        <w:rPr>
          <w:rFonts w:ascii="Cambria" w:hAnsi="Cambria"/>
          <w:b/>
        </w:rPr>
        <w:t>4.2.</w:t>
      </w:r>
      <w:r>
        <w:rPr>
          <w:rFonts w:ascii="Cambria" w:hAnsi="Cambria"/>
        </w:rPr>
        <w:t xml:space="preserve"> Os produtos serão recebidos:</w:t>
      </w:r>
    </w:p>
    <w:p w14:paraId="3FBC1806">
      <w:pPr>
        <w:tabs>
          <w:tab w:val="left" w:pos="1701"/>
        </w:tabs>
        <w:spacing w:before="240" w:after="240" w:line="276" w:lineRule="auto"/>
        <w:ind w:right="-1" w:firstLine="567"/>
        <w:jc w:val="both"/>
        <w:rPr>
          <w:rFonts w:ascii="Cambria" w:hAnsi="Cambria"/>
        </w:rPr>
      </w:pPr>
      <w:r>
        <w:rPr>
          <w:rFonts w:ascii="Cambria" w:hAnsi="Cambria"/>
          <w:b/>
        </w:rPr>
        <w:t>I. Provisoriamente,</w:t>
      </w:r>
      <w:r>
        <w:rPr>
          <w:rFonts w:ascii="Cambria" w:hAnsi="Cambria"/>
        </w:rPr>
        <w:t xml:space="preserve"> </w:t>
      </w:r>
      <w:r>
        <w:rPr>
          <w:rFonts w:ascii="Cambria" w:hAnsi="Cambria" w:cs="Arial"/>
        </w:rPr>
        <w:t>de forma sumária, no ato da entrega, juntamente com a nota fiscal ou instrumento de cobrança equivalente, pelo responsável do acompanhamento e fiscalização do instrumento contratual, para efeito de posterior verificação de sua conformidade com as especificações constantes no termo de referência e na proposta.</w:t>
      </w:r>
    </w:p>
    <w:p w14:paraId="2DF2642A">
      <w:pPr>
        <w:tabs>
          <w:tab w:val="left" w:pos="1701"/>
        </w:tabs>
        <w:spacing w:before="240" w:after="240" w:line="276" w:lineRule="auto"/>
        <w:ind w:right="-1" w:firstLine="567"/>
        <w:jc w:val="both"/>
        <w:rPr>
          <w:rFonts w:ascii="Cambria" w:hAnsi="Cambria"/>
        </w:rPr>
      </w:pPr>
      <w:r>
        <w:rPr>
          <w:rFonts w:ascii="Cambria" w:hAnsi="Cambria"/>
          <w:b/>
        </w:rPr>
        <w:t>II. Definitivamente,</w:t>
      </w:r>
      <w:r>
        <w:rPr>
          <w:rFonts w:ascii="Cambria" w:hAnsi="Cambria"/>
        </w:rPr>
        <w:t xml:space="preserve"> </w:t>
      </w:r>
      <w:r>
        <w:rPr>
          <w:rFonts w:ascii="Cambria" w:hAnsi="Cambria" w:cs="Arial"/>
        </w:rPr>
        <w:t>no prazo de 02 (dois) dias úteis, a contar do recebimento provisório, após a verificação da qualidade e quantidade do material e consequente aceitação mediante termo detalhado.</w:t>
      </w:r>
    </w:p>
    <w:p w14:paraId="46F96BC2">
      <w:pPr>
        <w:spacing w:before="240" w:after="240" w:line="276" w:lineRule="auto"/>
        <w:ind w:left="567" w:right="-1" w:firstLine="567"/>
        <w:jc w:val="both"/>
        <w:rPr>
          <w:rFonts w:ascii="Cambria" w:hAnsi="Cambria"/>
        </w:rPr>
      </w:pPr>
      <w:r>
        <w:rPr>
          <w:rFonts w:ascii="Cambria" w:hAnsi="Cambria"/>
          <w:b/>
        </w:rPr>
        <w:t>a)</w:t>
      </w:r>
      <w:r>
        <w:rPr>
          <w:rFonts w:ascii="Cambria" w:hAnsi="Cambria"/>
        </w:rPr>
        <w:t xml:space="preserve"> Na hipótese de a verificação a que se refere o inciso II não ser procedida dentro do prazo acima fixado, reputar-se-á como realizada, consumando-se o recebimento definitivo no dia do esgotamento do prazo.</w:t>
      </w:r>
    </w:p>
    <w:p w14:paraId="29E216E2">
      <w:pPr>
        <w:spacing w:before="240" w:after="240" w:line="276" w:lineRule="auto"/>
        <w:ind w:left="567" w:right="-1" w:firstLine="567"/>
        <w:jc w:val="both"/>
        <w:rPr>
          <w:rFonts w:ascii="Cambria" w:hAnsi="Cambria"/>
        </w:rPr>
      </w:pPr>
      <w:r>
        <w:rPr>
          <w:rFonts w:ascii="Cambria" w:hAnsi="Cambria"/>
          <w:b/>
          <w:bCs/>
        </w:rPr>
        <w:t>b)</w:t>
      </w:r>
      <w:r>
        <w:rPr>
          <w:rFonts w:ascii="Cambria" w:hAnsi="Cambria"/>
        </w:rPr>
        <w:t xml:space="preserve"> O prazo para recebimento definitivo poderá ser excepcionalmente prorrogado, de forma justificada, por igual período, quando houver necessidade de diligência para aferição do atendimento das exigências contratuais.</w:t>
      </w:r>
    </w:p>
    <w:p w14:paraId="06562B49">
      <w:pPr>
        <w:pStyle w:val="22"/>
        <w:spacing w:before="100" w:after="240" w:line="276" w:lineRule="auto"/>
        <w:ind w:right="-1"/>
        <w:jc w:val="both"/>
        <w:rPr>
          <w:rFonts w:ascii="Cambria" w:hAnsi="Cambria"/>
          <w:b/>
          <w:iCs/>
        </w:rPr>
      </w:pPr>
      <w:r>
        <w:rPr>
          <w:rFonts w:ascii="Cambria" w:hAnsi="Cambria"/>
          <w:b/>
          <w:bCs/>
        </w:rPr>
        <w:t>4.3</w:t>
      </w:r>
      <w:r>
        <w:rPr>
          <w:rFonts w:ascii="Cambria" w:hAnsi="Cambria"/>
        </w:rPr>
        <w:t xml:space="preserve"> Os objetos deste contrato </w:t>
      </w:r>
      <w:r>
        <w:rPr>
          <w:rFonts w:ascii="Cambria" w:hAnsi="Cambria"/>
          <w:iCs/>
        </w:rPr>
        <w:t xml:space="preserve">serão solicitados conforme a necessidade da </w:t>
      </w:r>
      <w:r>
        <w:rPr>
          <w:rFonts w:ascii="Cambria" w:hAnsi="Cambria"/>
        </w:rPr>
        <w:t>Secretaria Municipal de Saúde de Piracanjuba/GO</w:t>
      </w:r>
      <w:r>
        <w:rPr>
          <w:rFonts w:ascii="Cambria" w:hAnsi="Cambria"/>
          <w:iCs/>
        </w:rPr>
        <w:t>,</w:t>
      </w:r>
      <w:r>
        <w:rPr>
          <w:rFonts w:ascii="Cambria" w:hAnsi="Cambria"/>
        </w:rPr>
        <w:t xml:space="preserve"> após a assinatura</w:t>
      </w:r>
      <w:r>
        <w:rPr>
          <w:rFonts w:ascii="Cambria" w:hAnsi="Cambria"/>
          <w:iCs/>
        </w:rPr>
        <w:t xml:space="preserve"> e publicação do Contrato, e apresentação de requisição/solicitação devidamente assinada, com identificação do respectivo servidor público municipal competente.</w:t>
      </w:r>
    </w:p>
    <w:p w14:paraId="32C74D30">
      <w:pPr>
        <w:pStyle w:val="22"/>
        <w:spacing w:before="100" w:after="240" w:line="276" w:lineRule="auto"/>
        <w:ind w:right="-1"/>
        <w:jc w:val="both"/>
        <w:rPr>
          <w:rFonts w:ascii="Cambria" w:hAnsi="Cambria"/>
        </w:rPr>
      </w:pPr>
      <w:r>
        <w:rPr>
          <w:rFonts w:ascii="Cambria" w:hAnsi="Cambria"/>
          <w:b/>
        </w:rPr>
        <w:t>4.4</w:t>
      </w:r>
      <w:r>
        <w:rPr>
          <w:rFonts w:ascii="Cambria" w:hAnsi="Cambria"/>
        </w:rPr>
        <w:t xml:space="preserve"> A não execução do objeto deste contrato será motivo de aplicação das penalidades previstas neste Contrato, bem como nas sanções elencadas no Instrumento Convocatório do Pregão, e ainda conforme rege a Lei Federal nº 14.133, de 2021.</w:t>
      </w:r>
    </w:p>
    <w:p w14:paraId="22E8F0B9">
      <w:pPr>
        <w:pStyle w:val="22"/>
        <w:spacing w:before="100" w:after="240" w:line="276" w:lineRule="auto"/>
        <w:ind w:right="-1"/>
        <w:jc w:val="both"/>
        <w:rPr>
          <w:rFonts w:ascii="Cambria" w:hAnsi="Cambria"/>
        </w:rPr>
      </w:pPr>
      <w:r>
        <w:rPr>
          <w:rFonts w:ascii="Cambria" w:hAnsi="Cambria"/>
          <w:b/>
        </w:rPr>
        <w:t>4.5</w:t>
      </w:r>
      <w:r>
        <w:rPr>
          <w:rFonts w:ascii="Cambria" w:hAnsi="Cambria"/>
        </w:rPr>
        <w:t xml:space="preserve"> Não serão aceitos produto de baixa qualidade, sem resistência de uso, fora de padrões ou que contenham quaisquer outras circunstâncias que possa frustrar o bom desempenho e as expectativas da Administração.</w:t>
      </w:r>
    </w:p>
    <w:p w14:paraId="5D67AB38">
      <w:pPr>
        <w:pBdr>
          <w:top w:val="single" w:color="auto" w:sz="4" w:space="1"/>
          <w:left w:val="single" w:color="auto" w:sz="4" w:space="4"/>
          <w:bottom w:val="single" w:color="auto" w:sz="4" w:space="1"/>
          <w:right w:val="single" w:color="auto" w:sz="4" w:space="4"/>
        </w:pBdr>
        <w:shd w:val="clear" w:color="auto" w:fill="D8D8D8" w:themeFill="background1" w:themeFillShade="D9"/>
        <w:spacing w:before="120" w:after="240" w:line="276" w:lineRule="auto"/>
        <w:ind w:right="-1"/>
        <w:jc w:val="both"/>
        <w:rPr>
          <w:rFonts w:ascii="Cambria" w:hAnsi="Cambria"/>
        </w:rPr>
      </w:pPr>
      <w:r>
        <w:rPr>
          <w:rFonts w:ascii="Cambria" w:hAnsi="Cambria"/>
          <w:b/>
        </w:rPr>
        <w:t>CLÁUSULA QUINTA – DO PAGAMENTO</w:t>
      </w:r>
      <w:r>
        <w:rPr>
          <w:rFonts w:ascii="Cambria" w:hAnsi="Cambria"/>
        </w:rPr>
        <w:t xml:space="preserve"> </w:t>
      </w:r>
      <w:r>
        <w:rPr>
          <w:rFonts w:ascii="Cambria" w:hAnsi="Cambria"/>
          <w:b/>
        </w:rPr>
        <w:t>E PRECIFICAÇÃO</w:t>
      </w:r>
    </w:p>
    <w:p w14:paraId="6D205E28">
      <w:pPr>
        <w:spacing w:after="240" w:line="276" w:lineRule="auto"/>
        <w:ind w:right="-1"/>
        <w:jc w:val="both"/>
        <w:rPr>
          <w:rFonts w:ascii="Cambria" w:hAnsi="Cambria"/>
        </w:rPr>
      </w:pPr>
      <w:r>
        <w:rPr>
          <w:rFonts w:ascii="Cambria" w:hAnsi="Cambria"/>
          <w:b/>
        </w:rPr>
        <w:t>5.1</w:t>
      </w:r>
      <w:r>
        <w:rPr>
          <w:rFonts w:ascii="Cambria" w:hAnsi="Cambria"/>
        </w:rPr>
        <w:t xml:space="preserve"> A forma de pagamento será de 30 (trinta) dias, após a protocolização da Nota Fiscal, entregues na Secretaria Municipal de Saúde de Piracanjuba/GO, com sede na </w:t>
      </w:r>
      <w:r>
        <w:rPr>
          <w:rFonts w:ascii="Cambria" w:hAnsi="Cambria" w:cs="Segoe UI"/>
        </w:rPr>
        <w:t>Rua Cônego Olinto, s/n, Centro – Piracanjuba/GO</w:t>
      </w:r>
      <w:r>
        <w:rPr>
          <w:rFonts w:ascii="Cambria" w:hAnsi="Cambria"/>
        </w:rPr>
        <w:t>, E-mail: janeeliaspba@hotmail.com, Fone: (64) 3405-1172/ (64) 9 9601-5760.</w:t>
      </w:r>
    </w:p>
    <w:p w14:paraId="0DC90411">
      <w:pPr>
        <w:spacing w:after="240" w:line="276" w:lineRule="auto"/>
        <w:ind w:left="567" w:right="-1"/>
        <w:jc w:val="both"/>
        <w:rPr>
          <w:rFonts w:ascii="Cambria" w:hAnsi="Cambria"/>
        </w:rPr>
      </w:pPr>
      <w:r>
        <w:rPr>
          <w:rFonts w:ascii="Cambria" w:hAnsi="Cambria"/>
          <w:b/>
        </w:rPr>
        <w:t>I.</w:t>
      </w:r>
      <w:r>
        <w:rPr>
          <w:rFonts w:ascii="Cambria" w:hAnsi="Cambria"/>
        </w:rPr>
        <w:t xml:space="preserve"> Sendo o valor total do contrato de </w:t>
      </w:r>
      <w:r>
        <w:rPr>
          <w:rFonts w:ascii="Cambria" w:hAnsi="Cambria"/>
          <w:b/>
        </w:rPr>
        <w:t>R$ __________ (________).</w:t>
      </w:r>
    </w:p>
    <w:p w14:paraId="314D5783">
      <w:pPr>
        <w:spacing w:after="240" w:line="276" w:lineRule="auto"/>
        <w:ind w:right="-1"/>
        <w:jc w:val="both"/>
        <w:rPr>
          <w:rFonts w:ascii="Cambria" w:hAnsi="Cambria"/>
          <w:bCs/>
        </w:rPr>
      </w:pPr>
      <w:r>
        <w:rPr>
          <w:rFonts w:ascii="Cambria" w:hAnsi="Cambria"/>
          <w:b/>
        </w:rPr>
        <w:t xml:space="preserve">5.2 </w:t>
      </w:r>
      <w:r>
        <w:rPr>
          <w:rFonts w:ascii="Cambria" w:hAnsi="Cambria"/>
          <w:bCs/>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28C90798">
      <w:pPr>
        <w:spacing w:after="240" w:line="276" w:lineRule="auto"/>
        <w:ind w:right="-1"/>
        <w:jc w:val="both"/>
        <w:rPr>
          <w:rFonts w:ascii="Cambria" w:hAnsi="Cambria"/>
          <w:bCs/>
        </w:rPr>
      </w:pPr>
      <w:r>
        <w:rPr>
          <w:rFonts w:ascii="Cambria" w:hAnsi="Cambria"/>
          <w:b/>
        </w:rPr>
        <w:t>5.3</w:t>
      </w:r>
      <w:r>
        <w:rPr>
          <w:rFonts w:ascii="Cambria" w:hAnsi="Cambria"/>
          <w:bCs/>
        </w:rPr>
        <w:t xml:space="preserve"> O valor acima é meramente estimativo, de forma que os pagamentos devidos ao contratado dependerão dos quantitativos fornecidos</w:t>
      </w:r>
    </w:p>
    <w:p w14:paraId="759530BF">
      <w:pPr>
        <w:spacing w:after="240" w:line="276" w:lineRule="auto"/>
        <w:ind w:right="-1"/>
        <w:jc w:val="both"/>
        <w:rPr>
          <w:rFonts w:ascii="Cambria" w:hAnsi="Cambria"/>
          <w:bCs/>
        </w:rPr>
      </w:pPr>
      <w:r>
        <w:rPr>
          <w:rFonts w:ascii="Cambria" w:hAnsi="Cambria"/>
          <w:b/>
        </w:rPr>
        <w:t>5.4</w:t>
      </w:r>
      <w:r>
        <w:rPr>
          <w:rFonts w:ascii="Cambria" w:hAnsi="Cambria"/>
          <w:bCs/>
        </w:rPr>
        <w:t xml:space="preserve"> No caso de controvérsia sobre a execução do objeto, quanto à dimensão, qualidade e quantidade, deverá ser observado o teor do art. 143, de Lei Federal nº 14.133, de 2021, comunicando-se ao Contratado para emissão de Nota Fiscal no que pertine a parcela incontroversa da execução do objeto para efeito de liquidação e pagamento.</w:t>
      </w:r>
    </w:p>
    <w:p w14:paraId="7DE86A76">
      <w:pPr>
        <w:spacing w:after="240" w:line="276" w:lineRule="auto"/>
        <w:ind w:right="-1"/>
        <w:jc w:val="both"/>
        <w:rPr>
          <w:rFonts w:ascii="Cambria" w:hAnsi="Cambria"/>
          <w:bCs/>
        </w:rPr>
      </w:pPr>
      <w:r>
        <w:rPr>
          <w:rFonts w:ascii="Cambria" w:hAnsi="Cambria"/>
          <w:b/>
        </w:rPr>
        <w:t>5.5</w:t>
      </w:r>
      <w:r>
        <w:rPr>
          <w:rFonts w:ascii="Cambria" w:hAnsi="Cambria"/>
          <w:bCs/>
        </w:rPr>
        <w:t xml:space="preserve"> Nenhum pagamento será efetuado ao Contratado enquanto pendente de liquidação, qualquer obrigação que lhe for imposta, em virtude de penalidade ou inadimplência, sem que isso gere direito ao pleito de reajustamento de preços ou correção monetária (quando for o caso).</w:t>
      </w:r>
    </w:p>
    <w:p w14:paraId="58B147FB">
      <w:pPr>
        <w:spacing w:after="240" w:line="276" w:lineRule="auto"/>
        <w:ind w:right="-1"/>
        <w:jc w:val="both"/>
        <w:rPr>
          <w:rFonts w:ascii="Cambria" w:hAnsi="Cambria"/>
          <w:bCs/>
        </w:rPr>
      </w:pPr>
      <w:r>
        <w:rPr>
          <w:rFonts w:ascii="Cambria" w:hAnsi="Cambria"/>
          <w:b/>
        </w:rPr>
        <w:t>5.6</w:t>
      </w:r>
      <w:r>
        <w:rPr>
          <w:rFonts w:ascii="Cambria" w:hAnsi="Cambria"/>
          <w:bCs/>
        </w:rPr>
        <w:t xml:space="preserve"> O pagamento via Ordem Bancária, creditado na instituição bancária eleita pela Contratada, que deverá indicar na Nota Fiscal Eletrônica o banco, número da conta corrente e agencia com a qual opera. A Contratante não efetuará pagamento por meio de títulos de cobrança bancária.</w:t>
      </w:r>
    </w:p>
    <w:p w14:paraId="1178F004">
      <w:pPr>
        <w:spacing w:after="240" w:line="276" w:lineRule="auto"/>
        <w:ind w:right="-1"/>
        <w:jc w:val="both"/>
        <w:rPr>
          <w:rFonts w:ascii="Cambria" w:hAnsi="Cambria"/>
          <w:bCs/>
        </w:rPr>
      </w:pPr>
      <w:r>
        <w:rPr>
          <w:rFonts w:ascii="Cambria" w:hAnsi="Cambria"/>
          <w:b/>
        </w:rPr>
        <w:t>5.7</w:t>
      </w:r>
      <w:r>
        <w:rPr>
          <w:rFonts w:ascii="Cambria" w:hAnsi="Cambria"/>
          <w:bCs/>
        </w:rPr>
        <w:t xml:space="preserve"> No caso de incorreção nos documentos apresentados, inclusive na Nota Fiscal/ Fatura, serão devolvidos a Contratada para correções necessárias, não respondendo a Contratante por quaisquer encargos resultantes de atrasos na liquidação dos pagamentos correspondentes, quando este se der por culpa da Contratada. Nesta hipótese, o prazo para pagamento iniciar-se-á após a comprovação da regularização da situação, não acarretando qualquer ônus para a Contratante.</w:t>
      </w:r>
    </w:p>
    <w:p w14:paraId="24E8BBF2">
      <w:pPr>
        <w:spacing w:after="240" w:line="276" w:lineRule="auto"/>
        <w:ind w:right="-1"/>
        <w:jc w:val="both"/>
        <w:rPr>
          <w:rFonts w:ascii="Cambria" w:hAnsi="Cambria"/>
          <w:bCs/>
        </w:rPr>
      </w:pPr>
      <w:r>
        <w:rPr>
          <w:rFonts w:ascii="Cambria" w:hAnsi="Cambria"/>
          <w:b/>
        </w:rPr>
        <w:t>5.8</w:t>
      </w:r>
      <w:r>
        <w:rPr>
          <w:rFonts w:ascii="Cambria" w:hAnsi="Cambria"/>
          <w:bCs/>
        </w:rPr>
        <w:t xml:space="preserve"> A liberação do pagamento ficará condicionada a consulta prévia ao Sistema de Cadastro de Fornecedores da Prefeitura para verificação da situação da Contratada em relação às condições de habilitação e qualificação exigidas também no processo licitatório, cujo resultado será impresso e juntado aos autos do processo.</w:t>
      </w:r>
    </w:p>
    <w:p w14:paraId="6D3BB806">
      <w:pPr>
        <w:pStyle w:val="12"/>
        <w:spacing w:line="276" w:lineRule="auto"/>
        <w:ind w:right="-1"/>
        <w:jc w:val="both"/>
        <w:rPr>
          <w:rFonts w:ascii="Cambria" w:hAnsi="Cambria"/>
          <w:sz w:val="22"/>
          <w:szCs w:val="22"/>
        </w:rPr>
      </w:pPr>
      <w:r>
        <w:rPr>
          <w:rFonts w:ascii="Cambria" w:hAnsi="Cambria"/>
          <w:b/>
          <w:sz w:val="22"/>
          <w:szCs w:val="22"/>
        </w:rPr>
        <w:t xml:space="preserve">5.9 </w:t>
      </w:r>
      <w:r>
        <w:rPr>
          <w:rFonts w:ascii="Cambria" w:hAnsi="Cambria"/>
          <w:sz w:val="22"/>
          <w:szCs w:val="22"/>
        </w:rPr>
        <w:t>O pagamento será efetuado pelo total do item fornecido, constante da ordem de fornecimento, acompanhada da Nota Fiscal.</w:t>
      </w:r>
    </w:p>
    <w:p w14:paraId="21111924">
      <w:pPr>
        <w:pStyle w:val="30"/>
      </w:pPr>
      <w:r>
        <w:rPr>
          <w:b/>
          <w:bCs/>
        </w:rPr>
        <w:t>5.10</w:t>
      </w:r>
      <w:r>
        <w:t xml:space="preserve"> Para fins de liquidação, o setor competente deverá verificar se a nota fiscal ou instrumento de cobrança equivalente apresentado expressa os elementos necessários e essenciais do documento, tais como: </w:t>
      </w:r>
    </w:p>
    <w:p w14:paraId="27FE36EC">
      <w:pPr>
        <w:pStyle w:val="32"/>
      </w:pPr>
      <w:r>
        <w:rPr>
          <w:b/>
          <w:bCs/>
        </w:rPr>
        <w:t>I.</w:t>
      </w:r>
      <w:r>
        <w:t xml:space="preserve"> o prazo de validade;</w:t>
      </w:r>
    </w:p>
    <w:p w14:paraId="5E8DC217">
      <w:pPr>
        <w:pStyle w:val="32"/>
      </w:pPr>
      <w:r>
        <w:rPr>
          <w:b/>
          <w:bCs/>
        </w:rPr>
        <w:t>II.</w:t>
      </w:r>
      <w:r>
        <w:t xml:space="preserve"> a data da emissão; </w:t>
      </w:r>
    </w:p>
    <w:p w14:paraId="7F5BDBB2">
      <w:pPr>
        <w:pStyle w:val="32"/>
      </w:pPr>
      <w:r>
        <w:rPr>
          <w:b/>
          <w:bCs/>
        </w:rPr>
        <w:t>III.</w:t>
      </w:r>
      <w:r>
        <w:t xml:space="preserve"> os dados do contrato e do órgão contratante; </w:t>
      </w:r>
    </w:p>
    <w:p w14:paraId="020838B9">
      <w:pPr>
        <w:pStyle w:val="32"/>
      </w:pPr>
      <w:r>
        <w:rPr>
          <w:b/>
          <w:bCs/>
        </w:rPr>
        <w:t>IV.</w:t>
      </w:r>
      <w:r>
        <w:t xml:space="preserve"> o período respectivo de execução do contrato; </w:t>
      </w:r>
    </w:p>
    <w:p w14:paraId="1074CAD5">
      <w:pPr>
        <w:pStyle w:val="32"/>
      </w:pPr>
      <w:r>
        <w:rPr>
          <w:b/>
          <w:bCs/>
        </w:rPr>
        <w:t>V.</w:t>
      </w:r>
      <w:r>
        <w:t xml:space="preserve"> o valor a pagar; e </w:t>
      </w:r>
    </w:p>
    <w:p w14:paraId="6B95F4A4">
      <w:pPr>
        <w:pStyle w:val="32"/>
      </w:pPr>
      <w:r>
        <w:rPr>
          <w:b/>
          <w:bCs/>
        </w:rPr>
        <w:t>VI.</w:t>
      </w:r>
      <w:r>
        <w:t xml:space="preserve"> eventual destaque do valor de retenções tributárias cabíveis.</w:t>
      </w:r>
    </w:p>
    <w:p w14:paraId="2198D8AD">
      <w:pPr>
        <w:pBdr>
          <w:top w:val="single" w:color="auto" w:sz="4" w:space="1"/>
          <w:left w:val="single" w:color="auto" w:sz="4" w:space="4"/>
          <w:bottom w:val="single" w:color="auto" w:sz="4" w:space="1"/>
          <w:right w:val="single" w:color="auto" w:sz="4" w:space="4"/>
        </w:pBdr>
        <w:shd w:val="clear" w:color="auto" w:fill="D8D8D8" w:themeFill="background1" w:themeFillShade="D9"/>
        <w:spacing w:before="120" w:after="240" w:line="276" w:lineRule="auto"/>
        <w:ind w:right="-1"/>
        <w:jc w:val="both"/>
        <w:rPr>
          <w:rFonts w:ascii="Cambria" w:hAnsi="Cambria"/>
        </w:rPr>
      </w:pPr>
      <w:r>
        <w:rPr>
          <w:rFonts w:ascii="Cambria" w:hAnsi="Cambria"/>
          <w:b/>
        </w:rPr>
        <w:t xml:space="preserve">CLÁUSULA SEXTA </w:t>
      </w:r>
      <w:r>
        <w:rPr>
          <w:rFonts w:ascii="Cambria" w:hAnsi="Cambria"/>
        </w:rPr>
        <w:t xml:space="preserve">– </w:t>
      </w:r>
      <w:r>
        <w:rPr>
          <w:rFonts w:ascii="Cambria" w:hAnsi="Cambria"/>
          <w:b/>
        </w:rPr>
        <w:t>DO REAJUSTE</w:t>
      </w:r>
    </w:p>
    <w:p w14:paraId="022017E7">
      <w:pPr>
        <w:pStyle w:val="32"/>
        <w:ind w:firstLine="0"/>
      </w:pPr>
      <w:r>
        <w:rPr>
          <w:b/>
          <w:bCs/>
        </w:rPr>
        <w:t>6.1</w:t>
      </w:r>
      <w:r>
        <w:t xml:space="preserve"> Os preços inicialmente contratados são fixos e irreajustáveis no prazo de um ano contado da data do orçamento estimado, em 16 de outubro de 2024, nos termos do inciso V, do artigo 92, da Lei Federal nº 14.133, de 2021.</w:t>
      </w:r>
    </w:p>
    <w:p w14:paraId="28A76165">
      <w:pPr>
        <w:pStyle w:val="32"/>
        <w:ind w:firstLine="0"/>
      </w:pPr>
      <w:r>
        <w:rPr>
          <w:b/>
          <w:bCs/>
        </w:rPr>
        <w:t>6.2</w:t>
      </w:r>
      <w:r>
        <w:t xml:space="preserve"> Após o interregno de um ano, e independentemente de pedido do contratado, os preços iniciais serão reajustados, mediante a aplicação, pelo contratante, do índice IPCA, exclusivamente para as obrigações iniciadas e concluídas após a ocorrência da anualidade.</w:t>
      </w:r>
    </w:p>
    <w:p w14:paraId="0D777B9C">
      <w:pPr>
        <w:pStyle w:val="32"/>
        <w:ind w:firstLine="0"/>
      </w:pPr>
      <w:r>
        <w:rPr>
          <w:b/>
          <w:bCs/>
        </w:rPr>
        <w:t>6.3</w:t>
      </w:r>
      <w:r>
        <w:t xml:space="preserve"> Nos reajustes subsequentes ao primeiro, o interregno mínimo de um ano será contado a partir dos efeitos financeiros do último reajuste.</w:t>
      </w:r>
    </w:p>
    <w:p w14:paraId="5BB2FF4D">
      <w:pPr>
        <w:pStyle w:val="32"/>
        <w:ind w:firstLine="0"/>
      </w:pPr>
      <w:r>
        <w:rPr>
          <w:b/>
          <w:bCs/>
        </w:rPr>
        <w:t>6.4</w:t>
      </w:r>
      <w:r>
        <w:t xml:space="preserve"> No caso de atraso ou não divulgação do índice de reajustamento, o contratante pagará ao contratado a importância calculada pela última variação conhecida, liquidando a diferença correspondente tão logo seja divulgada o índice definitivo.</w:t>
      </w:r>
    </w:p>
    <w:p w14:paraId="502D53EF">
      <w:pPr>
        <w:pStyle w:val="32"/>
        <w:ind w:firstLine="0"/>
      </w:pPr>
      <w:r>
        <w:rPr>
          <w:b/>
          <w:bCs/>
        </w:rPr>
        <w:t>6.5</w:t>
      </w:r>
      <w:r>
        <w:t xml:space="preserve"> Na aferição final, o índice utilizado para reajuste será obrigatoriamente definitivo.</w:t>
      </w:r>
    </w:p>
    <w:p w14:paraId="6BEB5D74">
      <w:pPr>
        <w:pStyle w:val="32"/>
        <w:ind w:firstLine="0"/>
      </w:pPr>
      <w:r>
        <w:rPr>
          <w:b/>
          <w:bCs/>
        </w:rPr>
        <w:t>6.6</w:t>
      </w:r>
      <w:r>
        <w:t xml:space="preserve"> Caso o índice estabelecido para reajustamento venha a ser extinto ou de qualquer forma não possa mais ser utilizado, será adotado, em substituição, o que vier a ser determinado por legislação então e vigor.</w:t>
      </w:r>
    </w:p>
    <w:p w14:paraId="3CCB1D7D">
      <w:pPr>
        <w:pStyle w:val="32"/>
        <w:ind w:firstLine="0"/>
      </w:pPr>
      <w:r>
        <w:rPr>
          <w:b/>
          <w:bCs/>
        </w:rPr>
        <w:t>6.7</w:t>
      </w:r>
      <w:r>
        <w:t xml:space="preserve"> Na ausência de previsão legal quanto ao índice substituto, as partes elegerão novo índice oficial, para reajustamento do preço do valor remanescente, por meio de termo aditivo.</w:t>
      </w:r>
    </w:p>
    <w:p w14:paraId="3A942175">
      <w:pPr>
        <w:pStyle w:val="32"/>
        <w:ind w:firstLine="0"/>
      </w:pPr>
      <w:r>
        <w:rPr>
          <w:b/>
          <w:bCs/>
        </w:rPr>
        <w:t>6.8</w:t>
      </w:r>
      <w:r>
        <w:t xml:space="preserve"> O reajuste será realizado por apostilamento.</w:t>
      </w:r>
    </w:p>
    <w:p w14:paraId="205B9EDE">
      <w:pPr>
        <w:pBdr>
          <w:top w:val="single" w:color="auto" w:sz="4" w:space="1"/>
          <w:left w:val="single" w:color="auto" w:sz="4" w:space="4"/>
          <w:bottom w:val="single" w:color="auto" w:sz="4" w:space="1"/>
          <w:right w:val="single" w:color="auto" w:sz="4" w:space="4"/>
        </w:pBdr>
        <w:shd w:val="clear" w:color="auto" w:fill="D8D8D8" w:themeFill="background1" w:themeFillShade="D9"/>
        <w:spacing w:before="120" w:after="240" w:line="276" w:lineRule="auto"/>
        <w:ind w:right="-1"/>
        <w:jc w:val="both"/>
        <w:rPr>
          <w:rFonts w:ascii="Cambria" w:hAnsi="Cambria"/>
        </w:rPr>
      </w:pPr>
      <w:r>
        <w:rPr>
          <w:rFonts w:ascii="Cambria" w:hAnsi="Cambria"/>
          <w:b/>
        </w:rPr>
        <w:t xml:space="preserve">CLÁUSULA SÉTIMA </w:t>
      </w:r>
      <w:r>
        <w:rPr>
          <w:rFonts w:ascii="Cambria" w:hAnsi="Cambria"/>
        </w:rPr>
        <w:t xml:space="preserve">– </w:t>
      </w:r>
      <w:r>
        <w:rPr>
          <w:rFonts w:ascii="Cambria" w:hAnsi="Cambria"/>
          <w:b/>
        </w:rPr>
        <w:t>DAS OBRIGAÇÕES DO CONTRATANTE</w:t>
      </w:r>
    </w:p>
    <w:p w14:paraId="2F37D721">
      <w:pPr>
        <w:pStyle w:val="30"/>
        <w:rPr>
          <w:b/>
          <w:bCs/>
        </w:rPr>
      </w:pPr>
      <w:r>
        <w:rPr>
          <w:b/>
          <w:bCs/>
        </w:rPr>
        <w:t>7.1</w:t>
      </w:r>
      <w:r>
        <w:t xml:space="preserve"> São obrigações do Contratante, nos termos dos incisos X, XI e XIV do artigo 92, da Lei Federal nº 14.133, de 2021:</w:t>
      </w:r>
    </w:p>
    <w:p w14:paraId="0C44E508">
      <w:pPr>
        <w:pStyle w:val="30"/>
        <w:ind w:firstLine="567"/>
      </w:pPr>
      <w:r>
        <w:rPr>
          <w:b/>
          <w:bCs/>
        </w:rPr>
        <w:t>I.</w:t>
      </w:r>
      <w:r>
        <w:t xml:space="preserve"> Exigir o cumprimento de todas as obrigações assumidas pelo Contratado, de acordo com o contrato e seus anexos;</w:t>
      </w:r>
    </w:p>
    <w:p w14:paraId="4A1327CA">
      <w:pPr>
        <w:pStyle w:val="30"/>
        <w:ind w:firstLine="567"/>
      </w:pPr>
      <w:r>
        <w:rPr>
          <w:b/>
          <w:bCs/>
        </w:rPr>
        <w:t>II.</w:t>
      </w:r>
      <w:r>
        <w:t xml:space="preserve"> Receber o objeto no prazo e condições estabelecidas no Termo de Referência;</w:t>
      </w:r>
    </w:p>
    <w:p w14:paraId="5BEA5FF3">
      <w:pPr>
        <w:pStyle w:val="30"/>
        <w:ind w:firstLine="567"/>
      </w:pPr>
      <w:r>
        <w:rPr>
          <w:b/>
          <w:bCs/>
        </w:rPr>
        <w:t>III.</w:t>
      </w:r>
      <w:r>
        <w:t xml:space="preserve"> Notificar o Contratado, por escrito, sobre vícios, defeitos ou incorreções verificadas no objeto fornecido, para que seja por ele substituído, reparado ou corrigido, no total ou em parte, às suas expensas;</w:t>
      </w:r>
    </w:p>
    <w:p w14:paraId="496FD8E0">
      <w:pPr>
        <w:pStyle w:val="30"/>
        <w:ind w:firstLine="567"/>
      </w:pPr>
      <w:r>
        <w:rPr>
          <w:b/>
          <w:bCs/>
        </w:rPr>
        <w:t>IV.</w:t>
      </w:r>
      <w:r>
        <w:t xml:space="preserve"> Acompanhar e fiscalizar a execução do contrato e o cumprimento das obrigações pelo Contratado;</w:t>
      </w:r>
    </w:p>
    <w:p w14:paraId="62DFDCEB">
      <w:pPr>
        <w:pStyle w:val="30"/>
        <w:ind w:firstLine="567"/>
      </w:pPr>
      <w:r>
        <w:rPr>
          <w:b/>
          <w:bCs/>
        </w:rPr>
        <w:t>V.</w:t>
      </w:r>
      <w:r>
        <w:t xml:space="preserve"> Efetuar o pagamento ao Contratado do valor correspondente ao fornecimento do objeto, no prazo, forma e condições estabelecidos no presente Contrato e no Termo de Referência.</w:t>
      </w:r>
    </w:p>
    <w:p w14:paraId="412B1184">
      <w:pPr>
        <w:pStyle w:val="30"/>
        <w:ind w:firstLine="567"/>
      </w:pPr>
      <w:r>
        <w:rPr>
          <w:b/>
          <w:bCs/>
        </w:rPr>
        <w:t>VI.</w:t>
      </w:r>
      <w:r>
        <w:t xml:space="preserve"> Aplicar ao Contratado as sanções previstas na lei e neste Contrato; </w:t>
      </w:r>
    </w:p>
    <w:p w14:paraId="2C4BCF3E">
      <w:pPr>
        <w:pStyle w:val="30"/>
        <w:ind w:firstLine="567"/>
      </w:pPr>
      <w:r>
        <w:rPr>
          <w:b/>
          <w:bCs/>
        </w:rPr>
        <w:t>VII.</w:t>
      </w:r>
      <w:r>
        <w:t xml:space="preserve"> Cientificar o órgão de representação judicial da Procuradoria Geral para adoção das medidas cabíveis quando do descumprimento de obrigações pelo Contratado;</w:t>
      </w:r>
    </w:p>
    <w:p w14:paraId="735A52A4">
      <w:pPr>
        <w:pStyle w:val="30"/>
        <w:ind w:firstLine="567"/>
      </w:pPr>
      <w:r>
        <w:rPr>
          <w:b/>
          <w:bCs/>
        </w:rPr>
        <w:t>VIII.</w:t>
      </w:r>
      <w:r>
        <w:t xml:space="preserve"> 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6B21449A">
      <w:pPr>
        <w:pStyle w:val="30"/>
        <w:ind w:firstLine="567"/>
      </w:pPr>
      <w:r>
        <w:rPr>
          <w:b/>
          <w:bCs/>
        </w:rPr>
        <w:t>IX.</w:t>
      </w:r>
      <w:r>
        <w:t xml:space="preserve"> A Administração terá o prazo de 60 dias, a contar da data do protocolo do requerimento para decidir, admitida a prorrogação motivada, por igual período. </w:t>
      </w:r>
    </w:p>
    <w:p w14:paraId="7651BEDB">
      <w:pPr>
        <w:pStyle w:val="30"/>
        <w:ind w:firstLine="567"/>
      </w:pPr>
      <w:r>
        <w:rPr>
          <w:b/>
          <w:bCs/>
        </w:rPr>
        <w:t>X.</w:t>
      </w:r>
      <w:r>
        <w:t xml:space="preserve"> Responder eventuais pedidos de reestabelecimento do equilíbrio econômico-financeiro feitos pelo contratado no prazo máximo de 60 dias.</w:t>
      </w:r>
    </w:p>
    <w:p w14:paraId="3913BB97">
      <w:pPr>
        <w:pStyle w:val="30"/>
        <w:ind w:firstLine="567"/>
      </w:pPr>
      <w:r>
        <w:rPr>
          <w:b/>
          <w:bCs/>
        </w:rPr>
        <w:t>XI.</w:t>
      </w:r>
      <w:r>
        <w:t xml:space="preserve"> Notificar os emitentes das garantias quanto ao início de processo administrativo para apuração de descumprimento de cláusulas contratuais.</w:t>
      </w:r>
    </w:p>
    <w:p w14:paraId="4554A9B8">
      <w:pPr>
        <w:pStyle w:val="22"/>
        <w:spacing w:before="100" w:after="240" w:line="276" w:lineRule="auto"/>
        <w:ind w:right="-1" w:firstLine="567"/>
        <w:jc w:val="both"/>
        <w:rPr>
          <w:rFonts w:ascii="Cambria" w:hAnsi="Cambria"/>
        </w:rPr>
      </w:pPr>
      <w:r>
        <w:rPr>
          <w:rFonts w:ascii="Cambria" w:hAnsi="Cambria"/>
          <w:b/>
          <w:bCs/>
        </w:rPr>
        <w:t>XII.</w:t>
      </w:r>
      <w:r>
        <w:rPr>
          <w:rFonts w:ascii="Cambria" w:hAnsi="Cambria"/>
        </w:rPr>
        <w:t xml:space="preserve"> 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7CBE8EA4">
      <w:pPr>
        <w:pBdr>
          <w:top w:val="single" w:color="auto" w:sz="4" w:space="1"/>
          <w:left w:val="single" w:color="auto" w:sz="4" w:space="4"/>
          <w:bottom w:val="single" w:color="auto" w:sz="4" w:space="1"/>
          <w:right w:val="single" w:color="auto" w:sz="4" w:space="4"/>
        </w:pBdr>
        <w:shd w:val="clear" w:color="auto" w:fill="D8D8D8" w:themeFill="background1" w:themeFillShade="D9"/>
        <w:spacing w:before="120" w:after="240" w:line="276" w:lineRule="auto"/>
        <w:ind w:right="-1"/>
        <w:jc w:val="both"/>
        <w:rPr>
          <w:rFonts w:ascii="Cambria" w:hAnsi="Cambria"/>
        </w:rPr>
      </w:pPr>
      <w:r>
        <w:rPr>
          <w:rFonts w:ascii="Cambria" w:hAnsi="Cambria"/>
          <w:b/>
        </w:rPr>
        <w:t xml:space="preserve">CLÁUSULA OITAVA </w:t>
      </w:r>
      <w:r>
        <w:rPr>
          <w:rFonts w:ascii="Cambria" w:hAnsi="Cambria"/>
        </w:rPr>
        <w:t xml:space="preserve">– </w:t>
      </w:r>
      <w:r>
        <w:rPr>
          <w:rFonts w:ascii="Cambria" w:hAnsi="Cambria"/>
          <w:b/>
        </w:rPr>
        <w:t>DAS OBRIGAÇÕES DO CONTRATADO</w:t>
      </w:r>
    </w:p>
    <w:p w14:paraId="36F33A8A">
      <w:pPr>
        <w:pStyle w:val="30"/>
      </w:pPr>
      <w:r>
        <w:rPr>
          <w:b/>
          <w:bCs/>
        </w:rPr>
        <w:t>8.1</w:t>
      </w:r>
      <w:r>
        <w:t xml:space="preserve"> O Contratado deve cumprir todas as obrigações constantes deste Contrato e em seus anexos, assumindo como exclusivamente seus os riscos e as despesas decorrentes da boa e perfeita execução do objeto, observando, ainda, as obrigações a seguir dispostas, nos termos dos incisos XIV, XVI e XVII do artigo 92, da Lei Federal nº 14.133, de 2021:</w:t>
      </w:r>
    </w:p>
    <w:p w14:paraId="2C19A2F7">
      <w:pPr>
        <w:pStyle w:val="30"/>
        <w:ind w:firstLine="567"/>
      </w:pPr>
      <w:r>
        <w:rPr>
          <w:b/>
          <w:bCs/>
        </w:rPr>
        <w:t>I.</w:t>
      </w:r>
      <w:r>
        <w:t xml:space="preserve"> Responsabilizar-se pelos vícios e danos decorrentes do objeto, de acordo com o Código de Defesa do Consumidor (</w:t>
      </w:r>
      <w:r>
        <w:fldChar w:fldCharType="begin"/>
      </w:r>
      <w:r>
        <w:instrText xml:space="preserve"> HYPERLINK "https://www.planalto.gov.br/ccivil_03/leis/l8078compilado.htm" </w:instrText>
      </w:r>
      <w:r>
        <w:fldChar w:fldCharType="separate"/>
      </w:r>
      <w:r>
        <w:rPr>
          <w:rStyle w:val="9"/>
          <w:color w:val="auto"/>
          <w:u w:val="none"/>
        </w:rPr>
        <w:t>Lei nº 8.078, de 1990</w:t>
      </w:r>
      <w:r>
        <w:rPr>
          <w:rStyle w:val="9"/>
          <w:color w:val="auto"/>
          <w:u w:val="none"/>
        </w:rPr>
        <w:fldChar w:fldCharType="end"/>
      </w:r>
      <w:r>
        <w:t>);</w:t>
      </w:r>
    </w:p>
    <w:p w14:paraId="6E8DA79B">
      <w:pPr>
        <w:pStyle w:val="30"/>
        <w:ind w:firstLine="567"/>
      </w:pPr>
      <w:r>
        <w:rPr>
          <w:b/>
          <w:bCs/>
        </w:rPr>
        <w:t>II.</w:t>
      </w:r>
      <w:r>
        <w:t xml:space="preserve"> Comunicar ao contratante, no prazo máximo de 05 (cinco) dias que antecede a data da entrega, os motivos que impossibilitem o cumprimento do prazo previsto, com a devida comprovação;</w:t>
      </w:r>
    </w:p>
    <w:p w14:paraId="4B63E942">
      <w:pPr>
        <w:pStyle w:val="30"/>
        <w:ind w:firstLine="567"/>
      </w:pPr>
      <w:r>
        <w:rPr>
          <w:b/>
          <w:bCs/>
        </w:rPr>
        <w:t>III.</w:t>
      </w:r>
      <w:r>
        <w:t xml:space="preserve"> Atender às determinações regulares emitidas pelo fiscal ou gestor do contrato ou autoridade superior (inciso II, do </w:t>
      </w:r>
      <w:r>
        <w:fldChar w:fldCharType="begin"/>
      </w:r>
      <w:r>
        <w:instrText xml:space="preserve"> HYPERLINK "http://www.planalto.gov.br/ccivil_03/_ato2019-2022/2021/lei/L14133.htm" \l "art137" </w:instrText>
      </w:r>
      <w:r>
        <w:fldChar w:fldCharType="separate"/>
      </w:r>
      <w:r>
        <w:rPr>
          <w:rStyle w:val="9"/>
          <w:color w:val="auto"/>
          <w:u w:val="none"/>
        </w:rPr>
        <w:t xml:space="preserve">artigo 137, da </w:t>
      </w:r>
      <w:r>
        <w:t>Lei Federal nº 14.133, de 2021</w:t>
      </w:r>
      <w:r>
        <w:fldChar w:fldCharType="end"/>
      </w:r>
      <w:r>
        <w:t>) e prestar todo esclarecimento ou informação por eles solicitados;</w:t>
      </w:r>
    </w:p>
    <w:p w14:paraId="52F85DDF">
      <w:pPr>
        <w:pStyle w:val="30"/>
        <w:ind w:firstLine="567"/>
      </w:pPr>
      <w:r>
        <w:rPr>
          <w:b/>
          <w:bCs/>
        </w:rPr>
        <w:t>IV.</w:t>
      </w:r>
      <w:r>
        <w:t xml:space="preserve"> Reparar, corrigir, remover, reconstruir ou substituir, às suas expensas, no total ou em parte, no prazo de 02 (dias) conforme fixado pelo fiscal do contrato, os bens nos quais se verificarem vícios, defeitos ou incorreções resultantes da execução ou dos materiais empregados;</w:t>
      </w:r>
    </w:p>
    <w:p w14:paraId="1D360623">
      <w:pPr>
        <w:pStyle w:val="30"/>
        <w:ind w:firstLine="567"/>
      </w:pPr>
      <w:r>
        <w:rPr>
          <w:b/>
          <w:bCs/>
        </w:rPr>
        <w:t>V.</w:t>
      </w:r>
      <w:r>
        <w:t xml:space="preserve">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3C962330">
      <w:pPr>
        <w:pStyle w:val="30"/>
        <w:ind w:firstLine="567"/>
      </w:pPr>
      <w:r>
        <w:rPr>
          <w:b/>
          <w:bCs/>
        </w:rPr>
        <w:t>VI.</w:t>
      </w:r>
      <w:r>
        <w:t xml:space="preserve"> Quando não for possível a verificação da regularidade no Sistema de Cadastro de Fornecedores – SICAF, o contratado deverá entregar ao setor responsável pela fiscalização do contrato, junto com a Nota Fiscal para fins de pagamento, os seguintes documentos: </w:t>
      </w:r>
    </w:p>
    <w:p w14:paraId="66D0C44C">
      <w:pPr>
        <w:pStyle w:val="30"/>
        <w:ind w:left="567" w:firstLine="567"/>
      </w:pPr>
      <w:r>
        <w:rPr>
          <w:b/>
          <w:bCs/>
        </w:rPr>
        <w:t>a)</w:t>
      </w:r>
      <w:r>
        <w:t xml:space="preserve"> prova de regularidade relativa à Seguridade Social; </w:t>
      </w:r>
    </w:p>
    <w:p w14:paraId="72078BF8">
      <w:pPr>
        <w:pStyle w:val="30"/>
        <w:ind w:left="567" w:firstLine="567"/>
      </w:pPr>
      <w:r>
        <w:rPr>
          <w:b/>
          <w:bCs/>
        </w:rPr>
        <w:t>b)</w:t>
      </w:r>
      <w:r>
        <w:t xml:space="preserve"> certidão conjunta relativa aos tributos federais e à Dívida Ativa da União; </w:t>
      </w:r>
    </w:p>
    <w:p w14:paraId="2691ACAB">
      <w:pPr>
        <w:pStyle w:val="30"/>
        <w:ind w:left="567" w:firstLine="567"/>
      </w:pPr>
      <w:r>
        <w:rPr>
          <w:b/>
          <w:bCs/>
        </w:rPr>
        <w:t>c)</w:t>
      </w:r>
      <w:r>
        <w:t xml:space="preserve"> certidões que comprovem a regularidade perante a Fazenda Estadual ou Distrital do domicílio ou sede do contratado; </w:t>
      </w:r>
    </w:p>
    <w:p w14:paraId="3D99F476">
      <w:pPr>
        <w:pStyle w:val="30"/>
        <w:ind w:left="567" w:firstLine="567"/>
      </w:pPr>
      <w:r>
        <w:rPr>
          <w:b/>
          <w:bCs/>
        </w:rPr>
        <w:t>d)</w:t>
      </w:r>
      <w:r>
        <w:t xml:space="preserve"> Certidão de Regularidade do FGTS – CRF; e </w:t>
      </w:r>
    </w:p>
    <w:p w14:paraId="564432A0">
      <w:pPr>
        <w:pStyle w:val="30"/>
        <w:ind w:left="567" w:firstLine="567"/>
      </w:pPr>
      <w:r>
        <w:rPr>
          <w:b/>
          <w:bCs/>
        </w:rPr>
        <w:t>e)</w:t>
      </w:r>
      <w:r>
        <w:t xml:space="preserve"> Certidão Negativa de Débitos Trabalhistas – CNDT; </w:t>
      </w:r>
    </w:p>
    <w:p w14:paraId="11570336">
      <w:pPr>
        <w:pStyle w:val="30"/>
        <w:ind w:firstLine="567"/>
      </w:pPr>
      <w:r>
        <w:rPr>
          <w:b/>
          <w:bCs/>
        </w:rPr>
        <w:t>VII.</w:t>
      </w:r>
      <w:r>
        <w:t xml:space="preserve"> 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5222F559">
      <w:pPr>
        <w:pStyle w:val="30"/>
        <w:ind w:firstLine="567"/>
      </w:pPr>
      <w:r>
        <w:rPr>
          <w:b/>
          <w:bCs/>
        </w:rPr>
        <w:t>VIII.</w:t>
      </w:r>
      <w:r>
        <w:t xml:space="preserve"> Comunicar ao Fiscal do contrato, no prazo de 24 (vinte e quatro) horas, qualquer ocorrência anormal ou acidente que se verifique no local da execução do objeto contratual.</w:t>
      </w:r>
    </w:p>
    <w:p w14:paraId="222B4328">
      <w:pPr>
        <w:pStyle w:val="30"/>
        <w:ind w:firstLine="567"/>
      </w:pPr>
      <w:r>
        <w:rPr>
          <w:b/>
          <w:bCs/>
        </w:rPr>
        <w:t>IX.</w:t>
      </w:r>
      <w:r>
        <w:t xml:space="preserve"> Paralisar, por determinação do contratante, qualquer atividade que não esteja sendo executada de acordo com a boa técnica ou que ponha em risco a segurança de pessoas ou bens de terceiros.</w:t>
      </w:r>
    </w:p>
    <w:p w14:paraId="70BC179E">
      <w:pPr>
        <w:pStyle w:val="30"/>
        <w:ind w:firstLine="567"/>
      </w:pPr>
      <w:r>
        <w:rPr>
          <w:b/>
          <w:bCs/>
        </w:rPr>
        <w:t>X.</w:t>
      </w:r>
      <w:r>
        <w:t xml:space="preserve"> Manter durante toda a vigência do contrato, em compatibilidade com as obrigações assumidas, todas as condições exigidas para habilitação na licitação; </w:t>
      </w:r>
    </w:p>
    <w:p w14:paraId="7AE2EA2D">
      <w:pPr>
        <w:pStyle w:val="30"/>
        <w:ind w:firstLine="567"/>
        <w:rPr>
          <w:b/>
          <w:bCs/>
        </w:rPr>
      </w:pPr>
      <w:r>
        <w:rPr>
          <w:b/>
          <w:bCs/>
        </w:rPr>
        <w:t>XI.</w:t>
      </w:r>
      <w:r>
        <w:t xml:space="preserve"> Cumprir, durante todo o período de execução do contrato, a reserva de cargos prevista em lei para pessoa com deficiência, para reabilitado da Previdência Social ou para aprendiz, bem como as reservas de cargos previstas na legislação (</w:t>
      </w:r>
      <w:r>
        <w:fldChar w:fldCharType="begin"/>
      </w:r>
      <w:r>
        <w:instrText xml:space="preserve"> HYPERLINK "http://www.planalto.gov.br/ccivil_03/_ato2019-2022/2021/lei/L14133.htm" \l "art116" </w:instrText>
      </w:r>
      <w:r>
        <w:fldChar w:fldCharType="separate"/>
      </w:r>
      <w:r>
        <w:rPr>
          <w:rStyle w:val="9"/>
          <w:color w:val="auto"/>
          <w:u w:val="none"/>
        </w:rPr>
        <w:t xml:space="preserve">artigo 116, da </w:t>
      </w:r>
      <w:r>
        <w:t>Lei Federal nº 14.133, de 2021</w:t>
      </w:r>
      <w:r>
        <w:fldChar w:fldCharType="end"/>
      </w:r>
      <w:r>
        <w:t>);</w:t>
      </w:r>
    </w:p>
    <w:p w14:paraId="6E3EC232">
      <w:pPr>
        <w:pStyle w:val="30"/>
        <w:ind w:firstLine="567"/>
      </w:pPr>
      <w:r>
        <w:rPr>
          <w:b/>
          <w:bCs/>
        </w:rPr>
        <w:t>XII.</w:t>
      </w:r>
      <w:r>
        <w:t xml:space="preserve"> Comprovar a reserva de cargos a que se refere a cláusula acima, no prazo fixado pelo fiscal do contrato, com a indicação dos empregados que preencheram as referidas vagas (§ único, do </w:t>
      </w:r>
      <w:r>
        <w:fldChar w:fldCharType="begin"/>
      </w:r>
      <w:r>
        <w:instrText xml:space="preserve"> HYPERLINK "http://www.planalto.gov.br/ccivil_03/_ato2019-2022/2021/lei/L14133.htm" \l "art116" </w:instrText>
      </w:r>
      <w:r>
        <w:fldChar w:fldCharType="separate"/>
      </w:r>
      <w:r>
        <w:rPr>
          <w:rStyle w:val="9"/>
          <w:color w:val="auto"/>
          <w:u w:val="none"/>
        </w:rPr>
        <w:t xml:space="preserve">artigo 116, da </w:t>
      </w:r>
      <w:r>
        <w:t>Lei Federal nº 14.133, de 2021</w:t>
      </w:r>
      <w:r>
        <w:fldChar w:fldCharType="end"/>
      </w:r>
      <w:r>
        <w:t>);</w:t>
      </w:r>
    </w:p>
    <w:p w14:paraId="78ACF01F">
      <w:pPr>
        <w:pStyle w:val="30"/>
        <w:ind w:firstLine="567"/>
      </w:pPr>
      <w:r>
        <w:rPr>
          <w:b/>
          <w:bCs/>
        </w:rPr>
        <w:t>XIII.</w:t>
      </w:r>
      <w:r>
        <w:t xml:space="preserve"> Guardar sigilo sobre todas as informações obtidas em decorrência do cumprimento do contrato; </w:t>
      </w:r>
    </w:p>
    <w:p w14:paraId="1D84CE20">
      <w:pPr>
        <w:pStyle w:val="30"/>
        <w:ind w:firstLine="567"/>
      </w:pPr>
      <w:r>
        <w:rPr>
          <w:b/>
          <w:bCs/>
        </w:rPr>
        <w:t>XIV.</w:t>
      </w:r>
      <w:r>
        <w:t xml:space="preserve">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na alínea “d”, do inciso II, do </w:t>
      </w:r>
      <w:r>
        <w:fldChar w:fldCharType="begin"/>
      </w:r>
      <w:r>
        <w:instrText xml:space="preserve"> HYPERLINK "http://www.planalto.gov.br/ccivil_03/_ato2019-2022/2021/lei/L14133.htm" \l "art124" </w:instrText>
      </w:r>
      <w:r>
        <w:fldChar w:fldCharType="separate"/>
      </w:r>
      <w:r>
        <w:rPr>
          <w:rStyle w:val="9"/>
          <w:color w:val="auto"/>
          <w:u w:val="none"/>
        </w:rPr>
        <w:t xml:space="preserve">artigo 124, da </w:t>
      </w:r>
      <w:r>
        <w:t>Lei Federal nº 14.133, de 2021</w:t>
      </w:r>
      <w:r>
        <w:rPr>
          <w:rStyle w:val="9"/>
          <w:color w:val="auto"/>
          <w:u w:val="none"/>
        </w:rPr>
        <w:t>.</w:t>
      </w:r>
      <w:r>
        <w:rPr>
          <w:rStyle w:val="9"/>
          <w:color w:val="auto"/>
          <w:u w:val="none"/>
        </w:rPr>
        <w:fldChar w:fldCharType="end"/>
      </w:r>
    </w:p>
    <w:p w14:paraId="0AE454A8">
      <w:pPr>
        <w:pStyle w:val="30"/>
        <w:ind w:firstLine="567"/>
      </w:pPr>
      <w:r>
        <w:rPr>
          <w:b/>
          <w:bCs/>
        </w:rPr>
        <w:t>XV.</w:t>
      </w:r>
      <w:r>
        <w:t xml:space="preserve"> Cumprir, além dos postulados legais vigentes de âmbito federal, estadual ou municipal, as normas de segurança do contratante.</w:t>
      </w:r>
    </w:p>
    <w:p w14:paraId="48D84AA4">
      <w:pPr>
        <w:pStyle w:val="12"/>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spacing w:after="240" w:line="276" w:lineRule="auto"/>
        <w:ind w:right="-1"/>
        <w:jc w:val="both"/>
        <w:rPr>
          <w:rFonts w:ascii="Cambria" w:hAnsi="Cambria"/>
          <w:b/>
          <w:sz w:val="22"/>
          <w:szCs w:val="22"/>
          <w:lang w:eastAsia="ar-SA"/>
        </w:rPr>
      </w:pPr>
      <w:r>
        <w:rPr>
          <w:rFonts w:ascii="Cambria" w:hAnsi="Cambria"/>
          <w:b/>
          <w:sz w:val="22"/>
          <w:szCs w:val="22"/>
        </w:rPr>
        <w:t>CLÁUSULA NONA – DAS INFRAÇÕES E SANÇÕES ADMINISTRATIVAS </w:t>
      </w:r>
    </w:p>
    <w:p w14:paraId="2B1031C3">
      <w:pPr>
        <w:pStyle w:val="30"/>
      </w:pPr>
      <w:r>
        <w:rPr>
          <w:b/>
          <w:bCs/>
        </w:rPr>
        <w:t>9.1</w:t>
      </w:r>
      <w:r>
        <w:t xml:space="preserve"> Comete infração administrativa, nos termos da </w:t>
      </w:r>
      <w:r>
        <w:fldChar w:fldCharType="begin"/>
      </w:r>
      <w:r>
        <w:instrText xml:space="preserve"> HYPERLINK "http://www.planalto.gov.br/ccivil_03/_ato2019-2022/2021/lei/L14133.htm" </w:instrText>
      </w:r>
      <w:r>
        <w:fldChar w:fldCharType="separate"/>
      </w:r>
      <w:r>
        <w:rPr>
          <w:rStyle w:val="9"/>
          <w:color w:val="auto"/>
          <w:u w:val="none"/>
        </w:rPr>
        <w:t>Lei</w:t>
      </w:r>
      <w:r>
        <w:rPr>
          <w:rStyle w:val="9"/>
          <w:color w:val="auto"/>
          <w:u w:val="none"/>
        </w:rPr>
        <w:fldChar w:fldCharType="end"/>
      </w:r>
      <w:r>
        <w:rPr>
          <w:rStyle w:val="9"/>
          <w:color w:val="auto"/>
          <w:u w:val="none"/>
        </w:rPr>
        <w:t xml:space="preserve"> Federal nº 14.133, de 2021</w:t>
      </w:r>
      <w:r>
        <w:t>, o contratado que:</w:t>
      </w:r>
    </w:p>
    <w:p w14:paraId="2751D44B">
      <w:pPr>
        <w:pStyle w:val="30"/>
        <w:ind w:firstLine="567"/>
      </w:pPr>
      <w:r>
        <w:rPr>
          <w:b/>
          <w:bCs/>
        </w:rPr>
        <w:t>I.</w:t>
      </w:r>
      <w:r>
        <w:t xml:space="preserve"> der causa à inexecução parcial do contrato;</w:t>
      </w:r>
    </w:p>
    <w:p w14:paraId="0949FB8B">
      <w:pPr>
        <w:pStyle w:val="30"/>
        <w:ind w:firstLine="567"/>
      </w:pPr>
      <w:r>
        <w:rPr>
          <w:b/>
          <w:bCs/>
        </w:rPr>
        <w:t>II.</w:t>
      </w:r>
      <w:r>
        <w:t xml:space="preserve"> der causa à inexecução parcial do contrato que cause grave dano à Administração ou ao funcionamento dos serviços públicos ou ao interesse coletivo;</w:t>
      </w:r>
    </w:p>
    <w:p w14:paraId="7643C31B">
      <w:pPr>
        <w:pStyle w:val="30"/>
        <w:ind w:firstLine="567"/>
      </w:pPr>
      <w:r>
        <w:rPr>
          <w:b/>
          <w:bCs/>
        </w:rPr>
        <w:t>III.</w:t>
      </w:r>
      <w:r>
        <w:t xml:space="preserve"> der causa à inexecução total do contrato;</w:t>
      </w:r>
    </w:p>
    <w:p w14:paraId="20A0EB2E">
      <w:pPr>
        <w:pStyle w:val="30"/>
        <w:ind w:firstLine="567"/>
      </w:pPr>
      <w:r>
        <w:rPr>
          <w:b/>
          <w:bCs/>
        </w:rPr>
        <w:t>IV.</w:t>
      </w:r>
      <w:r>
        <w:t xml:space="preserve"> ensejar o retardamento da execução ou da entrega do objeto da contratação sem motivo justificado;</w:t>
      </w:r>
    </w:p>
    <w:p w14:paraId="586B0DAA">
      <w:pPr>
        <w:pStyle w:val="30"/>
        <w:ind w:firstLine="567"/>
      </w:pPr>
      <w:r>
        <w:rPr>
          <w:b/>
          <w:bCs/>
        </w:rPr>
        <w:t>V.</w:t>
      </w:r>
      <w:r>
        <w:t xml:space="preserve"> apresentar documentação falsa ou prestar declaração falsa durante a execução do contrato;</w:t>
      </w:r>
    </w:p>
    <w:p w14:paraId="1DF81750">
      <w:pPr>
        <w:pStyle w:val="30"/>
        <w:ind w:firstLine="567"/>
      </w:pPr>
      <w:r>
        <w:rPr>
          <w:b/>
          <w:bCs/>
        </w:rPr>
        <w:t>VI.</w:t>
      </w:r>
      <w:r>
        <w:t xml:space="preserve"> praticar ato fraudulento na execução do contrato;</w:t>
      </w:r>
    </w:p>
    <w:p w14:paraId="51A328C2">
      <w:pPr>
        <w:pStyle w:val="30"/>
        <w:ind w:firstLine="567"/>
      </w:pPr>
      <w:r>
        <w:rPr>
          <w:b/>
          <w:bCs/>
        </w:rPr>
        <w:t>VII.</w:t>
      </w:r>
      <w:r>
        <w:t xml:space="preserve"> comportar-se de modo inidôneo ou cometer fraude de qualquer natureza;</w:t>
      </w:r>
    </w:p>
    <w:p w14:paraId="7B5F8C5D">
      <w:pPr>
        <w:pStyle w:val="30"/>
        <w:ind w:firstLine="567"/>
      </w:pPr>
      <w:r>
        <w:rPr>
          <w:b/>
          <w:bCs/>
        </w:rPr>
        <w:t>VIII.</w:t>
      </w:r>
      <w:r>
        <w:t xml:space="preserve"> praticar ato lesivo previsto no </w:t>
      </w:r>
      <w:r>
        <w:fldChar w:fldCharType="begin"/>
      </w:r>
      <w:r>
        <w:instrText xml:space="preserve"> HYPERLINK "https://www.planalto.gov.br/ccivil_03/_ato2011-2014/2013/lei/l12846.htm" \l "art5" </w:instrText>
      </w:r>
      <w:r>
        <w:fldChar w:fldCharType="separate"/>
      </w:r>
      <w:r>
        <w:rPr>
          <w:rStyle w:val="9"/>
          <w:color w:val="auto"/>
          <w:u w:val="none"/>
        </w:rPr>
        <w:t>artigo 5º da lei nº 12.846/13</w:t>
      </w:r>
      <w:r>
        <w:rPr>
          <w:rStyle w:val="9"/>
          <w:color w:val="auto"/>
          <w:u w:val="none"/>
        </w:rPr>
        <w:fldChar w:fldCharType="end"/>
      </w:r>
      <w:r>
        <w:t>.</w:t>
      </w:r>
    </w:p>
    <w:p w14:paraId="1B98CF96">
      <w:pPr>
        <w:pStyle w:val="30"/>
      </w:pPr>
      <w:r>
        <w:rPr>
          <w:b/>
          <w:bCs/>
        </w:rPr>
        <w:t>9.2</w:t>
      </w:r>
      <w:r>
        <w:t xml:space="preserve"> Serão aplicadas ao contratado que incorrer nas infrações acima descritas as seguintes sanções:</w:t>
      </w:r>
    </w:p>
    <w:p w14:paraId="6D4B2ACF">
      <w:pPr>
        <w:suppressAutoHyphens/>
        <w:spacing w:before="120" w:after="120" w:line="276" w:lineRule="auto"/>
        <w:ind w:firstLine="567"/>
        <w:jc w:val="both"/>
        <w:rPr>
          <w:rFonts w:ascii="Cambria" w:hAnsi="Cambria" w:eastAsia="Arial" w:cs="Arial"/>
        </w:rPr>
      </w:pPr>
      <w:r>
        <w:rPr>
          <w:rFonts w:ascii="Cambria" w:hAnsi="Cambria" w:eastAsia="Arial" w:cs="Arial"/>
          <w:b/>
          <w:bCs/>
        </w:rPr>
        <w:t>I.</w:t>
      </w:r>
      <w:r>
        <w:rPr>
          <w:rFonts w:ascii="Cambria" w:hAnsi="Cambria" w:eastAsia="Arial" w:cs="Arial"/>
        </w:rPr>
        <w:t xml:space="preserve"> Advertência, quando o contratado der causa à inexecução parcial do contrato, sempre que não se justificar a imposição de penalidade mais grave ( § 2º, do </w:t>
      </w:r>
      <w:r>
        <w:fldChar w:fldCharType="begin"/>
      </w:r>
      <w:r>
        <w:instrText xml:space="preserve"> HYPERLINK "http://www.planalto.gov.br/ccivil_03/_ato2019-2022/2021/lei/L14133.htm" \l "art156§2" </w:instrText>
      </w:r>
      <w:r>
        <w:fldChar w:fldCharType="separate"/>
      </w:r>
      <w:r>
        <w:rPr>
          <w:rStyle w:val="9"/>
          <w:rFonts w:ascii="Cambria" w:hAnsi="Cambria" w:eastAsia="Arial" w:cs="Arial"/>
          <w:color w:val="auto"/>
          <w:u w:val="none"/>
        </w:rPr>
        <w:t xml:space="preserve">artigo 156, da </w:t>
      </w:r>
      <w:r>
        <w:fldChar w:fldCharType="begin"/>
      </w:r>
      <w:r>
        <w:instrText xml:space="preserve"> HYPERLINK "http://www.planalto.gov.br/ccivil_03/_ato2019-2022/2021/lei/L14133.htm" </w:instrText>
      </w:r>
      <w:r>
        <w:fldChar w:fldCharType="separate"/>
      </w:r>
      <w:r>
        <w:rPr>
          <w:rStyle w:val="9"/>
          <w:rFonts w:ascii="Cambria" w:hAnsi="Cambria"/>
          <w:color w:val="auto"/>
          <w:u w:val="none"/>
        </w:rPr>
        <w:t>Lei</w:t>
      </w:r>
      <w:r>
        <w:rPr>
          <w:rStyle w:val="9"/>
          <w:rFonts w:ascii="Cambria" w:hAnsi="Cambria"/>
          <w:color w:val="auto"/>
          <w:u w:val="none"/>
        </w:rPr>
        <w:fldChar w:fldCharType="end"/>
      </w:r>
      <w:r>
        <w:rPr>
          <w:rStyle w:val="9"/>
          <w:rFonts w:ascii="Cambria" w:hAnsi="Cambria"/>
          <w:color w:val="auto"/>
          <w:u w:val="none"/>
        </w:rPr>
        <w:t xml:space="preserve"> Federal nº 14.133, de 2021</w:t>
      </w:r>
      <w:r>
        <w:rPr>
          <w:rStyle w:val="9"/>
          <w:rFonts w:ascii="Cambria" w:hAnsi="Cambria"/>
          <w:color w:val="auto"/>
          <w:u w:val="none"/>
        </w:rPr>
        <w:fldChar w:fldCharType="end"/>
      </w:r>
      <w:r>
        <w:rPr>
          <w:rFonts w:ascii="Cambria" w:hAnsi="Cambria" w:eastAsia="Arial" w:cs="Arial"/>
        </w:rPr>
        <w:t>);</w:t>
      </w:r>
    </w:p>
    <w:p w14:paraId="77B6441A">
      <w:pPr>
        <w:suppressAutoHyphens/>
        <w:spacing w:before="120" w:after="120" w:line="276" w:lineRule="auto"/>
        <w:ind w:firstLine="567"/>
        <w:jc w:val="both"/>
        <w:rPr>
          <w:rFonts w:ascii="Cambria" w:hAnsi="Cambria" w:eastAsia="Arial" w:cs="Arial"/>
        </w:rPr>
      </w:pPr>
      <w:r>
        <w:rPr>
          <w:rFonts w:ascii="Cambria" w:hAnsi="Cambria" w:eastAsia="Arial" w:cs="Arial"/>
          <w:b/>
          <w:bCs/>
        </w:rPr>
        <w:t>II.</w:t>
      </w:r>
      <w:r>
        <w:rPr>
          <w:rFonts w:ascii="Cambria" w:hAnsi="Cambria" w:eastAsia="Arial" w:cs="Arial"/>
        </w:rPr>
        <w:t xml:space="preserve"> Impedimento de licitar e contratar, quando praticadas as condutas descritas nos incisos “II”, “III” e “IV” do subitem acima deste Contrato, sempre que não se justificar a imposição de penalidade mais grave (§ 4º, do </w:t>
      </w:r>
      <w:r>
        <w:fldChar w:fldCharType="begin"/>
      </w:r>
      <w:r>
        <w:instrText xml:space="preserve"> HYPERLINK "http://www.planalto.gov.br/ccivil_03/_ato2019-2022/2021/lei/L14133.htm" \l "art156§4" </w:instrText>
      </w:r>
      <w:r>
        <w:fldChar w:fldCharType="separate"/>
      </w:r>
      <w:r>
        <w:rPr>
          <w:rStyle w:val="9"/>
          <w:rFonts w:ascii="Cambria" w:hAnsi="Cambria" w:eastAsia="Arial" w:cs="Arial"/>
          <w:color w:val="auto"/>
          <w:u w:val="none"/>
        </w:rPr>
        <w:t xml:space="preserve">artigo 156, da </w:t>
      </w:r>
      <w:r>
        <w:fldChar w:fldCharType="begin"/>
      </w:r>
      <w:r>
        <w:instrText xml:space="preserve"> HYPERLINK "http://www.planalto.gov.br/ccivil_03/_ato2019-2022/2021/lei/L14133.htm" </w:instrText>
      </w:r>
      <w:r>
        <w:fldChar w:fldCharType="separate"/>
      </w:r>
      <w:r>
        <w:rPr>
          <w:rStyle w:val="9"/>
          <w:rFonts w:ascii="Cambria" w:hAnsi="Cambria"/>
          <w:color w:val="auto"/>
          <w:u w:val="none"/>
        </w:rPr>
        <w:t>Lei</w:t>
      </w:r>
      <w:r>
        <w:rPr>
          <w:rStyle w:val="9"/>
          <w:rFonts w:ascii="Cambria" w:hAnsi="Cambria"/>
          <w:color w:val="auto"/>
          <w:u w:val="none"/>
        </w:rPr>
        <w:fldChar w:fldCharType="end"/>
      </w:r>
      <w:r>
        <w:rPr>
          <w:rStyle w:val="9"/>
          <w:rFonts w:ascii="Cambria" w:hAnsi="Cambria"/>
          <w:color w:val="auto"/>
          <w:u w:val="none"/>
        </w:rPr>
        <w:t xml:space="preserve"> Federal nº 14.133, de 2021</w:t>
      </w:r>
      <w:r>
        <w:rPr>
          <w:rStyle w:val="9"/>
          <w:rFonts w:ascii="Cambria" w:hAnsi="Cambria"/>
          <w:color w:val="auto"/>
          <w:u w:val="none"/>
        </w:rPr>
        <w:fldChar w:fldCharType="end"/>
      </w:r>
      <w:r>
        <w:rPr>
          <w:rFonts w:ascii="Cambria" w:hAnsi="Cambria" w:eastAsia="Arial" w:cs="Arial"/>
        </w:rPr>
        <w:t>);</w:t>
      </w:r>
    </w:p>
    <w:p w14:paraId="54E75B0C">
      <w:pPr>
        <w:suppressAutoHyphens/>
        <w:spacing w:before="120" w:after="120" w:line="276" w:lineRule="auto"/>
        <w:ind w:firstLine="567"/>
        <w:jc w:val="both"/>
        <w:rPr>
          <w:rFonts w:ascii="Cambria" w:hAnsi="Cambria" w:eastAsia="Arial" w:cs="Arial"/>
        </w:rPr>
      </w:pPr>
      <w:r>
        <w:rPr>
          <w:rFonts w:ascii="Cambria" w:hAnsi="Cambria" w:eastAsia="Arial" w:cs="Arial"/>
          <w:b/>
          <w:bCs/>
        </w:rPr>
        <w:t>III.</w:t>
      </w:r>
      <w:r>
        <w:rPr>
          <w:rFonts w:ascii="Cambria" w:hAnsi="Cambria" w:eastAsia="Arial" w:cs="Arial"/>
        </w:rPr>
        <w:t xml:space="preserve"> Declaração de inidoneidade para licitar e contratar, quando praticadas as condutas descritas nos incisos “V”, “VI”, “VII” e “VIII” do subitem acima deste Contrato, bem como nos incisos “II”, “III” e “IV”, que justifiquem a imposição de penalidade mais grave (</w:t>
      </w:r>
      <w:r>
        <w:fldChar w:fldCharType="begin"/>
      </w:r>
      <w:r>
        <w:instrText xml:space="preserve"> HYPERLINK "http://www.planalto.gov.br/ccivil_03/_ato2019-2022/2021/lei/L14133.htm" \l "art156§5" </w:instrText>
      </w:r>
      <w:r>
        <w:fldChar w:fldCharType="separate"/>
      </w:r>
      <w:r>
        <w:rPr>
          <w:rStyle w:val="9"/>
          <w:rFonts w:ascii="Cambria" w:hAnsi="Cambria" w:eastAsia="Arial" w:cs="Arial"/>
          <w:color w:val="auto"/>
          <w:u w:val="none"/>
        </w:rPr>
        <w:t xml:space="preserve">artigo 156, §5º, da </w:t>
      </w:r>
      <w:r>
        <w:fldChar w:fldCharType="begin"/>
      </w:r>
      <w:r>
        <w:instrText xml:space="preserve"> HYPERLINK "http://www.planalto.gov.br/ccivil_03/_ato2019-2022/2021/lei/L14133.htm" </w:instrText>
      </w:r>
      <w:r>
        <w:fldChar w:fldCharType="separate"/>
      </w:r>
      <w:r>
        <w:rPr>
          <w:rStyle w:val="9"/>
          <w:rFonts w:ascii="Cambria" w:hAnsi="Cambria"/>
          <w:color w:val="auto"/>
          <w:u w:val="none"/>
        </w:rPr>
        <w:t>Lei</w:t>
      </w:r>
      <w:r>
        <w:rPr>
          <w:rStyle w:val="9"/>
          <w:rFonts w:ascii="Cambria" w:hAnsi="Cambria"/>
          <w:color w:val="auto"/>
          <w:u w:val="none"/>
        </w:rPr>
        <w:fldChar w:fldCharType="end"/>
      </w:r>
      <w:r>
        <w:rPr>
          <w:rStyle w:val="9"/>
          <w:rFonts w:ascii="Cambria" w:hAnsi="Cambria"/>
          <w:color w:val="auto"/>
          <w:u w:val="none"/>
        </w:rPr>
        <w:t xml:space="preserve"> Federal nº 14.133, de 2021</w:t>
      </w:r>
      <w:r>
        <w:rPr>
          <w:rStyle w:val="9"/>
          <w:rFonts w:ascii="Cambria" w:hAnsi="Cambria"/>
          <w:color w:val="auto"/>
          <w:u w:val="none"/>
        </w:rPr>
        <w:fldChar w:fldCharType="end"/>
      </w:r>
      <w:r>
        <w:rPr>
          <w:rFonts w:ascii="Cambria" w:hAnsi="Cambria" w:eastAsia="Arial" w:cs="Arial"/>
        </w:rPr>
        <w:t>).</w:t>
      </w:r>
    </w:p>
    <w:p w14:paraId="1C61FD1C">
      <w:pPr>
        <w:suppressAutoHyphens/>
        <w:spacing w:before="120" w:after="120" w:line="276" w:lineRule="auto"/>
        <w:ind w:firstLine="567"/>
        <w:jc w:val="both"/>
        <w:rPr>
          <w:rFonts w:ascii="Cambria" w:hAnsi="Cambria" w:eastAsia="Arial" w:cs="Arial"/>
        </w:rPr>
      </w:pPr>
      <w:r>
        <w:rPr>
          <w:rFonts w:ascii="Cambria" w:hAnsi="Cambria" w:eastAsia="Arial" w:cs="Arial"/>
          <w:b/>
          <w:bCs/>
        </w:rPr>
        <w:t>IV.</w:t>
      </w:r>
      <w:r>
        <w:rPr>
          <w:rFonts w:ascii="Cambria" w:hAnsi="Cambria" w:eastAsia="Arial" w:cs="Arial"/>
        </w:rPr>
        <w:t xml:space="preserve"> Multa:</w:t>
      </w:r>
    </w:p>
    <w:p w14:paraId="507CEDDC">
      <w:pPr>
        <w:suppressAutoHyphens/>
        <w:spacing w:before="120" w:after="120" w:line="276" w:lineRule="auto"/>
        <w:ind w:left="567" w:firstLine="567"/>
        <w:jc w:val="both"/>
        <w:rPr>
          <w:rFonts w:ascii="Cambria" w:hAnsi="Cambria" w:eastAsia="Arial" w:cs="Arial"/>
        </w:rPr>
      </w:pPr>
      <w:r>
        <w:rPr>
          <w:rFonts w:ascii="Cambria" w:hAnsi="Cambria" w:eastAsia="Arial" w:cs="Arial"/>
          <w:b/>
          <w:bCs/>
        </w:rPr>
        <w:t>a)</w:t>
      </w:r>
      <w:r>
        <w:rPr>
          <w:rFonts w:ascii="Cambria" w:hAnsi="Cambria" w:eastAsia="Arial" w:cs="Arial"/>
        </w:rPr>
        <w:t xml:space="preserve"> Moratória de 1,5 (um vírgula cinco por cento) por dia de atraso injustificado sobre o valor da parcela inadimplida, até o limite de 20 (vinte) dias;</w:t>
      </w:r>
    </w:p>
    <w:p w14:paraId="31D04A38">
      <w:pPr>
        <w:suppressAutoHyphens/>
        <w:spacing w:before="120" w:after="120" w:line="276" w:lineRule="auto"/>
        <w:ind w:left="1134" w:firstLine="567"/>
        <w:jc w:val="both"/>
        <w:rPr>
          <w:rFonts w:ascii="Cambria" w:hAnsi="Cambria" w:eastAsia="Arial" w:cs="Arial"/>
        </w:rPr>
      </w:pPr>
      <w:r>
        <w:rPr>
          <w:rFonts w:ascii="Cambria" w:hAnsi="Cambria" w:eastAsia="Arial" w:cs="Arial"/>
          <w:b/>
          <w:bCs/>
        </w:rPr>
        <w:t>1.</w:t>
      </w:r>
      <w:r>
        <w:rPr>
          <w:rFonts w:ascii="Cambria" w:hAnsi="Cambria" w:eastAsia="Arial" w:cs="Arial"/>
        </w:rPr>
        <w:t xml:space="preserve"> O atraso superior a 20 (vinte) dias autoriza a Administração a promover a extinção do contrato por descumprimento ou cumprimento irregular de suas cláusulas, conforme dispõe o inciso I, do art. 137, da Lei Federal nº 14.133, de 2021.</w:t>
      </w:r>
    </w:p>
    <w:p w14:paraId="3A568082">
      <w:pPr>
        <w:suppressAutoHyphens/>
        <w:spacing w:before="120" w:after="120" w:line="276" w:lineRule="auto"/>
        <w:ind w:left="567" w:firstLine="567"/>
        <w:jc w:val="both"/>
        <w:rPr>
          <w:rFonts w:ascii="Cambria" w:hAnsi="Cambria" w:eastAsia="Arial" w:cs="Arial"/>
        </w:rPr>
      </w:pPr>
      <w:r>
        <w:rPr>
          <w:rFonts w:ascii="Cambria" w:hAnsi="Cambria" w:eastAsia="Arial" w:cs="Arial"/>
          <w:b/>
          <w:bCs/>
        </w:rPr>
        <w:t xml:space="preserve">b) </w:t>
      </w:r>
      <w:r>
        <w:rPr>
          <w:rFonts w:ascii="Cambria" w:hAnsi="Cambria" w:eastAsia="Arial" w:cs="Arial"/>
        </w:rPr>
        <w:t>Compensatória de 30% (trinta por cento) sobre o valor total do contrato, no caso de inexecução total do objeto.</w:t>
      </w:r>
    </w:p>
    <w:p w14:paraId="7AAD2441">
      <w:pPr>
        <w:suppressAutoHyphens/>
        <w:spacing w:before="120" w:after="120" w:line="276" w:lineRule="auto"/>
        <w:ind w:left="567" w:firstLine="567"/>
        <w:jc w:val="both"/>
        <w:rPr>
          <w:rFonts w:ascii="Cambria" w:hAnsi="Cambria" w:eastAsia="Arial" w:cs="Arial"/>
        </w:rPr>
      </w:pPr>
      <w:r>
        <w:rPr>
          <w:rFonts w:ascii="Cambria" w:hAnsi="Cambria" w:eastAsia="Arial" w:cs="Arial"/>
          <w:b/>
          <w:bCs/>
        </w:rPr>
        <w:t>c)</w:t>
      </w:r>
      <w:r>
        <w:rPr>
          <w:rFonts w:ascii="Cambria" w:hAnsi="Cambria" w:eastAsia="Arial" w:cs="Arial"/>
        </w:rPr>
        <w:t xml:space="preserve"> Compensatória de 0,5% (cinco décimos por cento) até 20% (vinte por cento) sobre o valor total do contrato, no caso de inexecução parcial do objeto, avaliada a gravidade e o prejuízo causada pela infração cometida, aplicando-se os Princípios da Razoabilidade e Proporcionalidade.</w:t>
      </w:r>
    </w:p>
    <w:p w14:paraId="63BDE42A">
      <w:pPr>
        <w:pStyle w:val="30"/>
      </w:pPr>
      <w:r>
        <w:rPr>
          <w:b/>
          <w:bCs/>
        </w:rPr>
        <w:t>9.3</w:t>
      </w:r>
      <w:r>
        <w:t xml:space="preserve"> A aplicação das sanções previstas neste Contrato não exclui, em hipótese alguma, a obrigação de reparação integral do dano causado ao Contratante (§ 9º do </w:t>
      </w:r>
      <w:r>
        <w:fldChar w:fldCharType="begin"/>
      </w:r>
      <w:r>
        <w:instrText xml:space="preserve"> HYPERLINK "http://www.planalto.gov.br/ccivil_03/_ato2019-2022/2021/lei/L14133.htm" \l "art156§9" </w:instrText>
      </w:r>
      <w:r>
        <w:fldChar w:fldCharType="separate"/>
      </w:r>
      <w:r>
        <w:rPr>
          <w:rStyle w:val="9"/>
          <w:color w:val="auto"/>
          <w:u w:val="none"/>
        </w:rPr>
        <w:t xml:space="preserve">artigo 156, da </w:t>
      </w:r>
      <w:r>
        <w:fldChar w:fldCharType="begin"/>
      </w:r>
      <w:r>
        <w:instrText xml:space="preserve"> HYPERLINK "http://www.planalto.gov.br/ccivil_03/_ato2019-2022/2021/lei/L14133.htm" </w:instrText>
      </w:r>
      <w:r>
        <w:fldChar w:fldCharType="separate"/>
      </w:r>
      <w:r>
        <w:rPr>
          <w:rStyle w:val="9"/>
          <w:color w:val="auto"/>
          <w:u w:val="none"/>
        </w:rPr>
        <w:t>Lei</w:t>
      </w:r>
      <w:r>
        <w:rPr>
          <w:rStyle w:val="9"/>
          <w:color w:val="auto"/>
          <w:u w:val="none"/>
        </w:rPr>
        <w:fldChar w:fldCharType="end"/>
      </w:r>
      <w:r>
        <w:rPr>
          <w:rStyle w:val="9"/>
          <w:color w:val="auto"/>
          <w:u w:val="none"/>
        </w:rPr>
        <w:t xml:space="preserve"> Federal nº 14.133, de 2021</w:t>
      </w:r>
      <w:r>
        <w:rPr>
          <w:rStyle w:val="9"/>
          <w:color w:val="auto"/>
          <w:u w:val="none"/>
        </w:rPr>
        <w:fldChar w:fldCharType="end"/>
      </w:r>
      <w:r>
        <w:t>)</w:t>
      </w:r>
    </w:p>
    <w:p w14:paraId="06E717E5">
      <w:pPr>
        <w:pStyle w:val="32"/>
        <w:ind w:firstLine="0"/>
        <w:rPr>
          <w:b/>
          <w:bCs/>
        </w:rPr>
      </w:pPr>
      <w:r>
        <w:rPr>
          <w:b/>
          <w:bCs/>
        </w:rPr>
        <w:t xml:space="preserve">9.4 </w:t>
      </w:r>
      <w:r>
        <w:t xml:space="preserve">Todas as sanções previstas neste Contrato poderão ser aplicadas cumulativamente com a multa (§ 7º, do </w:t>
      </w:r>
      <w:r>
        <w:fldChar w:fldCharType="begin"/>
      </w:r>
      <w:r>
        <w:instrText xml:space="preserve"> HYPERLINK "http://www.planalto.gov.br/ccivil_03/_ato2019-2022/2021/lei/L14133.htm" \l "art156§7" </w:instrText>
      </w:r>
      <w:r>
        <w:fldChar w:fldCharType="separate"/>
      </w:r>
      <w:r>
        <w:rPr>
          <w:rStyle w:val="9"/>
          <w:color w:val="auto"/>
          <w:u w:val="none"/>
        </w:rPr>
        <w:t xml:space="preserve">artigo 156, da </w:t>
      </w:r>
      <w:r>
        <w:fldChar w:fldCharType="begin"/>
      </w:r>
      <w:r>
        <w:instrText xml:space="preserve"> HYPERLINK "http://www.planalto.gov.br/ccivil_03/_ato2019-2022/2021/lei/L14133.htm" </w:instrText>
      </w:r>
      <w:r>
        <w:fldChar w:fldCharType="separate"/>
      </w:r>
      <w:r>
        <w:rPr>
          <w:rStyle w:val="9"/>
          <w:color w:val="auto"/>
          <w:u w:val="none"/>
        </w:rPr>
        <w:t>Lei</w:t>
      </w:r>
      <w:r>
        <w:rPr>
          <w:rStyle w:val="9"/>
          <w:color w:val="auto"/>
          <w:u w:val="none"/>
        </w:rPr>
        <w:fldChar w:fldCharType="end"/>
      </w:r>
      <w:r>
        <w:rPr>
          <w:rStyle w:val="9"/>
          <w:color w:val="auto"/>
          <w:u w:val="none"/>
        </w:rPr>
        <w:t xml:space="preserve"> Federal nº 14.133, de 2021</w:t>
      </w:r>
      <w:r>
        <w:rPr>
          <w:rStyle w:val="9"/>
          <w:color w:val="auto"/>
          <w:u w:val="none"/>
        </w:rPr>
        <w:fldChar w:fldCharType="end"/>
      </w:r>
      <w:r>
        <w:t>).</w:t>
      </w:r>
    </w:p>
    <w:p w14:paraId="6A8C7099">
      <w:pPr>
        <w:pStyle w:val="32"/>
        <w:ind w:firstLine="0"/>
      </w:pPr>
      <w:r>
        <w:rPr>
          <w:b/>
          <w:bCs/>
        </w:rPr>
        <w:t>9.5</w:t>
      </w:r>
      <w:r>
        <w:t xml:space="preserve"> Antes da aplicação da multa será facultada a defesa do interessado no prazo de 15 (quinze) dias úteis, contado da data de sua intimação (</w:t>
      </w:r>
      <w:r>
        <w:fldChar w:fldCharType="begin"/>
      </w:r>
      <w:r>
        <w:instrText xml:space="preserve"> HYPERLINK "http://www.planalto.gov.br/ccivil_03/_ato2019-2022/2021/lei/L14133.htm" \l "art157" </w:instrText>
      </w:r>
      <w:r>
        <w:fldChar w:fldCharType="separate"/>
      </w:r>
      <w:r>
        <w:rPr>
          <w:rStyle w:val="9"/>
          <w:b/>
          <w:bCs/>
          <w:color w:val="auto"/>
          <w:u w:val="none"/>
        </w:rPr>
        <w:t xml:space="preserve">artigo 157, da </w:t>
      </w:r>
      <w:r>
        <w:fldChar w:fldCharType="begin"/>
      </w:r>
      <w:r>
        <w:instrText xml:space="preserve"> HYPERLINK "http://www.planalto.gov.br/ccivil_03/_ato2019-2022/2021/lei/L14133.htm" </w:instrText>
      </w:r>
      <w:r>
        <w:fldChar w:fldCharType="separate"/>
      </w:r>
      <w:r>
        <w:rPr>
          <w:rStyle w:val="9"/>
          <w:b/>
          <w:bCs/>
          <w:color w:val="auto"/>
          <w:u w:val="none"/>
        </w:rPr>
        <w:t>Lei</w:t>
      </w:r>
      <w:r>
        <w:rPr>
          <w:rStyle w:val="9"/>
          <w:b/>
          <w:bCs/>
          <w:color w:val="auto"/>
          <w:u w:val="none"/>
        </w:rPr>
        <w:fldChar w:fldCharType="end"/>
      </w:r>
      <w:r>
        <w:rPr>
          <w:rStyle w:val="9"/>
          <w:b/>
          <w:bCs/>
          <w:color w:val="auto"/>
          <w:u w:val="none"/>
        </w:rPr>
        <w:t xml:space="preserve"> Federal nº 14.133, de 2021</w:t>
      </w:r>
      <w:r>
        <w:rPr>
          <w:rStyle w:val="9"/>
          <w:b/>
          <w:bCs/>
          <w:color w:val="auto"/>
          <w:u w:val="none"/>
        </w:rPr>
        <w:fldChar w:fldCharType="end"/>
      </w:r>
      <w:r>
        <w:t>)</w:t>
      </w:r>
    </w:p>
    <w:p w14:paraId="28C89791">
      <w:pPr>
        <w:pStyle w:val="32"/>
        <w:ind w:firstLine="0"/>
      </w:pPr>
      <w:r>
        <w:rPr>
          <w:b/>
          <w:bCs/>
        </w:rPr>
        <w:t>9.6</w:t>
      </w:r>
      <w:r>
        <w:t xml:space="preserve"> Se a multa aplicada e as indenizações cabíveis forem superiores ao valor do pagamento eventualmente devido pelo Contratante ao Contratado, além da perda desse valor, a diferença será descontada da garantia prestada ou será cobrada judicialmente (§ 8º, do </w:t>
      </w:r>
      <w:r>
        <w:fldChar w:fldCharType="begin"/>
      </w:r>
      <w:r>
        <w:instrText xml:space="preserve"> HYPERLINK "http://www.planalto.gov.br/ccivil_03/_ato2019-2022/2021/lei/L14133.htm" \l "art156§8" </w:instrText>
      </w:r>
      <w:r>
        <w:fldChar w:fldCharType="separate"/>
      </w:r>
      <w:r>
        <w:rPr>
          <w:rStyle w:val="9"/>
          <w:b/>
          <w:bCs/>
          <w:color w:val="auto"/>
          <w:u w:val="none"/>
        </w:rPr>
        <w:t xml:space="preserve">artigo 156, da </w:t>
      </w:r>
      <w:r>
        <w:fldChar w:fldCharType="begin"/>
      </w:r>
      <w:r>
        <w:instrText xml:space="preserve"> HYPERLINK "http://www.planalto.gov.br/ccivil_03/_ato2019-2022/2021/lei/L14133.htm" </w:instrText>
      </w:r>
      <w:r>
        <w:fldChar w:fldCharType="separate"/>
      </w:r>
      <w:r>
        <w:rPr>
          <w:rStyle w:val="9"/>
          <w:b/>
          <w:bCs/>
          <w:color w:val="auto"/>
          <w:u w:val="none"/>
        </w:rPr>
        <w:t>Lei</w:t>
      </w:r>
      <w:r>
        <w:rPr>
          <w:rStyle w:val="9"/>
          <w:b/>
          <w:bCs/>
          <w:color w:val="auto"/>
          <w:u w:val="none"/>
        </w:rPr>
        <w:fldChar w:fldCharType="end"/>
      </w:r>
      <w:r>
        <w:rPr>
          <w:rStyle w:val="9"/>
          <w:b/>
          <w:bCs/>
          <w:color w:val="auto"/>
          <w:u w:val="none"/>
        </w:rPr>
        <w:t xml:space="preserve"> Federal nº 14.133, de 2021</w:t>
      </w:r>
      <w:r>
        <w:rPr>
          <w:rStyle w:val="9"/>
          <w:b/>
          <w:bCs/>
          <w:color w:val="auto"/>
          <w:u w:val="none"/>
        </w:rPr>
        <w:fldChar w:fldCharType="end"/>
      </w:r>
      <w:r>
        <w:t>).</w:t>
      </w:r>
    </w:p>
    <w:p w14:paraId="326B646D">
      <w:pPr>
        <w:pStyle w:val="32"/>
      </w:pPr>
      <w:r>
        <w:rPr>
          <w:b/>
          <w:bCs/>
        </w:rPr>
        <w:t>I.</w:t>
      </w:r>
      <w:r>
        <w:t xml:space="preserve"> Previamente ao encaminhamento à cobrança judicial, a multa poderá ser recolhida administrativamente no prazo máximo de 15 (quinze)</w:t>
      </w:r>
      <w:r>
        <w:rPr>
          <w:i/>
          <w:iCs/>
        </w:rPr>
        <w:t xml:space="preserve"> </w:t>
      </w:r>
      <w:r>
        <w:t>dias, a contar da data do recebimento da comunicação enviada pela autoridade competente.</w:t>
      </w:r>
      <w:bookmarkStart w:id="75" w:name="_Hlk78351618"/>
      <w:bookmarkEnd w:id="75"/>
    </w:p>
    <w:p w14:paraId="5CF87FC4">
      <w:pPr>
        <w:pStyle w:val="30"/>
      </w:pPr>
      <w:r>
        <w:rPr>
          <w:b/>
          <w:bCs/>
        </w:rPr>
        <w:t>9.7</w:t>
      </w:r>
      <w:r>
        <w:t xml:space="preserve"> A aplicação das sanções realizar-se-á em processo administrativo que assegure o contraditório e a ampla defesa ao Contratado, observando-se o procedimento previsto no caput e parágrafos do </w:t>
      </w:r>
      <w:r>
        <w:fldChar w:fldCharType="begin"/>
      </w:r>
      <w:r>
        <w:instrText xml:space="preserve"> HYPERLINK "http://www.planalto.gov.br/ccivil_03/_ato2019-2022/2021/lei/L14133.htm" \l "art158" </w:instrText>
      </w:r>
      <w:r>
        <w:fldChar w:fldCharType="separate"/>
      </w:r>
      <w:r>
        <w:rPr>
          <w:rStyle w:val="9"/>
          <w:color w:val="auto"/>
          <w:u w:val="none"/>
        </w:rPr>
        <w:t xml:space="preserve">artigo 158 da </w:t>
      </w:r>
      <w:r>
        <w:fldChar w:fldCharType="begin"/>
      </w:r>
      <w:r>
        <w:instrText xml:space="preserve"> HYPERLINK "http://www.planalto.gov.br/ccivil_03/_ato2019-2022/2021/lei/L14133.htm" </w:instrText>
      </w:r>
      <w:r>
        <w:fldChar w:fldCharType="separate"/>
      </w:r>
      <w:r>
        <w:rPr>
          <w:rStyle w:val="9"/>
          <w:color w:val="auto"/>
          <w:u w:val="none"/>
        </w:rPr>
        <w:t>Lei</w:t>
      </w:r>
      <w:r>
        <w:rPr>
          <w:rStyle w:val="9"/>
          <w:color w:val="auto"/>
          <w:u w:val="none"/>
        </w:rPr>
        <w:fldChar w:fldCharType="end"/>
      </w:r>
      <w:r>
        <w:rPr>
          <w:rStyle w:val="9"/>
          <w:color w:val="auto"/>
          <w:u w:val="none"/>
        </w:rPr>
        <w:t xml:space="preserve"> Federal nº 14.133, de 2021</w:t>
      </w:r>
      <w:r>
        <w:rPr>
          <w:rStyle w:val="9"/>
          <w:color w:val="auto"/>
          <w:u w:val="none"/>
        </w:rPr>
        <w:fldChar w:fldCharType="end"/>
      </w:r>
      <w:r>
        <w:t>, para as penalidades de impedimento de licitar e contratar e de declaração de inidoneidade para licitar ou contratar.</w:t>
      </w:r>
    </w:p>
    <w:p w14:paraId="444A57B2">
      <w:pPr>
        <w:pStyle w:val="30"/>
      </w:pPr>
      <w:r>
        <w:rPr>
          <w:b/>
          <w:bCs/>
        </w:rPr>
        <w:t>9.8</w:t>
      </w:r>
      <w:r>
        <w:t xml:space="preserve"> Na aplicação das sanções serão considerados (§ 1º, do </w:t>
      </w:r>
      <w:r>
        <w:fldChar w:fldCharType="begin"/>
      </w:r>
      <w:r>
        <w:instrText xml:space="preserve"> HYPERLINK "http://www.planalto.gov.br/ccivil_03/_ato2019-2022/2021/lei/L14133.htm" \l "art156§1" </w:instrText>
      </w:r>
      <w:r>
        <w:fldChar w:fldCharType="separate"/>
      </w:r>
      <w:r>
        <w:rPr>
          <w:rStyle w:val="9"/>
          <w:color w:val="auto"/>
          <w:u w:val="none"/>
        </w:rPr>
        <w:t xml:space="preserve">artigo 156, da </w:t>
      </w:r>
      <w:r>
        <w:fldChar w:fldCharType="begin"/>
      </w:r>
      <w:r>
        <w:instrText xml:space="preserve"> HYPERLINK "http://www.planalto.gov.br/ccivil_03/_ato2019-2022/2021/lei/L14133.htm" </w:instrText>
      </w:r>
      <w:r>
        <w:fldChar w:fldCharType="separate"/>
      </w:r>
      <w:r>
        <w:rPr>
          <w:rStyle w:val="9"/>
          <w:color w:val="auto"/>
          <w:u w:val="none"/>
        </w:rPr>
        <w:t>Lei</w:t>
      </w:r>
      <w:r>
        <w:rPr>
          <w:rStyle w:val="9"/>
          <w:color w:val="auto"/>
          <w:u w:val="none"/>
        </w:rPr>
        <w:fldChar w:fldCharType="end"/>
      </w:r>
      <w:r>
        <w:rPr>
          <w:rStyle w:val="9"/>
          <w:color w:val="auto"/>
          <w:u w:val="none"/>
        </w:rPr>
        <w:t xml:space="preserve"> Federal nº 14.133, de 2021</w:t>
      </w:r>
      <w:r>
        <w:rPr>
          <w:rStyle w:val="9"/>
          <w:color w:val="auto"/>
          <w:u w:val="none"/>
        </w:rPr>
        <w:fldChar w:fldCharType="end"/>
      </w:r>
      <w:r>
        <w:t>):</w:t>
      </w:r>
    </w:p>
    <w:p w14:paraId="73132B2B">
      <w:pPr>
        <w:suppressAutoHyphens/>
        <w:spacing w:before="120" w:after="120" w:line="276" w:lineRule="auto"/>
        <w:ind w:firstLine="567"/>
        <w:contextualSpacing/>
        <w:jc w:val="both"/>
        <w:rPr>
          <w:rFonts w:ascii="Cambria" w:hAnsi="Cambria" w:eastAsia="Arial" w:cs="Arial"/>
        </w:rPr>
      </w:pPr>
      <w:r>
        <w:rPr>
          <w:rFonts w:ascii="Cambria" w:hAnsi="Cambria" w:eastAsia="Arial" w:cs="Arial"/>
          <w:b/>
          <w:bCs/>
        </w:rPr>
        <w:t>I.</w:t>
      </w:r>
      <w:r>
        <w:rPr>
          <w:rFonts w:ascii="Cambria" w:hAnsi="Cambria" w:eastAsia="Arial" w:cs="Arial"/>
        </w:rPr>
        <w:t xml:space="preserve"> a natureza e a gravidade da infração cometida;</w:t>
      </w:r>
    </w:p>
    <w:p w14:paraId="416BF2DA">
      <w:pPr>
        <w:suppressAutoHyphens/>
        <w:spacing w:before="120" w:after="120" w:line="276" w:lineRule="auto"/>
        <w:ind w:firstLine="567"/>
        <w:contextualSpacing/>
        <w:jc w:val="both"/>
        <w:rPr>
          <w:rFonts w:ascii="Cambria" w:hAnsi="Cambria" w:eastAsia="Arial" w:cs="Arial"/>
        </w:rPr>
      </w:pPr>
      <w:r>
        <w:rPr>
          <w:rFonts w:ascii="Cambria" w:hAnsi="Cambria" w:eastAsia="Arial" w:cs="Arial"/>
          <w:b/>
          <w:bCs/>
        </w:rPr>
        <w:t>II.</w:t>
      </w:r>
      <w:r>
        <w:rPr>
          <w:rFonts w:ascii="Cambria" w:hAnsi="Cambria" w:eastAsia="Arial" w:cs="Arial"/>
        </w:rPr>
        <w:t xml:space="preserve"> as peculiaridades do caso concreto;</w:t>
      </w:r>
    </w:p>
    <w:p w14:paraId="65507421">
      <w:pPr>
        <w:suppressAutoHyphens/>
        <w:spacing w:before="120" w:after="120" w:line="276" w:lineRule="auto"/>
        <w:ind w:firstLine="567"/>
        <w:contextualSpacing/>
        <w:jc w:val="both"/>
        <w:rPr>
          <w:rFonts w:ascii="Cambria" w:hAnsi="Cambria" w:eastAsia="Arial" w:cs="Arial"/>
        </w:rPr>
      </w:pPr>
      <w:r>
        <w:rPr>
          <w:rFonts w:ascii="Cambria" w:hAnsi="Cambria" w:eastAsia="Arial" w:cs="Arial"/>
          <w:b/>
          <w:bCs/>
        </w:rPr>
        <w:t>III.</w:t>
      </w:r>
      <w:r>
        <w:rPr>
          <w:rFonts w:ascii="Cambria" w:hAnsi="Cambria" w:eastAsia="Arial" w:cs="Arial"/>
        </w:rPr>
        <w:t xml:space="preserve"> as circunstâncias agravantes ou atenuantes;</w:t>
      </w:r>
    </w:p>
    <w:p w14:paraId="5A83F525">
      <w:pPr>
        <w:suppressAutoHyphens/>
        <w:spacing w:before="120" w:after="120" w:line="276" w:lineRule="auto"/>
        <w:ind w:firstLine="567"/>
        <w:contextualSpacing/>
        <w:jc w:val="both"/>
        <w:rPr>
          <w:rFonts w:ascii="Cambria" w:hAnsi="Cambria" w:eastAsia="Arial" w:cs="Arial"/>
        </w:rPr>
      </w:pPr>
      <w:r>
        <w:rPr>
          <w:rFonts w:ascii="Cambria" w:hAnsi="Cambria" w:eastAsia="Arial" w:cs="Arial"/>
          <w:b/>
          <w:bCs/>
        </w:rPr>
        <w:t>IV.</w:t>
      </w:r>
      <w:r>
        <w:rPr>
          <w:rFonts w:ascii="Cambria" w:hAnsi="Cambria" w:eastAsia="Arial" w:cs="Arial"/>
        </w:rPr>
        <w:t xml:space="preserve"> os danos que dela provierem para o Contratante;</w:t>
      </w:r>
    </w:p>
    <w:p w14:paraId="13608082">
      <w:pPr>
        <w:suppressAutoHyphens/>
        <w:spacing w:before="120" w:after="120" w:line="276" w:lineRule="auto"/>
        <w:ind w:firstLine="567"/>
        <w:contextualSpacing/>
        <w:jc w:val="both"/>
        <w:rPr>
          <w:rFonts w:ascii="Cambria" w:hAnsi="Cambria" w:eastAsia="Arial" w:cs="Arial"/>
        </w:rPr>
      </w:pPr>
      <w:r>
        <w:rPr>
          <w:rFonts w:ascii="Cambria" w:hAnsi="Cambria" w:eastAsia="Arial" w:cs="Arial"/>
          <w:b/>
          <w:bCs/>
        </w:rPr>
        <w:t>V.</w:t>
      </w:r>
      <w:r>
        <w:rPr>
          <w:rFonts w:ascii="Cambria" w:hAnsi="Cambria" w:eastAsia="Arial" w:cs="Arial"/>
        </w:rPr>
        <w:t xml:space="preserve"> a implantação ou o aperfeiçoamento de programa de integridade, conforme normas e orientações dos órgãos de controle.</w:t>
      </w:r>
    </w:p>
    <w:p w14:paraId="782EBC90">
      <w:pPr>
        <w:pStyle w:val="30"/>
      </w:pPr>
      <w:r>
        <w:rPr>
          <w:b/>
          <w:bCs/>
        </w:rPr>
        <w:t>9.9</w:t>
      </w:r>
      <w:r>
        <w:t xml:space="preserve"> Os atos previstos como infrações administrativas na </w:t>
      </w:r>
      <w:r>
        <w:fldChar w:fldCharType="begin"/>
      </w:r>
      <w:r>
        <w:instrText xml:space="preserve"> HYPERLINK "http://www.planalto.gov.br/ccivil_03/_ato2019-2022/2021/lei/L14133.htm" </w:instrText>
      </w:r>
      <w:r>
        <w:fldChar w:fldCharType="separate"/>
      </w:r>
      <w:r>
        <w:rPr>
          <w:rStyle w:val="9"/>
          <w:color w:val="auto"/>
          <w:u w:val="none"/>
        </w:rPr>
        <w:t>Lei</w:t>
      </w:r>
      <w:r>
        <w:rPr>
          <w:rStyle w:val="9"/>
          <w:color w:val="auto"/>
          <w:u w:val="none"/>
        </w:rPr>
        <w:fldChar w:fldCharType="end"/>
      </w:r>
      <w:r>
        <w:rPr>
          <w:rStyle w:val="9"/>
          <w:color w:val="auto"/>
          <w:u w:val="none"/>
        </w:rPr>
        <w:t xml:space="preserve"> Federal nº 14.133, de 2021</w:t>
      </w:r>
      <w:r>
        <w:t xml:space="preserve">, ou em outras leis de licitações e contratos da Administração Pública que também sejam tipificados como atos lesivos na </w:t>
      </w:r>
      <w:r>
        <w:fldChar w:fldCharType="begin"/>
      </w:r>
      <w:r>
        <w:instrText xml:space="preserve"> HYPERLINK "https://www.planalto.gov.br/ccivil_03/_ato2011-2014/2013/lei/l12846.htm" </w:instrText>
      </w:r>
      <w:r>
        <w:fldChar w:fldCharType="separate"/>
      </w:r>
      <w:r>
        <w:rPr>
          <w:rStyle w:val="9"/>
          <w:color w:val="auto"/>
          <w:u w:val="none"/>
        </w:rPr>
        <w:t>Lei nº 12.846, de 2013</w:t>
      </w:r>
      <w:r>
        <w:rPr>
          <w:rStyle w:val="9"/>
          <w:color w:val="auto"/>
          <w:u w:val="none"/>
        </w:rPr>
        <w:fldChar w:fldCharType="end"/>
      </w:r>
      <w:r>
        <w:t>, serão apurados e julgados conjuntamente, nos mesmos autos, observados o rito procedimental e autoridade competente definidos na referida Lei (</w:t>
      </w:r>
      <w:r>
        <w:fldChar w:fldCharType="begin"/>
      </w:r>
      <w:r>
        <w:instrText xml:space="preserve"> HYPERLINK "http://www.planalto.gov.br/ccivil_03/_ato2019-2022/2021/lei/L14133.htm%25art159" </w:instrText>
      </w:r>
      <w:r>
        <w:fldChar w:fldCharType="separate"/>
      </w:r>
      <w:r>
        <w:rPr>
          <w:rStyle w:val="9"/>
          <w:color w:val="auto"/>
          <w:u w:val="none"/>
        </w:rPr>
        <w:t>artigo 159</w:t>
      </w:r>
      <w:r>
        <w:rPr>
          <w:rStyle w:val="9"/>
          <w:color w:val="auto"/>
          <w:u w:val="none"/>
        </w:rPr>
        <w:fldChar w:fldCharType="end"/>
      </w:r>
      <w:r>
        <w:t>).</w:t>
      </w:r>
    </w:p>
    <w:p w14:paraId="3404C923">
      <w:pPr>
        <w:pStyle w:val="30"/>
        <w:rPr>
          <w:i/>
          <w:iCs/>
        </w:rPr>
      </w:pPr>
      <w:r>
        <w:rPr>
          <w:b/>
          <w:bCs/>
        </w:rPr>
        <w:t>9.10</w:t>
      </w:r>
      <w:r>
        <w:t xml:space="preserve">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r>
        <w:fldChar w:fldCharType="begin"/>
      </w:r>
      <w:r>
        <w:instrText xml:space="preserve"> HYPERLINK "http://www.planalto.gov.br/ccivil_03/_ato2019-2022/2021/lei/L14133.htm" \l "art160" </w:instrText>
      </w:r>
      <w:r>
        <w:fldChar w:fldCharType="separate"/>
      </w:r>
      <w:r>
        <w:rPr>
          <w:rStyle w:val="9"/>
          <w:color w:val="auto"/>
          <w:u w:val="none"/>
        </w:rPr>
        <w:t xml:space="preserve">artigo 160, da </w:t>
      </w:r>
      <w:r>
        <w:fldChar w:fldCharType="begin"/>
      </w:r>
      <w:r>
        <w:instrText xml:space="preserve"> HYPERLINK "http://www.planalto.gov.br/ccivil_03/_ato2019-2022/2021/lei/L14133.htm" </w:instrText>
      </w:r>
      <w:r>
        <w:fldChar w:fldCharType="separate"/>
      </w:r>
      <w:r>
        <w:rPr>
          <w:rStyle w:val="9"/>
          <w:color w:val="auto"/>
          <w:u w:val="none"/>
        </w:rPr>
        <w:t>Lei</w:t>
      </w:r>
      <w:r>
        <w:rPr>
          <w:rStyle w:val="9"/>
          <w:color w:val="auto"/>
          <w:u w:val="none"/>
        </w:rPr>
        <w:fldChar w:fldCharType="end"/>
      </w:r>
      <w:r>
        <w:rPr>
          <w:rStyle w:val="9"/>
          <w:color w:val="auto"/>
          <w:u w:val="none"/>
        </w:rPr>
        <w:t xml:space="preserve"> Federal nº 14.133, de 2021</w:t>
      </w:r>
      <w:r>
        <w:rPr>
          <w:rStyle w:val="9"/>
          <w:color w:val="auto"/>
          <w:u w:val="none"/>
        </w:rPr>
        <w:fldChar w:fldCharType="end"/>
      </w:r>
      <w:r>
        <w:t>).</w:t>
      </w:r>
    </w:p>
    <w:p w14:paraId="36A5220D">
      <w:pPr>
        <w:pStyle w:val="30"/>
        <w:rPr>
          <w:i/>
          <w:iCs/>
        </w:rPr>
      </w:pPr>
      <w:r>
        <w:rPr>
          <w:b/>
          <w:bCs/>
        </w:rPr>
        <w:t>9.11</w:t>
      </w:r>
      <w: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r>
        <w:fldChar w:fldCharType="begin"/>
      </w:r>
      <w:r>
        <w:instrText xml:space="preserve"> HYPERLINK "http://www.planalto.gov.br/ccivil_03/_ato2019-2022/2021/lei/L14133.htm" \l "art161" </w:instrText>
      </w:r>
      <w:r>
        <w:fldChar w:fldCharType="separate"/>
      </w:r>
      <w:r>
        <w:rPr>
          <w:rStyle w:val="9"/>
          <w:color w:val="auto"/>
          <w:u w:val="none"/>
        </w:rPr>
        <w:t xml:space="preserve">Artigo 161, da </w:t>
      </w:r>
      <w:r>
        <w:fldChar w:fldCharType="begin"/>
      </w:r>
      <w:r>
        <w:instrText xml:space="preserve"> HYPERLINK "http://www.planalto.gov.br/ccivil_03/_ato2019-2022/2021/lei/L14133.htm" </w:instrText>
      </w:r>
      <w:r>
        <w:fldChar w:fldCharType="separate"/>
      </w:r>
      <w:r>
        <w:rPr>
          <w:rStyle w:val="9"/>
          <w:color w:val="auto"/>
          <w:u w:val="none"/>
        </w:rPr>
        <w:t>Lei</w:t>
      </w:r>
      <w:r>
        <w:rPr>
          <w:rStyle w:val="9"/>
          <w:color w:val="auto"/>
          <w:u w:val="none"/>
        </w:rPr>
        <w:fldChar w:fldCharType="end"/>
      </w:r>
      <w:r>
        <w:rPr>
          <w:rStyle w:val="9"/>
          <w:color w:val="auto"/>
          <w:u w:val="none"/>
        </w:rPr>
        <w:t xml:space="preserve"> Federal nº 14.133, de 2021</w:t>
      </w:r>
      <w:r>
        <w:rPr>
          <w:rStyle w:val="9"/>
          <w:color w:val="auto"/>
          <w:u w:val="none"/>
        </w:rPr>
        <w:fldChar w:fldCharType="end"/>
      </w:r>
      <w:r>
        <w:t>).</w:t>
      </w:r>
    </w:p>
    <w:p w14:paraId="78181A7F">
      <w:pPr>
        <w:pStyle w:val="30"/>
        <w:rPr>
          <w:i/>
          <w:iCs/>
        </w:rPr>
      </w:pPr>
      <w:r>
        <w:rPr>
          <w:b/>
          <w:bCs/>
        </w:rPr>
        <w:t>9.12</w:t>
      </w:r>
      <w:r>
        <w:t xml:space="preserve"> As sanções de impedimento de licitar e contratar e declaração de inidoneidade para licitar ou contratar são passíveis de reabilitação na forma do </w:t>
      </w:r>
      <w:r>
        <w:fldChar w:fldCharType="begin"/>
      </w:r>
      <w:r>
        <w:instrText xml:space="preserve"> HYPERLINK "http://www.planalto.gov.br/ccivil_03/_ato2019-2022/2021/lei/L14133.htm" \l "163" </w:instrText>
      </w:r>
      <w:r>
        <w:fldChar w:fldCharType="separate"/>
      </w:r>
      <w:r>
        <w:rPr>
          <w:rStyle w:val="9"/>
          <w:color w:val="auto"/>
          <w:u w:val="none"/>
        </w:rPr>
        <w:t>artigo 163 da</w:t>
      </w:r>
      <w:r>
        <w:rPr>
          <w:rStyle w:val="9"/>
          <w:color w:val="auto"/>
        </w:rPr>
        <w:t xml:space="preserve"> </w:t>
      </w:r>
      <w:r>
        <w:fldChar w:fldCharType="begin"/>
      </w:r>
      <w:r>
        <w:instrText xml:space="preserve"> HYPERLINK "http://www.planalto.gov.br/ccivil_03/_ato2019-2022/2021/lei/L14133.htm" </w:instrText>
      </w:r>
      <w:r>
        <w:fldChar w:fldCharType="separate"/>
      </w:r>
      <w:r>
        <w:rPr>
          <w:rStyle w:val="9"/>
          <w:color w:val="auto"/>
          <w:u w:val="none"/>
        </w:rPr>
        <w:t>Lei</w:t>
      </w:r>
      <w:r>
        <w:rPr>
          <w:rStyle w:val="9"/>
          <w:color w:val="auto"/>
          <w:u w:val="none"/>
        </w:rPr>
        <w:fldChar w:fldCharType="end"/>
      </w:r>
      <w:r>
        <w:rPr>
          <w:rStyle w:val="9"/>
          <w:color w:val="auto"/>
          <w:u w:val="none"/>
        </w:rPr>
        <w:t xml:space="preserve"> Federal nº 14.133, de 2021</w:t>
      </w:r>
      <w:r>
        <w:rPr>
          <w:rStyle w:val="9"/>
          <w:color w:val="auto"/>
          <w:u w:val="none"/>
        </w:rPr>
        <w:fldChar w:fldCharType="end"/>
      </w:r>
      <w:r>
        <w:t>.</w:t>
      </w:r>
    </w:p>
    <w:p w14:paraId="4FBD68CE">
      <w:pPr>
        <w:pStyle w:val="30"/>
      </w:pPr>
      <w:r>
        <w:rPr>
          <w:b/>
          <w:bCs/>
        </w:rPr>
        <w:t>9.13</w:t>
      </w:r>
      <w:r>
        <w:t xml:space="preserve"> 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32D94F98">
      <w:pPr>
        <w:pStyle w:val="12"/>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spacing w:after="240" w:line="276" w:lineRule="auto"/>
        <w:ind w:right="-1"/>
        <w:jc w:val="both"/>
        <w:rPr>
          <w:rFonts w:ascii="Cambria" w:hAnsi="Cambria"/>
          <w:b/>
          <w:sz w:val="22"/>
          <w:szCs w:val="22"/>
          <w:lang w:eastAsia="ar-SA"/>
        </w:rPr>
      </w:pPr>
      <w:r>
        <w:rPr>
          <w:rFonts w:ascii="Cambria" w:hAnsi="Cambria"/>
          <w:b/>
          <w:sz w:val="22"/>
          <w:szCs w:val="22"/>
        </w:rPr>
        <w:t>CLÁUSULA DÉCIMA – DA EXTINÇÃO CONTRATUAL </w:t>
      </w:r>
    </w:p>
    <w:p w14:paraId="75B65E40">
      <w:pPr>
        <w:pStyle w:val="30"/>
      </w:pPr>
      <w:r>
        <w:rPr>
          <w:b/>
          <w:bCs/>
        </w:rPr>
        <w:t>10.1</w:t>
      </w:r>
      <w:r>
        <w:t xml:space="preserve"> O contrato será extinto quando cumpridas as obrigações de ambas as partes, ainda que isso ocorra antes do prazo estipulado para tanto.</w:t>
      </w:r>
    </w:p>
    <w:p w14:paraId="704AAE17">
      <w:pPr>
        <w:pStyle w:val="30"/>
      </w:pPr>
      <w:r>
        <w:rPr>
          <w:b/>
          <w:bCs/>
        </w:rPr>
        <w:t>10.2</w:t>
      </w:r>
      <w:r>
        <w:t xml:space="preserve"> Se as obrigações não forem cumpridas no prazo estipulado, a vigência ficará prorrogada até a conclusão do objeto, caso em que deverá a Administração providenciar a readequação do cronograma fixado para o contrato.</w:t>
      </w:r>
    </w:p>
    <w:p w14:paraId="7C059779">
      <w:pPr>
        <w:pStyle w:val="32"/>
        <w:rPr>
          <w:i/>
          <w:iCs/>
        </w:rPr>
      </w:pPr>
      <w:r>
        <w:rPr>
          <w:b/>
          <w:bCs/>
        </w:rPr>
        <w:t>I.</w:t>
      </w:r>
      <w:r>
        <w:t xml:space="preserve"> Quando a não conclusão do contrato referida no item anterior decorrer de culpa do contratado:</w:t>
      </w:r>
    </w:p>
    <w:p w14:paraId="7D90E52E">
      <w:pPr>
        <w:suppressAutoHyphens/>
        <w:spacing w:before="120" w:after="120" w:line="276" w:lineRule="auto"/>
        <w:ind w:left="567" w:firstLine="567"/>
        <w:jc w:val="both"/>
        <w:rPr>
          <w:rFonts w:ascii="Cambria" w:hAnsi="Cambria" w:eastAsia="Arial" w:cs="Arial"/>
        </w:rPr>
      </w:pPr>
      <w:r>
        <w:rPr>
          <w:rFonts w:ascii="Cambria" w:hAnsi="Cambria" w:eastAsia="Arial" w:cs="Arial"/>
          <w:b/>
          <w:bCs/>
        </w:rPr>
        <w:t>a)</w:t>
      </w:r>
      <w:r>
        <w:rPr>
          <w:rFonts w:ascii="Cambria" w:hAnsi="Cambria" w:eastAsia="Arial" w:cs="Arial"/>
        </w:rPr>
        <w:t xml:space="preserve"> ficará ele constituído em mora, sendo-lhe aplicáveis as respectivas sanções administrativas; e </w:t>
      </w:r>
    </w:p>
    <w:p w14:paraId="3AB50907">
      <w:pPr>
        <w:suppressAutoHyphens/>
        <w:spacing w:before="120" w:after="120" w:line="276" w:lineRule="auto"/>
        <w:ind w:left="567" w:firstLine="567"/>
        <w:jc w:val="both"/>
        <w:rPr>
          <w:rFonts w:ascii="Cambria" w:hAnsi="Cambria" w:eastAsia="Arial" w:cs="Arial"/>
        </w:rPr>
      </w:pPr>
      <w:r>
        <w:rPr>
          <w:rFonts w:ascii="Cambria" w:hAnsi="Cambria" w:eastAsia="Arial" w:cs="Arial"/>
          <w:b/>
          <w:bCs/>
        </w:rPr>
        <w:t>b)</w:t>
      </w:r>
      <w:r>
        <w:rPr>
          <w:rFonts w:ascii="Cambria" w:hAnsi="Cambria" w:eastAsia="Arial" w:cs="Arial"/>
        </w:rPr>
        <w:t xml:space="preserve"> poderá a Administração optar pela extinção do contrato e, nesse caso, adotará as medidas admitidas em lei para a continuidade da execução contratual.</w:t>
      </w:r>
    </w:p>
    <w:p w14:paraId="4E281A00">
      <w:pPr>
        <w:pStyle w:val="30"/>
      </w:pPr>
      <w:r>
        <w:rPr>
          <w:b/>
          <w:bCs/>
        </w:rPr>
        <w:t>10.3</w:t>
      </w:r>
      <w:r>
        <w:t xml:space="preserve"> O contrato também será extinto quando vencido o prazo nele estipulado, independentemente de terem sido cumpridas ou não as obrigações de ambas as partes contraentes.</w:t>
      </w:r>
    </w:p>
    <w:p w14:paraId="737A3E46">
      <w:pPr>
        <w:pStyle w:val="32"/>
        <w:ind w:firstLine="0"/>
        <w:rPr>
          <w:i/>
          <w:iCs/>
        </w:rPr>
      </w:pPr>
      <w:r>
        <w:rPr>
          <w:b/>
          <w:bCs/>
        </w:rPr>
        <w:t>10.4</w:t>
      </w:r>
      <w:r>
        <w:t xml:space="preserve"> O contrato poderá ser extinto antes do prazo nele fixado, sem ônus para o Contratante, quando este não dispuser de créditos orçamentários para sua continuidade ou quando entender que o contrato não mais lhe oferece vantagem.</w:t>
      </w:r>
    </w:p>
    <w:p w14:paraId="33B40030">
      <w:pPr>
        <w:pStyle w:val="32"/>
        <w:rPr>
          <w:i/>
          <w:iCs/>
        </w:rPr>
      </w:pPr>
      <w:r>
        <w:rPr>
          <w:b/>
          <w:bCs/>
        </w:rPr>
        <w:t>I.</w:t>
      </w:r>
      <w:r>
        <w:t xml:space="preserve"> A extinção nesta hipótese ocorrerá na próxima data de aniversário do contrato, desde que haja a notificação do contratado pelo contratante nesse sentido com pelo menos 2 (dois) meses de antecedência desse dia.</w:t>
      </w:r>
    </w:p>
    <w:p w14:paraId="1B77F58D">
      <w:pPr>
        <w:pStyle w:val="32"/>
        <w:rPr>
          <w:i/>
          <w:iCs/>
        </w:rPr>
      </w:pPr>
      <w:r>
        <w:rPr>
          <w:b/>
          <w:bCs/>
        </w:rPr>
        <w:t>II.</w:t>
      </w:r>
      <w:r>
        <w:t xml:space="preserve"> Caso a notificação da não-continuidade do contrato de que trata este subitem ocorra com menos de 2 (dois) meses da data de aniversário, a extinção contratual ocorrerá após 2 (dois) meses da data da comunicação.</w:t>
      </w:r>
    </w:p>
    <w:p w14:paraId="6413D9F8">
      <w:pPr>
        <w:pStyle w:val="30"/>
      </w:pPr>
      <w:r>
        <w:rPr>
          <w:b/>
          <w:bCs/>
        </w:rPr>
        <w:t>10.5</w:t>
      </w:r>
      <w:r>
        <w:t xml:space="preserve"> O contrato poderá ser extinto antes de cumpridas as obrigações nele estipuladas, ou antes do prazo nele fixado, por algum dos motivos previstos no artigo 137, da </w:t>
      </w:r>
      <w:r>
        <w:fldChar w:fldCharType="begin"/>
      </w:r>
      <w:r>
        <w:instrText xml:space="preserve"> HYPERLINK "http://www.planalto.gov.br/ccivil_03/_ato2019-2022/2021/lei/L14133.htm" </w:instrText>
      </w:r>
      <w:r>
        <w:fldChar w:fldCharType="separate"/>
      </w:r>
      <w:r>
        <w:rPr>
          <w:rStyle w:val="9"/>
          <w:color w:val="auto"/>
          <w:u w:val="none"/>
        </w:rPr>
        <w:t>Lei</w:t>
      </w:r>
      <w:r>
        <w:rPr>
          <w:rStyle w:val="9"/>
          <w:color w:val="auto"/>
          <w:u w:val="none"/>
        </w:rPr>
        <w:fldChar w:fldCharType="end"/>
      </w:r>
      <w:r>
        <w:rPr>
          <w:rStyle w:val="9"/>
          <w:color w:val="auto"/>
          <w:u w:val="none"/>
        </w:rPr>
        <w:t xml:space="preserve"> Federal nº 14.133, de 2021</w:t>
      </w:r>
      <w:r>
        <w:t xml:space="preserve">, bem como amigavelmente, assegurados o contraditório e a ampla defesa. Conforme os artigos 138 e 139, ambos da </w:t>
      </w:r>
      <w:r>
        <w:fldChar w:fldCharType="begin"/>
      </w:r>
      <w:r>
        <w:instrText xml:space="preserve"> HYPERLINK "http://www.planalto.gov.br/ccivil_03/_ato2019-2022/2021/lei/L14133.htm" </w:instrText>
      </w:r>
      <w:r>
        <w:fldChar w:fldCharType="separate"/>
      </w:r>
      <w:r>
        <w:rPr>
          <w:rStyle w:val="9"/>
          <w:color w:val="auto"/>
          <w:u w:val="none"/>
        </w:rPr>
        <w:t>Lei</w:t>
      </w:r>
      <w:r>
        <w:rPr>
          <w:rStyle w:val="9"/>
          <w:color w:val="auto"/>
          <w:u w:val="none"/>
        </w:rPr>
        <w:fldChar w:fldCharType="end"/>
      </w:r>
      <w:r>
        <w:rPr>
          <w:rStyle w:val="9"/>
          <w:color w:val="auto"/>
          <w:u w:val="none"/>
        </w:rPr>
        <w:t xml:space="preserve"> Federal nº 14.133, de 2021</w:t>
      </w:r>
      <w:r>
        <w:t>.</w:t>
      </w:r>
    </w:p>
    <w:p w14:paraId="689DDE53">
      <w:pPr>
        <w:pStyle w:val="32"/>
        <w:ind w:firstLine="0"/>
      </w:pPr>
      <w:r>
        <w:rPr>
          <w:b/>
          <w:bCs/>
        </w:rPr>
        <w:t>10.6</w:t>
      </w:r>
      <w:r>
        <w:t xml:space="preserve"> A alteração social ou a modificação da finalidade ou da estrutura da empresa não ensejará a extinção se não restringir sua capacidade de concluir o contrato.</w:t>
      </w:r>
    </w:p>
    <w:p w14:paraId="0B671130">
      <w:pPr>
        <w:pStyle w:val="32"/>
      </w:pPr>
      <w:r>
        <w:rPr>
          <w:b/>
          <w:bCs/>
        </w:rPr>
        <w:t>I.</w:t>
      </w:r>
      <w:r>
        <w:t xml:space="preserve"> Se a operação implicar mudança da pessoa jurídica contratada, deverá ser formalizado termo aditivo para alteração subjetiva.</w:t>
      </w:r>
    </w:p>
    <w:p w14:paraId="0C0B1BA8">
      <w:pPr>
        <w:pStyle w:val="30"/>
      </w:pPr>
      <w:r>
        <w:rPr>
          <w:b/>
          <w:bCs/>
        </w:rPr>
        <w:t>10.7</w:t>
      </w:r>
      <w:r>
        <w:t xml:space="preserve"> O termo de extinção, sempre que possível, será precedido:</w:t>
      </w:r>
    </w:p>
    <w:p w14:paraId="2130BEDF">
      <w:pPr>
        <w:pStyle w:val="32"/>
      </w:pPr>
      <w:r>
        <w:rPr>
          <w:b/>
          <w:bCs/>
        </w:rPr>
        <w:t>I.</w:t>
      </w:r>
      <w:r>
        <w:t xml:space="preserve"> Balanço dos eventos contratuais já cumpridos ou parcialmente cumpridos;</w:t>
      </w:r>
    </w:p>
    <w:p w14:paraId="66172562">
      <w:pPr>
        <w:pStyle w:val="32"/>
      </w:pPr>
      <w:r>
        <w:rPr>
          <w:b/>
          <w:bCs/>
        </w:rPr>
        <w:t>II.</w:t>
      </w:r>
      <w:r>
        <w:t xml:space="preserve"> Relação dos pagamentos já efetuados e ainda devidos;</w:t>
      </w:r>
    </w:p>
    <w:p w14:paraId="21021F88">
      <w:pPr>
        <w:pStyle w:val="32"/>
      </w:pPr>
      <w:r>
        <w:rPr>
          <w:b/>
          <w:bCs/>
        </w:rPr>
        <w:t>III.</w:t>
      </w:r>
      <w:r>
        <w:t xml:space="preserve"> Indenizações e multas.</w:t>
      </w:r>
    </w:p>
    <w:p w14:paraId="698072B4">
      <w:pPr>
        <w:pStyle w:val="30"/>
      </w:pPr>
      <w:r>
        <w:rPr>
          <w:b/>
          <w:bCs/>
        </w:rPr>
        <w:t>10.8</w:t>
      </w:r>
      <w:r>
        <w:t xml:space="preserve"> A extinção do contrato não configura óbice para o reconhecimento do desequilíbrio econômico-financeiro, hipótese em que será concedida indenização por meio de termo indenizatório (caput, do artigo 131, da </w:t>
      </w:r>
      <w:r>
        <w:fldChar w:fldCharType="begin"/>
      </w:r>
      <w:r>
        <w:instrText xml:space="preserve"> HYPERLINK "http://www.planalto.gov.br/ccivil_03/_ato2019-2022/2021/lei/L14133.htm" </w:instrText>
      </w:r>
      <w:r>
        <w:fldChar w:fldCharType="separate"/>
      </w:r>
      <w:r>
        <w:rPr>
          <w:rStyle w:val="9"/>
          <w:color w:val="auto"/>
          <w:u w:val="none"/>
        </w:rPr>
        <w:t>Lei</w:t>
      </w:r>
      <w:r>
        <w:rPr>
          <w:rStyle w:val="9"/>
          <w:color w:val="auto"/>
          <w:u w:val="none"/>
        </w:rPr>
        <w:fldChar w:fldCharType="end"/>
      </w:r>
      <w:r>
        <w:rPr>
          <w:rStyle w:val="9"/>
          <w:color w:val="auto"/>
          <w:u w:val="none"/>
        </w:rPr>
        <w:t xml:space="preserve"> Federal nº 14.133, de 2021</w:t>
      </w:r>
      <w:r>
        <w:t xml:space="preserve">). </w:t>
      </w:r>
    </w:p>
    <w:p w14:paraId="7FBD5C79">
      <w:pPr>
        <w:pStyle w:val="30"/>
      </w:pPr>
      <w:r>
        <w:rPr>
          <w:b/>
          <w:bCs/>
        </w:rPr>
        <w:t>10.9</w:t>
      </w:r>
      <w:r>
        <w:t xml:space="preserve">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(inciso IV, do artigo 14, da </w:t>
      </w:r>
      <w:r>
        <w:fldChar w:fldCharType="begin"/>
      </w:r>
      <w:r>
        <w:instrText xml:space="preserve"> HYPERLINK "http://www.planalto.gov.br/ccivil_03/_ato2019-2022/2021/lei/L14133.htm" </w:instrText>
      </w:r>
      <w:r>
        <w:fldChar w:fldCharType="separate"/>
      </w:r>
      <w:r>
        <w:rPr>
          <w:rStyle w:val="9"/>
          <w:color w:val="auto"/>
          <w:u w:val="none"/>
        </w:rPr>
        <w:t>Lei</w:t>
      </w:r>
      <w:r>
        <w:rPr>
          <w:rStyle w:val="9"/>
          <w:color w:val="auto"/>
          <w:u w:val="none"/>
        </w:rPr>
        <w:fldChar w:fldCharType="end"/>
      </w:r>
      <w:r>
        <w:rPr>
          <w:rStyle w:val="9"/>
          <w:color w:val="auto"/>
          <w:u w:val="none"/>
        </w:rPr>
        <w:t xml:space="preserve"> Federal nº 14.133, de 2021</w:t>
      </w:r>
      <w:r>
        <w:t>).</w:t>
      </w:r>
    </w:p>
    <w:p w14:paraId="20115A26">
      <w:pPr>
        <w:pStyle w:val="12"/>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spacing w:after="240" w:line="276" w:lineRule="auto"/>
        <w:ind w:right="-1"/>
        <w:jc w:val="both"/>
        <w:rPr>
          <w:rFonts w:ascii="Cambria" w:hAnsi="Cambria"/>
          <w:b/>
          <w:sz w:val="22"/>
          <w:szCs w:val="22"/>
          <w:lang w:eastAsia="ar-SA"/>
        </w:rPr>
      </w:pPr>
      <w:r>
        <w:rPr>
          <w:rFonts w:ascii="Cambria" w:hAnsi="Cambria"/>
          <w:b/>
          <w:sz w:val="22"/>
          <w:szCs w:val="22"/>
        </w:rPr>
        <w:t>CLÁUSULA DÉCIMA PRIMEIRA – DA DOTAÇÃO ORÇAMENTÁRIA </w:t>
      </w:r>
    </w:p>
    <w:p w14:paraId="4E55ABAE">
      <w:pPr>
        <w:pStyle w:val="30"/>
      </w:pPr>
      <w:r>
        <w:rPr>
          <w:b/>
          <w:bCs/>
        </w:rPr>
        <w:t>11.1</w:t>
      </w:r>
      <w:r>
        <w:t xml:space="preserve"> As despesas decorrentes da presente contratação correrão à conta de recursos específicos consignados na Lei Orçamentária Anual, na dotação abaixo discriminada:</w:t>
      </w:r>
    </w:p>
    <w:tbl>
      <w:tblPr>
        <w:tblStyle w:val="4"/>
        <w:tblW w:w="93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4"/>
        <w:gridCol w:w="5812"/>
      </w:tblGrid>
      <w:tr w14:paraId="1E042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14:paraId="287BFE57">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Centro de Custo</w:t>
            </w:r>
          </w:p>
        </w:tc>
        <w:tc>
          <w:tcPr>
            <w:tcW w:w="5812" w:type="dxa"/>
            <w:vAlign w:val="center"/>
          </w:tcPr>
          <w:p w14:paraId="37D914EA">
            <w:pPr>
              <w:tabs>
                <w:tab w:val="left" w:pos="1701"/>
              </w:tabs>
              <w:spacing w:after="0" w:line="240" w:lineRule="auto"/>
              <w:jc w:val="center"/>
              <w:rPr>
                <w:rFonts w:ascii="Cambria" w:hAnsi="Cambria"/>
              </w:rPr>
            </w:pPr>
            <w:r>
              <w:rPr>
                <w:rFonts w:ascii="Cambria" w:hAnsi="Cambria"/>
              </w:rPr>
              <w:t>55.01.00000</w:t>
            </w:r>
          </w:p>
        </w:tc>
      </w:tr>
      <w:tr w14:paraId="1765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14:paraId="219FEB58">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Função/ Programa/ Ação</w:t>
            </w:r>
          </w:p>
        </w:tc>
        <w:tc>
          <w:tcPr>
            <w:tcW w:w="5812" w:type="dxa"/>
            <w:vAlign w:val="center"/>
          </w:tcPr>
          <w:p w14:paraId="0F144346">
            <w:pPr>
              <w:tabs>
                <w:tab w:val="left" w:pos="1701"/>
              </w:tabs>
              <w:spacing w:after="0" w:line="240" w:lineRule="auto"/>
              <w:jc w:val="center"/>
              <w:rPr>
                <w:rFonts w:ascii="Cambria" w:hAnsi="Cambria"/>
              </w:rPr>
            </w:pPr>
            <w:r>
              <w:rPr>
                <w:rFonts w:ascii="Cambria" w:hAnsi="Cambria"/>
              </w:rPr>
              <w:t>55.01.10.122.1007.2037</w:t>
            </w:r>
          </w:p>
        </w:tc>
      </w:tr>
      <w:tr w14:paraId="16C3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14:paraId="2BDF6F2E">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Elemento</w:t>
            </w:r>
          </w:p>
        </w:tc>
        <w:tc>
          <w:tcPr>
            <w:tcW w:w="5812" w:type="dxa"/>
            <w:vAlign w:val="center"/>
          </w:tcPr>
          <w:p w14:paraId="35B90A0F">
            <w:pPr>
              <w:tabs>
                <w:tab w:val="left" w:pos="1701"/>
              </w:tabs>
              <w:spacing w:after="0" w:line="240" w:lineRule="auto"/>
              <w:jc w:val="center"/>
              <w:rPr>
                <w:rFonts w:ascii="Cambria" w:hAnsi="Cambria"/>
              </w:rPr>
            </w:pPr>
            <w:r>
              <w:rPr>
                <w:rFonts w:ascii="Cambria" w:hAnsi="Cambria"/>
              </w:rPr>
              <w:t>3.3.90.30 – Material de Consumo</w:t>
            </w:r>
          </w:p>
        </w:tc>
      </w:tr>
      <w:tr w14:paraId="2F4E3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14:paraId="6BCA1083">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Subelemento</w:t>
            </w:r>
          </w:p>
        </w:tc>
        <w:tc>
          <w:tcPr>
            <w:tcW w:w="5812" w:type="dxa"/>
            <w:vAlign w:val="center"/>
          </w:tcPr>
          <w:p w14:paraId="41E86714">
            <w:pPr>
              <w:tabs>
                <w:tab w:val="left" w:pos="1701"/>
              </w:tabs>
              <w:spacing w:after="0" w:line="240" w:lineRule="auto"/>
              <w:jc w:val="center"/>
              <w:rPr>
                <w:rFonts w:ascii="Cambria" w:hAnsi="Cambria"/>
              </w:rPr>
            </w:pPr>
            <w:r>
              <w:rPr>
                <w:rFonts w:ascii="Cambria" w:hAnsi="Cambria"/>
              </w:rPr>
              <w:t>9 – Medicamentos</w:t>
            </w:r>
          </w:p>
          <w:p w14:paraId="0BC73CEA">
            <w:pPr>
              <w:tabs>
                <w:tab w:val="left" w:pos="1701"/>
              </w:tabs>
              <w:spacing w:after="0" w:line="240" w:lineRule="auto"/>
              <w:jc w:val="center"/>
              <w:rPr>
                <w:rFonts w:ascii="Cambria" w:hAnsi="Cambria"/>
              </w:rPr>
            </w:pPr>
            <w:r>
              <w:rPr>
                <w:rFonts w:ascii="Cambria" w:hAnsi="Cambria"/>
              </w:rPr>
              <w:t>35 – Material Laboratorial</w:t>
            </w:r>
          </w:p>
          <w:p w14:paraId="75789DE5">
            <w:pPr>
              <w:tabs>
                <w:tab w:val="left" w:pos="1701"/>
              </w:tabs>
              <w:spacing w:after="0" w:line="240" w:lineRule="auto"/>
              <w:jc w:val="center"/>
              <w:rPr>
                <w:rFonts w:ascii="Cambria" w:hAnsi="Cambria"/>
              </w:rPr>
            </w:pPr>
            <w:r>
              <w:rPr>
                <w:rFonts w:ascii="Cambria" w:hAnsi="Cambria"/>
              </w:rPr>
              <w:t>36 – Material Hospitalar</w:t>
            </w:r>
          </w:p>
        </w:tc>
      </w:tr>
      <w:tr w14:paraId="08212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14:paraId="67E994BC">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Ficha/ Fonte</w:t>
            </w:r>
          </w:p>
        </w:tc>
        <w:tc>
          <w:tcPr>
            <w:tcW w:w="5812" w:type="dxa"/>
            <w:vAlign w:val="center"/>
          </w:tcPr>
          <w:p w14:paraId="06FBE231">
            <w:pPr>
              <w:tabs>
                <w:tab w:val="left" w:pos="1701"/>
              </w:tabs>
              <w:spacing w:after="0" w:line="240" w:lineRule="auto"/>
              <w:jc w:val="center"/>
              <w:rPr>
                <w:rFonts w:ascii="Cambria" w:hAnsi="Cambria"/>
              </w:rPr>
            </w:pPr>
            <w:r>
              <w:rPr>
                <w:rFonts w:ascii="Cambria" w:hAnsi="Cambria"/>
              </w:rPr>
              <w:t>437.102.0</w:t>
            </w:r>
          </w:p>
        </w:tc>
      </w:tr>
      <w:tr w14:paraId="108D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6" w:type="dxa"/>
            <w:gridSpan w:val="2"/>
            <w:shd w:val="clear" w:color="auto" w:fill="D8D8D8" w:themeFill="background1" w:themeFillShade="D9"/>
            <w:vAlign w:val="center"/>
          </w:tcPr>
          <w:p w14:paraId="7B29E041">
            <w:pPr>
              <w:tabs>
                <w:tab w:val="left" w:pos="1701"/>
              </w:tabs>
              <w:spacing w:after="0" w:line="240" w:lineRule="auto"/>
              <w:jc w:val="center"/>
              <w:rPr>
                <w:rFonts w:ascii="Cambria" w:hAnsi="Cambria"/>
              </w:rPr>
            </w:pPr>
          </w:p>
        </w:tc>
      </w:tr>
      <w:tr w14:paraId="1A20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14:paraId="0FC677CC">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Centro de Custo</w:t>
            </w:r>
          </w:p>
        </w:tc>
        <w:tc>
          <w:tcPr>
            <w:tcW w:w="5812" w:type="dxa"/>
            <w:vAlign w:val="center"/>
          </w:tcPr>
          <w:p w14:paraId="4BEE903F">
            <w:pPr>
              <w:tabs>
                <w:tab w:val="left" w:pos="1701"/>
              </w:tabs>
              <w:spacing w:after="0" w:line="240" w:lineRule="auto"/>
              <w:jc w:val="center"/>
              <w:rPr>
                <w:rFonts w:ascii="Cambria" w:hAnsi="Cambria"/>
              </w:rPr>
            </w:pPr>
            <w:r>
              <w:rPr>
                <w:rFonts w:ascii="Cambria" w:hAnsi="Cambria"/>
              </w:rPr>
              <w:t>55.04.00000</w:t>
            </w:r>
          </w:p>
        </w:tc>
      </w:tr>
      <w:tr w14:paraId="6AD77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14:paraId="6E6CB3CB">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Função/ Programa/ Ação</w:t>
            </w:r>
          </w:p>
        </w:tc>
        <w:tc>
          <w:tcPr>
            <w:tcW w:w="5812" w:type="dxa"/>
            <w:vAlign w:val="center"/>
          </w:tcPr>
          <w:p w14:paraId="5B3A68E8">
            <w:pPr>
              <w:tabs>
                <w:tab w:val="left" w:pos="1701"/>
              </w:tabs>
              <w:spacing w:after="0" w:line="240" w:lineRule="auto"/>
              <w:jc w:val="center"/>
              <w:rPr>
                <w:rFonts w:ascii="Cambria" w:hAnsi="Cambria"/>
              </w:rPr>
            </w:pPr>
            <w:r>
              <w:rPr>
                <w:rFonts w:ascii="Cambria" w:hAnsi="Cambria"/>
              </w:rPr>
              <w:t>55.01.10.301.1007.2039</w:t>
            </w:r>
          </w:p>
        </w:tc>
      </w:tr>
      <w:tr w14:paraId="4A47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14:paraId="670AA730">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Elemento</w:t>
            </w:r>
          </w:p>
        </w:tc>
        <w:tc>
          <w:tcPr>
            <w:tcW w:w="5812" w:type="dxa"/>
            <w:vAlign w:val="center"/>
          </w:tcPr>
          <w:p w14:paraId="1EBCC112">
            <w:pPr>
              <w:tabs>
                <w:tab w:val="left" w:pos="1701"/>
              </w:tabs>
              <w:spacing w:after="0" w:line="240" w:lineRule="auto"/>
              <w:jc w:val="center"/>
              <w:rPr>
                <w:rFonts w:ascii="Cambria" w:hAnsi="Cambria"/>
              </w:rPr>
            </w:pPr>
            <w:r>
              <w:rPr>
                <w:rFonts w:ascii="Cambria" w:hAnsi="Cambria"/>
              </w:rPr>
              <w:t>3.3.90.30 – Material de Consumo</w:t>
            </w:r>
          </w:p>
        </w:tc>
      </w:tr>
      <w:tr w14:paraId="02E9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14:paraId="3426A5E0">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Subelemento</w:t>
            </w:r>
          </w:p>
        </w:tc>
        <w:tc>
          <w:tcPr>
            <w:tcW w:w="5812" w:type="dxa"/>
            <w:vAlign w:val="center"/>
          </w:tcPr>
          <w:p w14:paraId="49B6602F">
            <w:pPr>
              <w:tabs>
                <w:tab w:val="left" w:pos="1701"/>
              </w:tabs>
              <w:spacing w:after="0" w:line="240" w:lineRule="auto"/>
              <w:jc w:val="center"/>
              <w:rPr>
                <w:rFonts w:ascii="Cambria" w:hAnsi="Cambria"/>
              </w:rPr>
            </w:pPr>
            <w:r>
              <w:rPr>
                <w:rFonts w:ascii="Cambria" w:hAnsi="Cambria"/>
              </w:rPr>
              <w:t>9 – Medicamentos</w:t>
            </w:r>
          </w:p>
          <w:p w14:paraId="7494D4CC">
            <w:pPr>
              <w:tabs>
                <w:tab w:val="left" w:pos="1701"/>
              </w:tabs>
              <w:spacing w:after="0" w:line="240" w:lineRule="auto"/>
              <w:jc w:val="center"/>
              <w:rPr>
                <w:rFonts w:ascii="Cambria" w:hAnsi="Cambria"/>
              </w:rPr>
            </w:pPr>
            <w:r>
              <w:rPr>
                <w:rFonts w:ascii="Cambria" w:hAnsi="Cambria"/>
              </w:rPr>
              <w:t>35 – Material Laboratorial</w:t>
            </w:r>
          </w:p>
          <w:p w14:paraId="0CB47B44">
            <w:pPr>
              <w:tabs>
                <w:tab w:val="left" w:pos="1701"/>
              </w:tabs>
              <w:spacing w:after="0" w:line="240" w:lineRule="auto"/>
              <w:jc w:val="center"/>
              <w:rPr>
                <w:rFonts w:ascii="Cambria" w:hAnsi="Cambria"/>
              </w:rPr>
            </w:pPr>
            <w:r>
              <w:rPr>
                <w:rFonts w:ascii="Cambria" w:hAnsi="Cambria"/>
              </w:rPr>
              <w:t>36 – Material Hospitalar</w:t>
            </w:r>
          </w:p>
        </w:tc>
      </w:tr>
      <w:tr w14:paraId="4806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14:paraId="57020EE6">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Ficha/ Fonte</w:t>
            </w:r>
          </w:p>
        </w:tc>
        <w:tc>
          <w:tcPr>
            <w:tcW w:w="5812" w:type="dxa"/>
            <w:vAlign w:val="center"/>
          </w:tcPr>
          <w:p w14:paraId="050265C0">
            <w:pPr>
              <w:tabs>
                <w:tab w:val="left" w:pos="1701"/>
              </w:tabs>
              <w:spacing w:after="0" w:line="240" w:lineRule="auto"/>
              <w:jc w:val="center"/>
              <w:rPr>
                <w:rFonts w:ascii="Cambria" w:hAnsi="Cambria"/>
              </w:rPr>
            </w:pPr>
            <w:r>
              <w:rPr>
                <w:rFonts w:ascii="Cambria" w:hAnsi="Cambria"/>
              </w:rPr>
              <w:t>478.107.8</w:t>
            </w:r>
          </w:p>
        </w:tc>
      </w:tr>
      <w:tr w14:paraId="3A21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6" w:type="dxa"/>
            <w:gridSpan w:val="2"/>
            <w:shd w:val="clear" w:color="auto" w:fill="D8D8D8" w:themeFill="background1" w:themeFillShade="D9"/>
            <w:vAlign w:val="center"/>
          </w:tcPr>
          <w:p w14:paraId="31CDAAE1">
            <w:pPr>
              <w:tabs>
                <w:tab w:val="left" w:pos="1701"/>
              </w:tabs>
              <w:spacing w:after="0" w:line="240" w:lineRule="auto"/>
              <w:jc w:val="center"/>
              <w:rPr>
                <w:rFonts w:ascii="Cambria" w:hAnsi="Cambria"/>
              </w:rPr>
            </w:pPr>
          </w:p>
        </w:tc>
      </w:tr>
      <w:tr w14:paraId="0F63E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14:paraId="28B6074A">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Centro de Custo</w:t>
            </w:r>
          </w:p>
        </w:tc>
        <w:tc>
          <w:tcPr>
            <w:tcW w:w="5812" w:type="dxa"/>
            <w:vAlign w:val="center"/>
          </w:tcPr>
          <w:p w14:paraId="6A425FD9">
            <w:pPr>
              <w:tabs>
                <w:tab w:val="left" w:pos="1701"/>
              </w:tabs>
              <w:spacing w:after="0" w:line="240" w:lineRule="auto"/>
              <w:jc w:val="center"/>
              <w:rPr>
                <w:rFonts w:ascii="Cambria" w:hAnsi="Cambria"/>
              </w:rPr>
            </w:pPr>
            <w:r>
              <w:rPr>
                <w:rFonts w:ascii="Cambria" w:hAnsi="Cambria"/>
              </w:rPr>
              <w:t>55.03.00000</w:t>
            </w:r>
          </w:p>
        </w:tc>
      </w:tr>
      <w:tr w14:paraId="2A49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14:paraId="071466CE">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Função/ Programa/ Ação</w:t>
            </w:r>
          </w:p>
        </w:tc>
        <w:tc>
          <w:tcPr>
            <w:tcW w:w="5812" w:type="dxa"/>
            <w:vAlign w:val="center"/>
          </w:tcPr>
          <w:p w14:paraId="34B8A2C9">
            <w:pPr>
              <w:tabs>
                <w:tab w:val="left" w:pos="1701"/>
              </w:tabs>
              <w:spacing w:after="0" w:line="240" w:lineRule="auto"/>
              <w:jc w:val="center"/>
              <w:rPr>
                <w:rFonts w:ascii="Cambria" w:hAnsi="Cambria"/>
              </w:rPr>
            </w:pPr>
            <w:r>
              <w:rPr>
                <w:rFonts w:ascii="Cambria" w:hAnsi="Cambria"/>
              </w:rPr>
              <w:t>55.01.10.302.1007.2040</w:t>
            </w:r>
          </w:p>
        </w:tc>
      </w:tr>
      <w:tr w14:paraId="004B2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14:paraId="6BE92213">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Elemento</w:t>
            </w:r>
          </w:p>
        </w:tc>
        <w:tc>
          <w:tcPr>
            <w:tcW w:w="5812" w:type="dxa"/>
            <w:vAlign w:val="center"/>
          </w:tcPr>
          <w:p w14:paraId="69CD33DA">
            <w:pPr>
              <w:tabs>
                <w:tab w:val="left" w:pos="1701"/>
              </w:tabs>
              <w:spacing w:after="0" w:line="240" w:lineRule="auto"/>
              <w:jc w:val="center"/>
              <w:rPr>
                <w:rFonts w:ascii="Cambria" w:hAnsi="Cambria"/>
              </w:rPr>
            </w:pPr>
            <w:r>
              <w:rPr>
                <w:rFonts w:ascii="Cambria" w:hAnsi="Cambria"/>
              </w:rPr>
              <w:t>3.3.90.30 – Material de Consumo</w:t>
            </w:r>
          </w:p>
        </w:tc>
      </w:tr>
      <w:tr w14:paraId="176F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14:paraId="5D949ED9">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Subelemento</w:t>
            </w:r>
          </w:p>
        </w:tc>
        <w:tc>
          <w:tcPr>
            <w:tcW w:w="5812" w:type="dxa"/>
            <w:vAlign w:val="center"/>
          </w:tcPr>
          <w:p w14:paraId="299EDF0D">
            <w:pPr>
              <w:tabs>
                <w:tab w:val="left" w:pos="1701"/>
              </w:tabs>
              <w:spacing w:after="0" w:line="240" w:lineRule="auto"/>
              <w:jc w:val="center"/>
              <w:rPr>
                <w:rFonts w:ascii="Cambria" w:hAnsi="Cambria"/>
              </w:rPr>
            </w:pPr>
            <w:r>
              <w:rPr>
                <w:rFonts w:ascii="Cambria" w:hAnsi="Cambria"/>
              </w:rPr>
              <w:t>9 – Medicamentos</w:t>
            </w:r>
          </w:p>
          <w:p w14:paraId="4EDFAD05">
            <w:pPr>
              <w:tabs>
                <w:tab w:val="left" w:pos="1701"/>
              </w:tabs>
              <w:spacing w:after="0" w:line="240" w:lineRule="auto"/>
              <w:jc w:val="center"/>
              <w:rPr>
                <w:rFonts w:ascii="Cambria" w:hAnsi="Cambria"/>
              </w:rPr>
            </w:pPr>
            <w:r>
              <w:rPr>
                <w:rFonts w:ascii="Cambria" w:hAnsi="Cambria"/>
              </w:rPr>
              <w:t>35 – Material Laboratorial</w:t>
            </w:r>
          </w:p>
          <w:p w14:paraId="75FD749A">
            <w:pPr>
              <w:tabs>
                <w:tab w:val="left" w:pos="1701"/>
              </w:tabs>
              <w:spacing w:after="0" w:line="240" w:lineRule="auto"/>
              <w:jc w:val="center"/>
              <w:rPr>
                <w:rFonts w:ascii="Cambria" w:hAnsi="Cambria"/>
              </w:rPr>
            </w:pPr>
            <w:r>
              <w:rPr>
                <w:rFonts w:ascii="Cambria" w:hAnsi="Cambria"/>
              </w:rPr>
              <w:t>36 – Material Hospitalar</w:t>
            </w:r>
          </w:p>
        </w:tc>
      </w:tr>
      <w:tr w14:paraId="02B66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14:paraId="1DF85BF1">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Ficha/ Fonte</w:t>
            </w:r>
          </w:p>
        </w:tc>
        <w:tc>
          <w:tcPr>
            <w:tcW w:w="5812" w:type="dxa"/>
            <w:vAlign w:val="center"/>
          </w:tcPr>
          <w:p w14:paraId="5BEBDE27">
            <w:pPr>
              <w:tabs>
                <w:tab w:val="left" w:pos="1701"/>
              </w:tabs>
              <w:spacing w:after="0" w:line="240" w:lineRule="auto"/>
              <w:jc w:val="center"/>
              <w:rPr>
                <w:rFonts w:ascii="Cambria" w:hAnsi="Cambria"/>
              </w:rPr>
            </w:pPr>
            <w:r>
              <w:rPr>
                <w:rFonts w:ascii="Cambria" w:hAnsi="Cambria"/>
              </w:rPr>
              <w:t>491.102.0/ 107.0/ 107.20</w:t>
            </w:r>
          </w:p>
        </w:tc>
      </w:tr>
      <w:tr w14:paraId="101F3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6" w:type="dxa"/>
            <w:gridSpan w:val="2"/>
            <w:shd w:val="clear" w:color="auto" w:fill="D8D8D8" w:themeFill="background1" w:themeFillShade="D9"/>
            <w:vAlign w:val="center"/>
          </w:tcPr>
          <w:p w14:paraId="29C5461B">
            <w:pPr>
              <w:tabs>
                <w:tab w:val="left" w:pos="1701"/>
              </w:tabs>
              <w:spacing w:after="0" w:line="240" w:lineRule="auto"/>
              <w:jc w:val="center"/>
              <w:rPr>
                <w:rFonts w:ascii="Cambria" w:hAnsi="Cambria"/>
              </w:rPr>
            </w:pPr>
          </w:p>
        </w:tc>
      </w:tr>
      <w:tr w14:paraId="7CEE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14:paraId="19B41432">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Centro de Custo</w:t>
            </w:r>
          </w:p>
        </w:tc>
        <w:tc>
          <w:tcPr>
            <w:tcW w:w="5812" w:type="dxa"/>
            <w:vAlign w:val="center"/>
          </w:tcPr>
          <w:p w14:paraId="2C776F1F">
            <w:pPr>
              <w:tabs>
                <w:tab w:val="left" w:pos="1701"/>
              </w:tabs>
              <w:spacing w:after="0" w:line="240" w:lineRule="auto"/>
              <w:jc w:val="center"/>
              <w:rPr>
                <w:rFonts w:ascii="Cambria" w:hAnsi="Cambria"/>
              </w:rPr>
            </w:pPr>
            <w:r>
              <w:rPr>
                <w:rFonts w:ascii="Cambria" w:hAnsi="Cambria"/>
              </w:rPr>
              <w:t>55.03.00000</w:t>
            </w:r>
          </w:p>
        </w:tc>
      </w:tr>
      <w:tr w14:paraId="240CE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14:paraId="70E80226">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Função/ Programa/ Ação</w:t>
            </w:r>
          </w:p>
        </w:tc>
        <w:tc>
          <w:tcPr>
            <w:tcW w:w="5812" w:type="dxa"/>
            <w:vAlign w:val="center"/>
          </w:tcPr>
          <w:p w14:paraId="0FA76651">
            <w:pPr>
              <w:tabs>
                <w:tab w:val="left" w:pos="1701"/>
              </w:tabs>
              <w:spacing w:after="0" w:line="240" w:lineRule="auto"/>
              <w:jc w:val="center"/>
              <w:rPr>
                <w:rFonts w:ascii="Cambria" w:hAnsi="Cambria"/>
              </w:rPr>
            </w:pPr>
            <w:r>
              <w:rPr>
                <w:rFonts w:ascii="Cambria" w:hAnsi="Cambria"/>
              </w:rPr>
              <w:t>55.01.10.303.1007.2041</w:t>
            </w:r>
          </w:p>
        </w:tc>
      </w:tr>
      <w:tr w14:paraId="0144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14:paraId="1D9F44A0">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Elemento</w:t>
            </w:r>
          </w:p>
        </w:tc>
        <w:tc>
          <w:tcPr>
            <w:tcW w:w="5812" w:type="dxa"/>
            <w:vAlign w:val="center"/>
          </w:tcPr>
          <w:p w14:paraId="02188220">
            <w:pPr>
              <w:tabs>
                <w:tab w:val="left" w:pos="1701"/>
              </w:tabs>
              <w:spacing w:after="0" w:line="240" w:lineRule="auto"/>
              <w:jc w:val="center"/>
              <w:rPr>
                <w:rFonts w:ascii="Cambria" w:hAnsi="Cambria"/>
              </w:rPr>
            </w:pPr>
            <w:r>
              <w:rPr>
                <w:rFonts w:ascii="Cambria" w:hAnsi="Cambria"/>
              </w:rPr>
              <w:t>3.3.90.30 – Material de Consumo</w:t>
            </w:r>
          </w:p>
        </w:tc>
      </w:tr>
      <w:tr w14:paraId="553E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14:paraId="424D6557">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Subelemento</w:t>
            </w:r>
          </w:p>
        </w:tc>
        <w:tc>
          <w:tcPr>
            <w:tcW w:w="5812" w:type="dxa"/>
            <w:vAlign w:val="center"/>
          </w:tcPr>
          <w:p w14:paraId="2E35829B">
            <w:pPr>
              <w:tabs>
                <w:tab w:val="left" w:pos="1701"/>
              </w:tabs>
              <w:spacing w:after="0" w:line="240" w:lineRule="auto"/>
              <w:jc w:val="center"/>
              <w:rPr>
                <w:rFonts w:ascii="Cambria" w:hAnsi="Cambria"/>
              </w:rPr>
            </w:pPr>
            <w:r>
              <w:rPr>
                <w:rFonts w:ascii="Cambria" w:hAnsi="Cambria"/>
              </w:rPr>
              <w:t>9 – Medicamentos</w:t>
            </w:r>
          </w:p>
          <w:p w14:paraId="55E05065">
            <w:pPr>
              <w:tabs>
                <w:tab w:val="left" w:pos="1701"/>
              </w:tabs>
              <w:spacing w:after="0" w:line="240" w:lineRule="auto"/>
              <w:jc w:val="center"/>
              <w:rPr>
                <w:rFonts w:ascii="Cambria" w:hAnsi="Cambria"/>
              </w:rPr>
            </w:pPr>
            <w:r>
              <w:rPr>
                <w:rFonts w:ascii="Cambria" w:hAnsi="Cambria"/>
              </w:rPr>
              <w:t>35 – Material Laboratorial</w:t>
            </w:r>
          </w:p>
          <w:p w14:paraId="19791599">
            <w:pPr>
              <w:tabs>
                <w:tab w:val="left" w:pos="1701"/>
              </w:tabs>
              <w:spacing w:after="0" w:line="240" w:lineRule="auto"/>
              <w:jc w:val="center"/>
              <w:rPr>
                <w:rFonts w:ascii="Cambria" w:hAnsi="Cambria"/>
              </w:rPr>
            </w:pPr>
            <w:r>
              <w:rPr>
                <w:rFonts w:ascii="Cambria" w:hAnsi="Cambria"/>
              </w:rPr>
              <w:t>36 – Material Hospitalar</w:t>
            </w:r>
          </w:p>
        </w:tc>
      </w:tr>
      <w:tr w14:paraId="57380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14:paraId="54DFD86D">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Ficha/ Fonte</w:t>
            </w:r>
          </w:p>
        </w:tc>
        <w:tc>
          <w:tcPr>
            <w:tcW w:w="5812" w:type="dxa"/>
            <w:vAlign w:val="center"/>
          </w:tcPr>
          <w:p w14:paraId="2A7EA2CB">
            <w:pPr>
              <w:tabs>
                <w:tab w:val="left" w:pos="1701"/>
              </w:tabs>
              <w:spacing w:after="0" w:line="240" w:lineRule="auto"/>
              <w:jc w:val="center"/>
              <w:rPr>
                <w:rFonts w:ascii="Cambria" w:hAnsi="Cambria"/>
              </w:rPr>
            </w:pPr>
            <w:r>
              <w:rPr>
                <w:rFonts w:ascii="Cambria" w:hAnsi="Cambria"/>
              </w:rPr>
              <w:t>497.107.13</w:t>
            </w:r>
          </w:p>
        </w:tc>
      </w:tr>
      <w:tr w14:paraId="124A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6" w:type="dxa"/>
            <w:gridSpan w:val="2"/>
            <w:shd w:val="clear" w:color="auto" w:fill="D8D8D8" w:themeFill="background1" w:themeFillShade="D9"/>
            <w:vAlign w:val="center"/>
          </w:tcPr>
          <w:p w14:paraId="1C660E98">
            <w:pPr>
              <w:tabs>
                <w:tab w:val="left" w:pos="1701"/>
              </w:tabs>
              <w:spacing w:after="0" w:line="240" w:lineRule="auto"/>
              <w:jc w:val="center"/>
              <w:rPr>
                <w:rFonts w:ascii="Cambria" w:hAnsi="Cambria"/>
              </w:rPr>
            </w:pPr>
          </w:p>
        </w:tc>
      </w:tr>
      <w:tr w14:paraId="2865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14:paraId="5224E842">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Centro de Custo</w:t>
            </w:r>
          </w:p>
        </w:tc>
        <w:tc>
          <w:tcPr>
            <w:tcW w:w="5812" w:type="dxa"/>
            <w:vAlign w:val="center"/>
          </w:tcPr>
          <w:p w14:paraId="6CEF037E">
            <w:pPr>
              <w:tabs>
                <w:tab w:val="left" w:pos="1701"/>
              </w:tabs>
              <w:spacing w:after="0" w:line="240" w:lineRule="auto"/>
              <w:jc w:val="center"/>
              <w:rPr>
                <w:rFonts w:ascii="Cambria" w:hAnsi="Cambria"/>
              </w:rPr>
            </w:pPr>
            <w:r>
              <w:rPr>
                <w:rFonts w:ascii="Cambria" w:hAnsi="Cambria"/>
              </w:rPr>
              <w:t>55.02.00000</w:t>
            </w:r>
          </w:p>
        </w:tc>
      </w:tr>
      <w:tr w14:paraId="163B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14:paraId="6633986F">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Função/ Programa/ Ação</w:t>
            </w:r>
          </w:p>
        </w:tc>
        <w:tc>
          <w:tcPr>
            <w:tcW w:w="5812" w:type="dxa"/>
            <w:vAlign w:val="center"/>
          </w:tcPr>
          <w:p w14:paraId="646BCA44">
            <w:pPr>
              <w:tabs>
                <w:tab w:val="left" w:pos="1701"/>
              </w:tabs>
              <w:spacing w:after="0" w:line="240" w:lineRule="auto"/>
              <w:jc w:val="center"/>
              <w:rPr>
                <w:rFonts w:ascii="Cambria" w:hAnsi="Cambria"/>
              </w:rPr>
            </w:pPr>
            <w:r>
              <w:rPr>
                <w:rFonts w:ascii="Cambria" w:hAnsi="Cambria"/>
              </w:rPr>
              <w:t>55.01.10.304.1007.2042</w:t>
            </w:r>
          </w:p>
        </w:tc>
      </w:tr>
      <w:tr w14:paraId="1F57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14:paraId="02E2099A">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Elemento</w:t>
            </w:r>
          </w:p>
        </w:tc>
        <w:tc>
          <w:tcPr>
            <w:tcW w:w="5812" w:type="dxa"/>
            <w:vAlign w:val="center"/>
          </w:tcPr>
          <w:p w14:paraId="3496FC3D">
            <w:pPr>
              <w:tabs>
                <w:tab w:val="left" w:pos="1701"/>
              </w:tabs>
              <w:spacing w:after="0" w:line="240" w:lineRule="auto"/>
              <w:jc w:val="center"/>
              <w:rPr>
                <w:rFonts w:ascii="Cambria" w:hAnsi="Cambria"/>
              </w:rPr>
            </w:pPr>
            <w:r>
              <w:rPr>
                <w:rFonts w:ascii="Cambria" w:hAnsi="Cambria"/>
              </w:rPr>
              <w:t>3.3.90.30 – Material de Consumo</w:t>
            </w:r>
          </w:p>
        </w:tc>
      </w:tr>
      <w:tr w14:paraId="146D8D9B">
        <w:tblPrEx>
          <w:tblCellMar>
            <w:top w:w="0" w:type="dxa"/>
            <w:left w:w="108" w:type="dxa"/>
            <w:bottom w:w="0" w:type="dxa"/>
            <w:right w:w="108" w:type="dxa"/>
          </w:tblCellMar>
        </w:tblPrEx>
        <w:tc>
          <w:tcPr>
            <w:tcW w:w="3544" w:type="dxa"/>
            <w:vAlign w:val="center"/>
          </w:tcPr>
          <w:p w14:paraId="79C3C84A">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Subelemento</w:t>
            </w:r>
          </w:p>
        </w:tc>
        <w:tc>
          <w:tcPr>
            <w:tcW w:w="5812" w:type="dxa"/>
            <w:vAlign w:val="center"/>
          </w:tcPr>
          <w:p w14:paraId="66E7A635">
            <w:pPr>
              <w:tabs>
                <w:tab w:val="left" w:pos="1701"/>
              </w:tabs>
              <w:spacing w:after="0" w:line="240" w:lineRule="auto"/>
              <w:jc w:val="center"/>
              <w:rPr>
                <w:rFonts w:ascii="Cambria" w:hAnsi="Cambria"/>
              </w:rPr>
            </w:pPr>
            <w:r>
              <w:rPr>
                <w:rFonts w:ascii="Cambria" w:hAnsi="Cambria"/>
              </w:rPr>
              <w:t>9 – Medicamentos</w:t>
            </w:r>
          </w:p>
          <w:p w14:paraId="5FE02BAC">
            <w:pPr>
              <w:tabs>
                <w:tab w:val="left" w:pos="1701"/>
              </w:tabs>
              <w:spacing w:after="0" w:line="240" w:lineRule="auto"/>
              <w:jc w:val="center"/>
              <w:rPr>
                <w:rFonts w:ascii="Cambria" w:hAnsi="Cambria"/>
              </w:rPr>
            </w:pPr>
            <w:r>
              <w:rPr>
                <w:rFonts w:ascii="Cambria" w:hAnsi="Cambria"/>
              </w:rPr>
              <w:t>35 – Material Laboratorial</w:t>
            </w:r>
          </w:p>
          <w:p w14:paraId="35F85F52">
            <w:pPr>
              <w:tabs>
                <w:tab w:val="left" w:pos="1701"/>
              </w:tabs>
              <w:spacing w:after="0" w:line="240" w:lineRule="auto"/>
              <w:jc w:val="center"/>
              <w:rPr>
                <w:rFonts w:ascii="Cambria" w:hAnsi="Cambria"/>
              </w:rPr>
            </w:pPr>
            <w:r>
              <w:rPr>
                <w:rFonts w:ascii="Cambria" w:hAnsi="Cambria"/>
              </w:rPr>
              <w:t>36 – Material Hospitalar</w:t>
            </w:r>
          </w:p>
        </w:tc>
      </w:tr>
      <w:tr w14:paraId="7BA1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14:paraId="49DE2B5B">
            <w:pPr>
              <w:tabs>
                <w:tab w:val="left" w:pos="1701"/>
              </w:tabs>
              <w:spacing w:after="0" w:line="240" w:lineRule="auto"/>
              <w:jc w:val="both"/>
              <w:rPr>
                <w:rFonts w:ascii="Cambria" w:hAnsi="Cambria"/>
                <w14:shadow w14:blurRad="50800" w14:dist="38100" w14:dir="2700000" w14:sx="100000" w14:sy="100000" w14:kx="0" w14:ky="0" w14:algn="tl">
                  <w14:srgbClr w14:val="000000">
                    <w14:alpha w14:val="60000"/>
                  </w14:srgbClr>
                </w14:shadow>
              </w:rPr>
            </w:pPr>
            <w:r>
              <w:rPr>
                <w:rFonts w:ascii="Cambria" w:hAnsi="Cambria"/>
                <w14:shadow w14:blurRad="50800" w14:dist="38100" w14:dir="2700000" w14:sx="100000" w14:sy="100000" w14:kx="0" w14:ky="0" w14:algn="tl">
                  <w14:srgbClr w14:val="000000">
                    <w14:alpha w14:val="60000"/>
                  </w14:srgbClr>
                </w14:shadow>
              </w:rPr>
              <w:t>Ficha/ Fonte</w:t>
            </w:r>
          </w:p>
        </w:tc>
        <w:tc>
          <w:tcPr>
            <w:tcW w:w="5812" w:type="dxa"/>
            <w:vAlign w:val="center"/>
          </w:tcPr>
          <w:p w14:paraId="6B3216CD">
            <w:pPr>
              <w:tabs>
                <w:tab w:val="left" w:pos="1701"/>
              </w:tabs>
              <w:spacing w:after="0" w:line="240" w:lineRule="auto"/>
              <w:jc w:val="center"/>
              <w:rPr>
                <w:rFonts w:ascii="Cambria" w:hAnsi="Cambria"/>
              </w:rPr>
            </w:pPr>
            <w:r>
              <w:rPr>
                <w:rFonts w:ascii="Cambria" w:hAnsi="Cambria"/>
              </w:rPr>
              <w:t>503.107.15</w:t>
            </w:r>
          </w:p>
        </w:tc>
      </w:tr>
    </w:tbl>
    <w:p w14:paraId="08A22062">
      <w:pPr>
        <w:pStyle w:val="30"/>
      </w:pPr>
      <w:r>
        <w:rPr>
          <w:b/>
          <w:bCs/>
        </w:rPr>
        <w:t>11.2</w:t>
      </w:r>
      <w:r>
        <w:t xml:space="preserve"> A dotação relativa aos exercícios financeiros subsequentes será indicada após aprovação da Lei Orçamentária respectiva e liberação dos créditos correspondentes, mediante apostilamento.</w:t>
      </w:r>
    </w:p>
    <w:p w14:paraId="1E8D9A03">
      <w:pPr>
        <w:pStyle w:val="12"/>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tabs>
          <w:tab w:val="left" w:pos="3119"/>
        </w:tabs>
        <w:spacing w:before="0" w:after="240" w:line="276" w:lineRule="auto"/>
        <w:ind w:right="-1"/>
        <w:rPr>
          <w:rFonts w:ascii="Cambria" w:hAnsi="Cambria"/>
          <w:b/>
          <w:sz w:val="22"/>
          <w:szCs w:val="22"/>
        </w:rPr>
      </w:pPr>
      <w:r>
        <w:rPr>
          <w:rFonts w:ascii="Cambria" w:hAnsi="Cambria"/>
          <w:b/>
          <w:sz w:val="22"/>
          <w:szCs w:val="22"/>
        </w:rPr>
        <w:t>CLÁUSULA DÉCIMA SEGUNDA – DOS CASOS OMISSOS</w:t>
      </w:r>
    </w:p>
    <w:p w14:paraId="0B8EC483">
      <w:pPr>
        <w:tabs>
          <w:tab w:val="left" w:pos="3119"/>
        </w:tabs>
        <w:spacing w:after="240" w:line="276" w:lineRule="auto"/>
        <w:ind w:right="-1"/>
        <w:jc w:val="both"/>
        <w:rPr>
          <w:rFonts w:ascii="Cambria" w:hAnsi="Cambria"/>
        </w:rPr>
      </w:pPr>
      <w:r>
        <w:rPr>
          <w:rFonts w:ascii="Cambria" w:hAnsi="Cambria"/>
          <w:b/>
          <w:bCs/>
        </w:rPr>
        <w:t>12.1</w:t>
      </w:r>
      <w:r>
        <w:rPr>
          <w:rFonts w:ascii="Cambria" w:hAnsi="Cambria"/>
        </w:rPr>
        <w:t xml:space="preserve"> Os casos omissos serão decididos pelo contratante, segundo as disposições contidas na </w:t>
      </w:r>
      <w:r>
        <w:fldChar w:fldCharType="begin"/>
      </w:r>
      <w:r>
        <w:instrText xml:space="preserve"> HYPERLINK "http://www.planalto.gov.br/ccivil_03/_ato2019-2022/2021/lei/L14133.htm" </w:instrText>
      </w:r>
      <w:r>
        <w:fldChar w:fldCharType="separate"/>
      </w:r>
      <w:r>
        <w:rPr>
          <w:rStyle w:val="9"/>
          <w:rFonts w:ascii="Cambria" w:hAnsi="Cambria"/>
          <w:color w:val="auto"/>
          <w:u w:val="none"/>
        </w:rPr>
        <w:t>Lei</w:t>
      </w:r>
      <w:r>
        <w:rPr>
          <w:rStyle w:val="9"/>
          <w:rFonts w:ascii="Cambria" w:hAnsi="Cambria"/>
          <w:color w:val="auto"/>
          <w:u w:val="none"/>
        </w:rPr>
        <w:fldChar w:fldCharType="end"/>
      </w:r>
      <w:r>
        <w:rPr>
          <w:rStyle w:val="9"/>
          <w:rFonts w:ascii="Cambria" w:hAnsi="Cambria"/>
          <w:color w:val="auto"/>
          <w:u w:val="none"/>
        </w:rPr>
        <w:t xml:space="preserve"> Federal nº 14.133, de 2021</w:t>
      </w:r>
      <w:r>
        <w:rPr>
          <w:rFonts w:ascii="Cambria" w:hAnsi="Cambria"/>
        </w:rPr>
        <w:t xml:space="preserve">, e demais normas federais aplicáveis e, subsidiariamente, segundo as disposições contidas na </w:t>
      </w:r>
      <w:r>
        <w:fldChar w:fldCharType="begin"/>
      </w:r>
      <w:r>
        <w:instrText xml:space="preserve"> HYPERLINK "https://www.planalto.gov.br/ccivil_03/leis/l8078compilado.htm" </w:instrText>
      </w:r>
      <w:r>
        <w:fldChar w:fldCharType="separate"/>
      </w:r>
      <w:r>
        <w:rPr>
          <w:rStyle w:val="9"/>
          <w:rFonts w:ascii="Cambria" w:hAnsi="Cambria"/>
          <w:color w:val="auto"/>
          <w:u w:val="none"/>
        </w:rPr>
        <w:t>Lei nº 8.078, de 1990 – Código de Defesa do Consumidor</w:t>
      </w:r>
      <w:r>
        <w:rPr>
          <w:rStyle w:val="9"/>
          <w:rFonts w:ascii="Cambria" w:hAnsi="Cambria"/>
          <w:color w:val="auto"/>
          <w:u w:val="none"/>
        </w:rPr>
        <w:fldChar w:fldCharType="end"/>
      </w:r>
      <w:r>
        <w:rPr>
          <w:rFonts w:ascii="Cambria" w:hAnsi="Cambria"/>
        </w:rPr>
        <w:t xml:space="preserve"> – e normas e princípios gerais dos contratos.</w:t>
      </w:r>
    </w:p>
    <w:p w14:paraId="35438530">
      <w:pPr>
        <w:pStyle w:val="12"/>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tabs>
          <w:tab w:val="left" w:pos="3119"/>
        </w:tabs>
        <w:spacing w:line="276" w:lineRule="auto"/>
        <w:ind w:right="-1"/>
        <w:jc w:val="both"/>
        <w:rPr>
          <w:rFonts w:ascii="Cambria" w:hAnsi="Cambria"/>
          <w:b/>
          <w:sz w:val="22"/>
          <w:szCs w:val="22"/>
        </w:rPr>
      </w:pPr>
      <w:r>
        <w:rPr>
          <w:rFonts w:ascii="Cambria" w:hAnsi="Cambria"/>
          <w:b/>
          <w:sz w:val="22"/>
          <w:szCs w:val="22"/>
        </w:rPr>
        <w:t>CLÁUSULA DÉCIMA TERCEIRA – DAS ALTERAÇÕES </w:t>
      </w:r>
    </w:p>
    <w:p w14:paraId="43F84E53">
      <w:pPr>
        <w:pStyle w:val="30"/>
      </w:pPr>
      <w:r>
        <w:rPr>
          <w:b/>
          <w:bCs/>
        </w:rPr>
        <w:t>13.1</w:t>
      </w:r>
      <w:r>
        <w:t xml:space="preserve"> Eventuais alterações contratuais reger-se-ão pela disciplina do </w:t>
      </w:r>
      <w:r>
        <w:fldChar w:fldCharType="begin"/>
      </w:r>
      <w:r>
        <w:instrText xml:space="preserve"> HYPERLINK "http://www.planalto.gov.br/ccivil_03/_ato2019-2022/2021/lei/L14133.htm" \l "art124" </w:instrText>
      </w:r>
      <w:r>
        <w:fldChar w:fldCharType="separate"/>
      </w:r>
      <w:r>
        <w:rPr>
          <w:rStyle w:val="9"/>
          <w:color w:val="auto"/>
          <w:u w:val="none"/>
        </w:rPr>
        <w:t xml:space="preserve">artigo 124 e seguintes da </w:t>
      </w:r>
      <w:r>
        <w:fldChar w:fldCharType="begin"/>
      </w:r>
      <w:r>
        <w:instrText xml:space="preserve"> HYPERLINK "http://www.planalto.gov.br/ccivil_03/_ato2019-2022/2021/lei/L14133.htm" </w:instrText>
      </w:r>
      <w:r>
        <w:fldChar w:fldCharType="separate"/>
      </w:r>
      <w:r>
        <w:rPr>
          <w:rStyle w:val="9"/>
          <w:color w:val="auto"/>
          <w:u w:val="none"/>
        </w:rPr>
        <w:t>Lei</w:t>
      </w:r>
      <w:r>
        <w:rPr>
          <w:rStyle w:val="9"/>
          <w:color w:val="auto"/>
          <w:u w:val="none"/>
        </w:rPr>
        <w:fldChar w:fldCharType="end"/>
      </w:r>
      <w:r>
        <w:rPr>
          <w:rStyle w:val="9"/>
          <w:color w:val="auto"/>
          <w:u w:val="none"/>
        </w:rPr>
        <w:t xml:space="preserve"> Federal nº 14.133, de 2021</w:t>
      </w:r>
      <w:r>
        <w:rPr>
          <w:rStyle w:val="9"/>
          <w:color w:val="auto"/>
          <w:u w:val="none"/>
        </w:rPr>
        <w:fldChar w:fldCharType="end"/>
      </w:r>
      <w:r>
        <w:rPr>
          <w:rStyle w:val="9"/>
          <w:color w:val="auto"/>
          <w:u w:val="none"/>
        </w:rPr>
        <w:t>.</w:t>
      </w:r>
    </w:p>
    <w:p w14:paraId="27E1A7DC">
      <w:pPr>
        <w:pStyle w:val="30"/>
      </w:pPr>
      <w:r>
        <w:rPr>
          <w:b/>
          <w:bCs/>
        </w:rPr>
        <w:t>13.2</w:t>
      </w:r>
      <w:r>
        <w:t xml:space="preserve"> O contratado é obrigado a aceitar, nas mesmas condições contratuais, os acréscimos ou supressões que se fizerem necessários, até o limite de 25% (vinte e cinco por cento) do valor inicial atualizado do contrato.</w:t>
      </w:r>
    </w:p>
    <w:p w14:paraId="16F1775E">
      <w:pPr>
        <w:pStyle w:val="30"/>
      </w:pPr>
      <w:r>
        <w:rPr>
          <w:b/>
          <w:bCs/>
        </w:rPr>
        <w:t>13.3</w:t>
      </w:r>
      <w:r>
        <w:t xml:space="preserve"> 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(artigo 132 da </w:t>
      </w:r>
      <w:r>
        <w:fldChar w:fldCharType="begin"/>
      </w:r>
      <w:r>
        <w:instrText xml:space="preserve"> HYPERLINK "http://www.planalto.gov.br/ccivil_03/_ato2019-2022/2021/lei/L14133.htm" </w:instrText>
      </w:r>
      <w:r>
        <w:fldChar w:fldCharType="separate"/>
      </w:r>
      <w:r>
        <w:rPr>
          <w:rStyle w:val="9"/>
          <w:color w:val="auto"/>
          <w:u w:val="none"/>
        </w:rPr>
        <w:t>Lei</w:t>
      </w:r>
      <w:r>
        <w:rPr>
          <w:rStyle w:val="9"/>
          <w:color w:val="auto"/>
          <w:u w:val="none"/>
        </w:rPr>
        <w:fldChar w:fldCharType="end"/>
      </w:r>
      <w:r>
        <w:rPr>
          <w:rStyle w:val="9"/>
          <w:color w:val="auto"/>
          <w:u w:val="none"/>
        </w:rPr>
        <w:t xml:space="preserve"> Federal nº 14.133, de 2021</w:t>
      </w:r>
      <w:r>
        <w:t>).</w:t>
      </w:r>
    </w:p>
    <w:p w14:paraId="487D1FD3">
      <w:pPr>
        <w:pStyle w:val="30"/>
        <w:rPr>
          <w:rStyle w:val="9"/>
          <w:color w:val="auto"/>
          <w:u w:val="none"/>
        </w:rPr>
      </w:pPr>
      <w:r>
        <w:rPr>
          <w:b/>
          <w:bCs/>
        </w:rPr>
        <w:t>13.4</w:t>
      </w:r>
      <w:r>
        <w:t xml:space="preserve"> Registros que não caracterizam alteração do contrato podem ser realizados por simples apostila, dispensada a celebração de termo aditivo, na forma do </w:t>
      </w:r>
      <w:r>
        <w:fldChar w:fldCharType="begin"/>
      </w:r>
      <w:r>
        <w:instrText xml:space="preserve"> HYPERLINK "http://www.planalto.gov.br/ccivil_03/_ato2019-2022/2021/lei/L14133.htm" \l "art136" </w:instrText>
      </w:r>
      <w:r>
        <w:fldChar w:fldCharType="separate"/>
      </w:r>
      <w:r>
        <w:rPr>
          <w:rStyle w:val="9"/>
          <w:color w:val="auto"/>
          <w:u w:val="none"/>
        </w:rPr>
        <w:t xml:space="preserve">artigo 136 da </w:t>
      </w:r>
      <w:r>
        <w:fldChar w:fldCharType="begin"/>
      </w:r>
      <w:r>
        <w:instrText xml:space="preserve"> HYPERLINK "http://www.planalto.gov.br/ccivil_03/_ato2019-2022/2021/lei/L14133.htm" </w:instrText>
      </w:r>
      <w:r>
        <w:fldChar w:fldCharType="separate"/>
      </w:r>
      <w:r>
        <w:rPr>
          <w:rStyle w:val="9"/>
          <w:color w:val="auto"/>
          <w:u w:val="none"/>
        </w:rPr>
        <w:t>Lei</w:t>
      </w:r>
      <w:r>
        <w:rPr>
          <w:rStyle w:val="9"/>
          <w:color w:val="auto"/>
          <w:u w:val="none"/>
        </w:rPr>
        <w:fldChar w:fldCharType="end"/>
      </w:r>
      <w:r>
        <w:rPr>
          <w:rStyle w:val="9"/>
          <w:color w:val="auto"/>
          <w:u w:val="none"/>
        </w:rPr>
        <w:t xml:space="preserve"> Federal nº 14.133, de 2021</w:t>
      </w:r>
      <w:r>
        <w:rPr>
          <w:rStyle w:val="9"/>
          <w:color w:val="auto"/>
          <w:u w:val="none"/>
        </w:rPr>
        <w:fldChar w:fldCharType="end"/>
      </w:r>
      <w:r>
        <w:rPr>
          <w:rStyle w:val="9"/>
          <w:color w:val="auto"/>
          <w:u w:val="none"/>
        </w:rPr>
        <w:t>.</w:t>
      </w:r>
    </w:p>
    <w:p w14:paraId="7FBC4415">
      <w:pPr>
        <w:pStyle w:val="12"/>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tabs>
          <w:tab w:val="left" w:pos="3119"/>
        </w:tabs>
        <w:spacing w:after="0" w:line="276" w:lineRule="auto"/>
        <w:ind w:right="-1"/>
        <w:jc w:val="both"/>
        <w:rPr>
          <w:rFonts w:ascii="Cambria" w:hAnsi="Cambria"/>
          <w:b/>
          <w:sz w:val="22"/>
          <w:szCs w:val="22"/>
        </w:rPr>
      </w:pPr>
      <w:r>
        <w:rPr>
          <w:rFonts w:ascii="Cambria" w:hAnsi="Cambria"/>
          <w:b/>
          <w:sz w:val="22"/>
          <w:szCs w:val="22"/>
        </w:rPr>
        <w:t>CLÁUSULA DÉCIMA QUARTA – DA PUBLICAÇÃO </w:t>
      </w:r>
    </w:p>
    <w:p w14:paraId="2F4D45B8">
      <w:pPr>
        <w:tabs>
          <w:tab w:val="left" w:pos="3119"/>
        </w:tabs>
        <w:spacing w:before="240" w:after="240" w:line="276" w:lineRule="auto"/>
        <w:ind w:right="-1"/>
        <w:jc w:val="both"/>
      </w:pPr>
      <w:r>
        <w:rPr>
          <w:rFonts w:ascii="Cambria" w:hAnsi="Cambria"/>
          <w:b/>
          <w:bCs/>
        </w:rPr>
        <w:t>14.1</w:t>
      </w:r>
      <w:r>
        <w:rPr>
          <w:rFonts w:ascii="Cambria" w:hAnsi="Cambria"/>
        </w:rPr>
        <w:t xml:space="preserve"> Incumbirá ao contratante divulgar o presente instrumento no Portal Nacional de Contratações Públicas (PNCP), na forma prevista no </w:t>
      </w:r>
      <w:r>
        <w:fldChar w:fldCharType="begin"/>
      </w:r>
      <w:r>
        <w:instrText xml:space="preserve"> HYPERLINK "http://www.planalto.gov.br/ccivil_03/_ato2019-2022/2021/lei/L14133.htm" \l "art94" </w:instrText>
      </w:r>
      <w:r>
        <w:fldChar w:fldCharType="separate"/>
      </w:r>
      <w:r>
        <w:rPr>
          <w:rStyle w:val="9"/>
          <w:rFonts w:ascii="Cambria" w:hAnsi="Cambria"/>
          <w:color w:val="auto"/>
          <w:u w:val="none"/>
        </w:rPr>
        <w:t xml:space="preserve">artigo 94 da </w:t>
      </w:r>
      <w:r>
        <w:fldChar w:fldCharType="begin"/>
      </w:r>
      <w:r>
        <w:instrText xml:space="preserve"> HYPERLINK "http://www.planalto.gov.br/ccivil_03/_ato2019-2022/2021/lei/L14133.htm" </w:instrText>
      </w:r>
      <w:r>
        <w:fldChar w:fldCharType="separate"/>
      </w:r>
      <w:r>
        <w:rPr>
          <w:rStyle w:val="9"/>
          <w:rFonts w:ascii="Cambria" w:hAnsi="Cambria"/>
          <w:color w:val="auto"/>
          <w:u w:val="none"/>
        </w:rPr>
        <w:t>Lei</w:t>
      </w:r>
      <w:r>
        <w:rPr>
          <w:rStyle w:val="9"/>
          <w:rFonts w:ascii="Cambria" w:hAnsi="Cambria"/>
          <w:color w:val="auto"/>
          <w:u w:val="none"/>
        </w:rPr>
        <w:fldChar w:fldCharType="end"/>
      </w:r>
      <w:r>
        <w:rPr>
          <w:rStyle w:val="9"/>
          <w:rFonts w:ascii="Cambria" w:hAnsi="Cambria"/>
          <w:color w:val="auto"/>
          <w:u w:val="none"/>
        </w:rPr>
        <w:t xml:space="preserve"> Federal nº 14.133, de 2021</w:t>
      </w:r>
      <w:r>
        <w:rPr>
          <w:rStyle w:val="9"/>
          <w:rFonts w:ascii="Cambria" w:hAnsi="Cambria"/>
          <w:color w:val="auto"/>
          <w:u w:val="none"/>
        </w:rPr>
        <w:fldChar w:fldCharType="end"/>
      </w:r>
      <w:r>
        <w:rPr>
          <w:rFonts w:ascii="Cambria" w:hAnsi="Cambria"/>
        </w:rPr>
        <w:t xml:space="preserve">, bem como no respectivo sítio oficial na Internet, em atenção ao caput, do artigo 91, da </w:t>
      </w:r>
      <w:r>
        <w:fldChar w:fldCharType="begin"/>
      </w:r>
      <w:r>
        <w:instrText xml:space="preserve"> HYPERLINK "http://www.planalto.gov.br/ccivil_03/_ato2019-2022/2021/lei/L14133.htm" </w:instrText>
      </w:r>
      <w:r>
        <w:fldChar w:fldCharType="separate"/>
      </w:r>
      <w:r>
        <w:rPr>
          <w:rStyle w:val="9"/>
          <w:rFonts w:ascii="Cambria" w:hAnsi="Cambria"/>
          <w:color w:val="auto"/>
          <w:u w:val="none"/>
        </w:rPr>
        <w:t>Lei</w:t>
      </w:r>
      <w:r>
        <w:rPr>
          <w:rStyle w:val="9"/>
          <w:rFonts w:ascii="Cambria" w:hAnsi="Cambria"/>
          <w:color w:val="auto"/>
          <w:u w:val="none"/>
        </w:rPr>
        <w:fldChar w:fldCharType="end"/>
      </w:r>
      <w:r>
        <w:rPr>
          <w:rStyle w:val="9"/>
          <w:rFonts w:ascii="Cambria" w:hAnsi="Cambria"/>
          <w:color w:val="auto"/>
          <w:u w:val="none"/>
        </w:rPr>
        <w:t xml:space="preserve"> Federal nº 14.133, de 2021,</w:t>
      </w:r>
      <w:r>
        <w:rPr>
          <w:rFonts w:ascii="Cambria" w:hAnsi="Cambria"/>
        </w:rPr>
        <w:t xml:space="preserve"> e ao  § 2º, do </w:t>
      </w:r>
      <w:r>
        <w:fldChar w:fldCharType="begin"/>
      </w:r>
      <w:r>
        <w:instrText xml:space="preserve"> HYPERLINK "https://www.planalto.gov.br/ccivil_03/_ato2011-2014/2011/lei/l12527.htm" \l "art8§2" </w:instrText>
      </w:r>
      <w:r>
        <w:fldChar w:fldCharType="separate"/>
      </w:r>
      <w:r>
        <w:rPr>
          <w:rStyle w:val="9"/>
          <w:rFonts w:ascii="Cambria" w:hAnsi="Cambria"/>
          <w:color w:val="auto"/>
          <w:u w:val="none"/>
        </w:rPr>
        <w:t>artigo 8º, da Lei n. 12.527, de 2011</w:t>
      </w:r>
      <w:r>
        <w:rPr>
          <w:rStyle w:val="9"/>
          <w:rFonts w:ascii="Cambria" w:hAnsi="Cambria"/>
          <w:color w:val="auto"/>
          <w:u w:val="none"/>
        </w:rPr>
        <w:fldChar w:fldCharType="end"/>
      </w:r>
      <w:r>
        <w:rPr>
          <w:rFonts w:ascii="Cambria" w:hAnsi="Cambria"/>
        </w:rPr>
        <w:t xml:space="preserve">, c/c o inciso V, do § 3º, do </w:t>
      </w:r>
      <w:r>
        <w:fldChar w:fldCharType="begin"/>
      </w:r>
      <w:r>
        <w:instrText xml:space="preserve"> HYPERLINK "https://www.planalto.gov.br/ccivil_03/_ato2011-2014/2012/decreto/d7724.htm" \l "art7§3" </w:instrText>
      </w:r>
      <w:r>
        <w:fldChar w:fldCharType="separate"/>
      </w:r>
      <w:r>
        <w:rPr>
          <w:rStyle w:val="9"/>
          <w:rFonts w:ascii="Cambria" w:hAnsi="Cambria"/>
          <w:color w:val="auto"/>
          <w:u w:val="none"/>
        </w:rPr>
        <w:t>artigo 7º, do Decreto nº 7.724, de 2012</w:t>
      </w:r>
      <w:r>
        <w:rPr>
          <w:rStyle w:val="9"/>
          <w:rFonts w:ascii="Cambria" w:hAnsi="Cambria"/>
          <w:color w:val="auto"/>
          <w:u w:val="none"/>
        </w:rPr>
        <w:fldChar w:fldCharType="end"/>
      </w:r>
      <w:r>
        <w:t>.</w:t>
      </w:r>
    </w:p>
    <w:p w14:paraId="258F4193">
      <w:pPr>
        <w:pStyle w:val="12"/>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tabs>
          <w:tab w:val="left" w:pos="3119"/>
        </w:tabs>
        <w:spacing w:after="0" w:line="276" w:lineRule="auto"/>
        <w:ind w:right="-1"/>
        <w:jc w:val="both"/>
        <w:rPr>
          <w:rFonts w:ascii="Cambria" w:hAnsi="Cambria"/>
          <w:b/>
          <w:sz w:val="22"/>
          <w:szCs w:val="22"/>
        </w:rPr>
      </w:pPr>
      <w:r>
        <w:rPr>
          <w:rFonts w:ascii="Cambria" w:hAnsi="Cambria"/>
          <w:b/>
          <w:sz w:val="22"/>
          <w:szCs w:val="22"/>
        </w:rPr>
        <w:t>CLÁUSULA DÉCIMA QUINTA – DA GESTÃO E FISCALIZAÇÃO DO CONTRATO </w:t>
      </w:r>
    </w:p>
    <w:p w14:paraId="40F31863">
      <w:pPr>
        <w:autoSpaceDE w:val="0"/>
        <w:autoSpaceDN w:val="0"/>
        <w:adjustRightInd w:val="0"/>
        <w:spacing w:before="240" w:line="276" w:lineRule="auto"/>
        <w:jc w:val="both"/>
        <w:rPr>
          <w:rFonts w:ascii="Cambria" w:hAnsi="Cambria" w:cs="Calibri"/>
        </w:rPr>
      </w:pPr>
      <w:r>
        <w:rPr>
          <w:rFonts w:ascii="Cambria" w:hAnsi="Cambria" w:cs="Calibri"/>
          <w:b/>
          <w:bCs/>
        </w:rPr>
        <w:t>15.1</w:t>
      </w:r>
      <w:r>
        <w:rPr>
          <w:rFonts w:ascii="Cambria" w:hAnsi="Cambria" w:cs="Calibri"/>
        </w:rPr>
        <w:t xml:space="preserve"> O contrato deverá ser executado fielmente pelas partes, de acordo com as cláusulas avençadas e as normas da Lei nº 14.133, de 2021, e cada parte responderá pelas consequências de sua inexecução total ou parcial.</w:t>
      </w:r>
    </w:p>
    <w:p w14:paraId="7C4F5DC6">
      <w:pPr>
        <w:autoSpaceDE w:val="0"/>
        <w:autoSpaceDN w:val="0"/>
        <w:adjustRightInd w:val="0"/>
        <w:spacing w:before="240" w:line="276" w:lineRule="auto"/>
        <w:jc w:val="both"/>
        <w:rPr>
          <w:rFonts w:ascii="Cambria" w:hAnsi="Cambria" w:cs="Calibri"/>
        </w:rPr>
      </w:pPr>
      <w:r>
        <w:rPr>
          <w:rFonts w:ascii="Cambria" w:hAnsi="Cambria" w:cs="Calibri,Bold"/>
          <w:b/>
          <w:bCs/>
        </w:rPr>
        <w:t xml:space="preserve">15.2 </w:t>
      </w:r>
      <w:r>
        <w:rPr>
          <w:rFonts w:ascii="Cambria" w:hAnsi="Cambria" w:cs="Calibri"/>
        </w:rPr>
        <w:t>Em caso de impedimento, ordem de paralisação ou suspensão do contrato, o cronograma de execução será prorrogado automaticamente pelo tempo correspondente, anotadas tais circunstâncias mediante simples apostilamento.</w:t>
      </w:r>
    </w:p>
    <w:p w14:paraId="61A68708">
      <w:pPr>
        <w:autoSpaceDE w:val="0"/>
        <w:autoSpaceDN w:val="0"/>
        <w:adjustRightInd w:val="0"/>
        <w:spacing w:before="240" w:line="276" w:lineRule="auto"/>
        <w:jc w:val="both"/>
        <w:rPr>
          <w:rFonts w:ascii="Cambria" w:hAnsi="Cambria" w:cs="Calibri"/>
        </w:rPr>
      </w:pPr>
      <w:r>
        <w:rPr>
          <w:rFonts w:ascii="Cambria" w:hAnsi="Cambria" w:cs="Calibri,Bold"/>
          <w:b/>
          <w:bCs/>
        </w:rPr>
        <w:t xml:space="preserve">15.3 </w:t>
      </w:r>
      <w:r>
        <w:rPr>
          <w:rFonts w:ascii="Cambria" w:hAnsi="Cambria" w:cs="Calibri"/>
        </w:rPr>
        <w:t xml:space="preserve">As comunicações entre o </w:t>
      </w:r>
      <w:r>
        <w:rPr>
          <w:rFonts w:ascii="Cambria" w:hAnsi="Cambria" w:cs="Calibri,Bold"/>
        </w:rPr>
        <w:t>contratante</w:t>
      </w:r>
      <w:r>
        <w:rPr>
          <w:rFonts w:ascii="Cambria" w:hAnsi="Cambria" w:cs="Calibri,Bold"/>
          <w:b/>
          <w:bCs/>
        </w:rPr>
        <w:t xml:space="preserve"> </w:t>
      </w:r>
      <w:r>
        <w:rPr>
          <w:rFonts w:ascii="Cambria" w:hAnsi="Cambria" w:cs="Calibri"/>
        </w:rPr>
        <w:t xml:space="preserve">e o(a) </w:t>
      </w:r>
      <w:r>
        <w:rPr>
          <w:rFonts w:ascii="Cambria" w:hAnsi="Cambria" w:cs="Calibri,Bold"/>
        </w:rPr>
        <w:t>contratado(a)</w:t>
      </w:r>
      <w:r>
        <w:rPr>
          <w:rFonts w:ascii="Cambria" w:hAnsi="Cambria" w:cs="Calibri,Bold"/>
          <w:b/>
          <w:bCs/>
        </w:rPr>
        <w:t xml:space="preserve"> </w:t>
      </w:r>
      <w:r>
        <w:rPr>
          <w:rFonts w:ascii="Cambria" w:hAnsi="Cambria" w:cs="Calibri"/>
        </w:rPr>
        <w:t>devem ser realizadas por escrito sempre que o ato exigir tal formalidade, admitindo-se o uso de mensagem eletrônica para esse fim.</w:t>
      </w:r>
    </w:p>
    <w:p w14:paraId="5D9BD35B">
      <w:pPr>
        <w:autoSpaceDE w:val="0"/>
        <w:autoSpaceDN w:val="0"/>
        <w:adjustRightInd w:val="0"/>
        <w:spacing w:before="240" w:line="276" w:lineRule="auto"/>
        <w:jc w:val="both"/>
        <w:rPr>
          <w:rFonts w:ascii="Cambria" w:hAnsi="Cambria" w:cs="Calibri"/>
        </w:rPr>
      </w:pPr>
      <w:r>
        <w:rPr>
          <w:rFonts w:ascii="Cambria" w:hAnsi="Cambria" w:cs="Calibri,Bold"/>
          <w:b/>
          <w:bCs/>
        </w:rPr>
        <w:t xml:space="preserve">15.4 </w:t>
      </w:r>
      <w:r>
        <w:rPr>
          <w:rFonts w:ascii="Cambria" w:hAnsi="Cambria" w:cs="Calibri"/>
        </w:rPr>
        <w:t xml:space="preserve">O </w:t>
      </w:r>
      <w:r>
        <w:rPr>
          <w:rFonts w:ascii="Cambria" w:hAnsi="Cambria" w:cs="Calibri,Bold"/>
        </w:rPr>
        <w:t>contratante</w:t>
      </w:r>
      <w:r>
        <w:rPr>
          <w:rFonts w:ascii="Cambria" w:hAnsi="Cambria" w:cs="Calibri,Bold"/>
          <w:b/>
          <w:bCs/>
        </w:rPr>
        <w:t xml:space="preserve"> </w:t>
      </w:r>
      <w:r>
        <w:rPr>
          <w:rFonts w:ascii="Cambria" w:hAnsi="Cambria" w:cs="Calibri"/>
        </w:rPr>
        <w:t xml:space="preserve">poderá convocar o representante do(a) </w:t>
      </w:r>
      <w:r>
        <w:rPr>
          <w:rFonts w:ascii="Cambria" w:hAnsi="Cambria" w:cs="Calibri,Bold"/>
        </w:rPr>
        <w:t>contratado(a)</w:t>
      </w:r>
      <w:r>
        <w:rPr>
          <w:rFonts w:ascii="Cambria" w:hAnsi="Cambria" w:cs="Calibri,Bold"/>
          <w:b/>
          <w:bCs/>
        </w:rPr>
        <w:t xml:space="preserve"> </w:t>
      </w:r>
      <w:r>
        <w:rPr>
          <w:rFonts w:ascii="Cambria" w:hAnsi="Cambria" w:cs="Calibri"/>
        </w:rPr>
        <w:t>para adoção de providências que devam ser cumpridas de imediato.</w:t>
      </w:r>
    </w:p>
    <w:p w14:paraId="5C0AC10F">
      <w:pPr>
        <w:autoSpaceDE w:val="0"/>
        <w:autoSpaceDN w:val="0"/>
        <w:adjustRightInd w:val="0"/>
        <w:spacing w:before="240" w:line="276" w:lineRule="auto"/>
        <w:jc w:val="both"/>
        <w:rPr>
          <w:rFonts w:ascii="Cambria" w:hAnsi="Cambria" w:cs="Calibri"/>
        </w:rPr>
      </w:pPr>
      <w:r>
        <w:rPr>
          <w:rFonts w:ascii="Cambria" w:hAnsi="Cambria" w:cs="Calibri,Bold"/>
          <w:b/>
          <w:bCs/>
        </w:rPr>
        <w:t xml:space="preserve">15.5 </w:t>
      </w:r>
      <w:r>
        <w:rPr>
          <w:rFonts w:ascii="Cambria" w:hAnsi="Cambria" w:cs="Calibri"/>
        </w:rPr>
        <w:t>A execução do contrato deverá ser acompanhada e fiscalizada pelo(s) fiscal(is) do contrato, ou pelos respectivos substitutos (Lei nº 14.133, de 2021, art. 117, caput).</w:t>
      </w:r>
    </w:p>
    <w:p w14:paraId="4895E766">
      <w:pPr>
        <w:autoSpaceDE w:val="0"/>
        <w:autoSpaceDN w:val="0"/>
        <w:adjustRightInd w:val="0"/>
        <w:spacing w:before="240" w:line="276" w:lineRule="auto"/>
        <w:jc w:val="both"/>
        <w:rPr>
          <w:rFonts w:ascii="Cambria" w:hAnsi="Cambria" w:cs="Calibri"/>
        </w:rPr>
      </w:pPr>
      <w:r>
        <w:rPr>
          <w:rFonts w:ascii="Cambria" w:hAnsi="Cambria" w:cs="Calibri,Bold"/>
          <w:b/>
          <w:bCs/>
        </w:rPr>
        <w:t xml:space="preserve">15.6 </w:t>
      </w:r>
      <w:r>
        <w:rPr>
          <w:rFonts w:ascii="Cambria" w:hAnsi="Cambria" w:cs="Calibri"/>
        </w:rPr>
        <w:t>O fiscal do contrato acompanhará a execução do contrato, para que sejam cumpridas todas as condições estabelecidas no contrato, de modo a assegurar os melhores resultados para a Administração;</w:t>
      </w:r>
    </w:p>
    <w:p w14:paraId="6670E3BD">
      <w:pPr>
        <w:autoSpaceDE w:val="0"/>
        <w:autoSpaceDN w:val="0"/>
        <w:adjustRightInd w:val="0"/>
        <w:spacing w:before="240" w:line="276" w:lineRule="auto"/>
        <w:jc w:val="both"/>
        <w:rPr>
          <w:rFonts w:ascii="Cambria" w:hAnsi="Cambria" w:cs="Calibri"/>
        </w:rPr>
      </w:pPr>
      <w:r>
        <w:rPr>
          <w:rFonts w:ascii="Cambria" w:hAnsi="Cambria" w:cs="Calibri,Bold"/>
          <w:b/>
          <w:bCs/>
        </w:rPr>
        <w:t xml:space="preserve">15.7 </w:t>
      </w:r>
      <w:r>
        <w:rPr>
          <w:rFonts w:ascii="Cambria" w:hAnsi="Cambria" w:cs="Calibri"/>
        </w:rPr>
        <w:t>O fiscal do contrato anotará no histórico de gerenciamento do contrato todas as ocorrências relacionadas à execução do contrato, com a descrição do que for necessário para a regularização das faltas ou dos defeitos observados;</w:t>
      </w:r>
    </w:p>
    <w:p w14:paraId="3CB5EA8E">
      <w:pPr>
        <w:autoSpaceDE w:val="0"/>
        <w:autoSpaceDN w:val="0"/>
        <w:adjustRightInd w:val="0"/>
        <w:spacing w:before="240" w:line="276" w:lineRule="auto"/>
        <w:jc w:val="both"/>
        <w:rPr>
          <w:rFonts w:ascii="Cambria" w:hAnsi="Cambria" w:cs="Calibri"/>
        </w:rPr>
      </w:pPr>
      <w:r>
        <w:rPr>
          <w:rFonts w:ascii="Cambria" w:hAnsi="Cambria" w:cs="Calibri,Bold"/>
          <w:b/>
          <w:bCs/>
        </w:rPr>
        <w:t xml:space="preserve">15.8 </w:t>
      </w:r>
      <w:r>
        <w:rPr>
          <w:rFonts w:ascii="Cambria" w:hAnsi="Cambria" w:cs="Calibri"/>
        </w:rPr>
        <w:t>Identificada qualquer inexatidão ou irregularidade, o fiscal técnico do contrato emitirá notificações para a correção da execução do contrato, determinando prazo para a correção.</w:t>
      </w:r>
    </w:p>
    <w:p w14:paraId="23D18881">
      <w:pPr>
        <w:autoSpaceDE w:val="0"/>
        <w:autoSpaceDN w:val="0"/>
        <w:adjustRightInd w:val="0"/>
        <w:spacing w:before="240" w:line="276" w:lineRule="auto"/>
        <w:jc w:val="both"/>
        <w:rPr>
          <w:rFonts w:ascii="Cambria" w:hAnsi="Cambria" w:cs="Calibri"/>
        </w:rPr>
      </w:pPr>
      <w:r>
        <w:rPr>
          <w:rFonts w:ascii="Cambria" w:hAnsi="Cambria" w:cs="Calibri,Bold"/>
          <w:b/>
          <w:bCs/>
        </w:rPr>
        <w:t xml:space="preserve">15.9 </w:t>
      </w:r>
      <w:r>
        <w:rPr>
          <w:rFonts w:ascii="Cambria" w:hAnsi="Cambria" w:cs="Calibri"/>
        </w:rPr>
        <w:t xml:space="preserve">O gestor do contrato verificará a manutenção das condições de habilitação do(a) </w:t>
      </w:r>
      <w:r>
        <w:rPr>
          <w:rFonts w:ascii="Cambria" w:hAnsi="Cambria" w:cs="Calibri,Bold"/>
        </w:rPr>
        <w:t>contratado(a)</w:t>
      </w:r>
      <w:r>
        <w:rPr>
          <w:rFonts w:ascii="Cambria" w:hAnsi="Cambria" w:cs="Calibri"/>
        </w:rPr>
        <w:t>, acompanhará o empenho, o pagamento, as glosas e a formalização de apostilamento e termos aditivos, solicitando quaisquer documentos comprobatórios pertinentes, caso necessário;</w:t>
      </w:r>
    </w:p>
    <w:p w14:paraId="48B32160">
      <w:pPr>
        <w:autoSpaceDE w:val="0"/>
        <w:autoSpaceDN w:val="0"/>
        <w:adjustRightInd w:val="0"/>
        <w:spacing w:before="240" w:line="276" w:lineRule="auto"/>
        <w:jc w:val="both"/>
        <w:rPr>
          <w:rFonts w:ascii="Cambria" w:hAnsi="Cambria" w:cs="Calibri"/>
        </w:rPr>
      </w:pPr>
      <w:r>
        <w:rPr>
          <w:rFonts w:ascii="Cambria" w:hAnsi="Cambria" w:cs="Calibri,Bold"/>
          <w:b/>
          <w:bCs/>
        </w:rPr>
        <w:t xml:space="preserve">15.10 </w:t>
      </w:r>
      <w:r>
        <w:rPr>
          <w:rFonts w:ascii="Cambria" w:hAnsi="Cambria" w:cs="Calibri"/>
        </w:rPr>
        <w:t>Caso ocorra descumprimento das obrigações contratuais, o fiscal do contrato atuará tempestivamente na solução do problema, reportando ao gestor do contrato para que tome as providências cabíveis, quando ultrapassar a sua competência;</w:t>
      </w:r>
    </w:p>
    <w:p w14:paraId="711AE889">
      <w:pPr>
        <w:autoSpaceDE w:val="0"/>
        <w:autoSpaceDN w:val="0"/>
        <w:adjustRightInd w:val="0"/>
        <w:spacing w:before="240" w:line="276" w:lineRule="auto"/>
        <w:jc w:val="both"/>
        <w:rPr>
          <w:rFonts w:ascii="Cambria" w:hAnsi="Cambria" w:cs="Calibri"/>
        </w:rPr>
      </w:pPr>
      <w:r>
        <w:rPr>
          <w:rFonts w:ascii="Cambria" w:hAnsi="Cambria" w:cs="Calibri,Bold"/>
          <w:b/>
          <w:bCs/>
        </w:rPr>
        <w:t xml:space="preserve">15.11 </w:t>
      </w:r>
      <w:r>
        <w:rPr>
          <w:rFonts w:ascii="Cambria" w:hAnsi="Cambria" w:cs="Calibri"/>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w:t>
      </w:r>
    </w:p>
    <w:p w14:paraId="6A561989">
      <w:pPr>
        <w:autoSpaceDE w:val="0"/>
        <w:autoSpaceDN w:val="0"/>
        <w:adjustRightInd w:val="0"/>
        <w:spacing w:before="240" w:line="276" w:lineRule="auto"/>
        <w:jc w:val="both"/>
        <w:rPr>
          <w:rFonts w:ascii="Cambria" w:hAnsi="Cambria" w:cs="Calibri"/>
        </w:rPr>
      </w:pPr>
      <w:r>
        <w:rPr>
          <w:rFonts w:ascii="Cambria" w:hAnsi="Cambria" w:cs="Calibri,Bold"/>
          <w:b/>
          <w:bCs/>
        </w:rPr>
        <w:t xml:space="preserve">15.12 </w:t>
      </w:r>
      <w:r>
        <w:rPr>
          <w:rFonts w:ascii="Cambria" w:hAnsi="Cambria" w:cs="Calibri"/>
        </w:rPr>
        <w:t>O gestor do contrato acompanhará os registros realizados pelos fiscais do contrato, de todas as ocorrências relacionadas à execução do contrato e as medidas adotadas, informando, se for o caso, à autoridade superior àquelas que ultrapassarem a sua competência;</w:t>
      </w:r>
    </w:p>
    <w:p w14:paraId="2054495D">
      <w:pPr>
        <w:autoSpaceDE w:val="0"/>
        <w:autoSpaceDN w:val="0"/>
        <w:adjustRightInd w:val="0"/>
        <w:spacing w:before="240" w:line="276" w:lineRule="auto"/>
        <w:jc w:val="both"/>
        <w:rPr>
          <w:rFonts w:ascii="Cambria" w:hAnsi="Cambria" w:cs="Calibri"/>
        </w:rPr>
      </w:pPr>
      <w:r>
        <w:rPr>
          <w:rFonts w:ascii="Cambria" w:hAnsi="Cambria" w:cs="Calibri,Bold"/>
          <w:b/>
          <w:bCs/>
        </w:rPr>
        <w:t xml:space="preserve">15.13 </w:t>
      </w:r>
      <w:r>
        <w:rPr>
          <w:rFonts w:ascii="Cambria" w:hAnsi="Cambria" w:cs="Calibri"/>
        </w:rPr>
        <w:t>O gestor do contrato e os fiscais do contrato na execução das suas atividades deverão observar as diretrizes estabelecidas na Lei Federal nº 14.133, de 2021;</w:t>
      </w:r>
    </w:p>
    <w:p w14:paraId="5CA1E10A">
      <w:pPr>
        <w:autoSpaceDE w:val="0"/>
        <w:autoSpaceDN w:val="0"/>
        <w:adjustRightInd w:val="0"/>
        <w:spacing w:before="240" w:line="276" w:lineRule="auto"/>
        <w:jc w:val="both"/>
        <w:rPr>
          <w:rFonts w:ascii="Cambria" w:hAnsi="Cambria" w:cs="Calibri"/>
        </w:rPr>
      </w:pPr>
      <w:r>
        <w:rPr>
          <w:rFonts w:ascii="Cambria" w:hAnsi="Cambria" w:cs="Calibri,Bold"/>
          <w:b/>
          <w:bCs/>
        </w:rPr>
        <w:t xml:space="preserve">15.14 </w:t>
      </w:r>
      <w:r>
        <w:rPr>
          <w:rFonts w:ascii="Cambria" w:hAnsi="Cambria" w:cs="Calibri"/>
        </w:rPr>
        <w:t xml:space="preserve">A fiscalização de que trata este item não exclui nem reduz a responsabilidade do(a) </w:t>
      </w:r>
      <w:r>
        <w:rPr>
          <w:rFonts w:ascii="Cambria" w:hAnsi="Cambria" w:cs="Calibri,Bold"/>
        </w:rPr>
        <w:t>contratado(a)</w:t>
      </w:r>
      <w:r>
        <w:rPr>
          <w:rFonts w:ascii="Cambria" w:hAnsi="Cambria" w:cs="Calibri"/>
        </w:rPr>
        <w:t>, inclusive perante terceiros, por qualquer irregularidade, ainda que resultante de imperfeições técnicas, vícios redibitórios, ou emprego de material inadequado de qualidade inferior, e, na ocorrência desta, não implica em corresponsabilidade da Administração ou de seus agentes e prepostos, de conformidade com o art. 120 da Lei Federal nº 14.133, de 2021.</w:t>
      </w:r>
    </w:p>
    <w:p w14:paraId="57CFFE65">
      <w:pPr>
        <w:autoSpaceDE w:val="0"/>
        <w:autoSpaceDN w:val="0"/>
        <w:adjustRightInd w:val="0"/>
        <w:spacing w:before="240" w:line="276" w:lineRule="auto"/>
        <w:jc w:val="both"/>
        <w:rPr>
          <w:rFonts w:ascii="Cambria" w:hAnsi="Cambria" w:cs="Calibri"/>
        </w:rPr>
      </w:pPr>
    </w:p>
    <w:p w14:paraId="1CD187FB">
      <w:pPr>
        <w:pStyle w:val="12"/>
        <w:pBdr>
          <w:top w:val="single" w:color="auto" w:sz="4" w:space="1"/>
          <w:left w:val="single" w:color="auto" w:sz="4" w:space="4"/>
          <w:bottom w:val="single" w:color="auto" w:sz="4" w:space="1"/>
          <w:right w:val="single" w:color="auto" w:sz="4" w:space="4"/>
          <w:between w:val="single" w:color="auto" w:sz="4" w:space="1"/>
        </w:pBdr>
        <w:shd w:val="clear" w:color="auto" w:fill="D8D8D8" w:themeFill="background1" w:themeFillShade="D9"/>
        <w:tabs>
          <w:tab w:val="left" w:pos="3119"/>
        </w:tabs>
        <w:spacing w:after="0" w:line="276" w:lineRule="auto"/>
        <w:ind w:right="-1"/>
        <w:jc w:val="both"/>
        <w:rPr>
          <w:rFonts w:ascii="Cambria" w:hAnsi="Cambria"/>
          <w:b/>
          <w:sz w:val="22"/>
          <w:szCs w:val="22"/>
        </w:rPr>
      </w:pPr>
      <w:r>
        <w:rPr>
          <w:rFonts w:ascii="Cambria" w:hAnsi="Cambria"/>
          <w:b/>
          <w:sz w:val="22"/>
          <w:szCs w:val="22"/>
        </w:rPr>
        <w:t>CLÁUSULA DÉCIMA SEXTA – DO FORO </w:t>
      </w:r>
    </w:p>
    <w:p w14:paraId="748CC9DE">
      <w:pPr>
        <w:tabs>
          <w:tab w:val="left" w:pos="3119"/>
        </w:tabs>
        <w:spacing w:before="240" w:after="240" w:line="276" w:lineRule="auto"/>
        <w:ind w:right="-1"/>
        <w:jc w:val="both"/>
        <w:rPr>
          <w:rFonts w:ascii="Cambria" w:hAnsi="Cambria"/>
        </w:rPr>
      </w:pPr>
      <w:r>
        <w:rPr>
          <w:rFonts w:ascii="Cambria" w:hAnsi="Cambria"/>
          <w:b/>
        </w:rPr>
        <w:t>16.1</w:t>
      </w:r>
      <w:r>
        <w:rPr>
          <w:rFonts w:ascii="Cambria" w:hAnsi="Cambria"/>
        </w:rPr>
        <w:t xml:space="preserve"> Fica eleito o foro da Comarca de Piracanjuba/GO, para dirimir quaisquer dúvidas decorrentes da execução deste Contrato, com renúncia das partes a qualquer outro, por mais privilegiado que seja.</w:t>
      </w:r>
    </w:p>
    <w:p w14:paraId="540F6096">
      <w:pPr>
        <w:pStyle w:val="12"/>
        <w:spacing w:before="240" w:beforeAutospacing="0" w:after="240" w:afterAutospacing="0" w:line="276" w:lineRule="auto"/>
        <w:jc w:val="both"/>
        <w:rPr>
          <w:rFonts w:ascii="Cambria" w:hAnsi="Cambria"/>
          <w:sz w:val="22"/>
          <w:szCs w:val="22"/>
        </w:rPr>
      </w:pPr>
      <w:r>
        <w:rPr>
          <w:rFonts w:ascii="Cambria" w:hAnsi="Cambria"/>
          <w:b/>
          <w:sz w:val="22"/>
          <w:szCs w:val="22"/>
        </w:rPr>
        <w:t>16.2</w:t>
      </w:r>
      <w:r>
        <w:rPr>
          <w:rFonts w:ascii="Cambria" w:hAnsi="Cambria"/>
          <w:sz w:val="22"/>
          <w:szCs w:val="22"/>
        </w:rPr>
        <w:t xml:space="preserve"> E por estarem de acordo, depois de lido e achado conforme o presente termo, lavrado em 03 (três) vias de igual teor e forma, assinam as partes abaixo:</w:t>
      </w:r>
    </w:p>
    <w:p w14:paraId="1C163B96">
      <w:pPr>
        <w:pStyle w:val="12"/>
        <w:spacing w:before="0" w:beforeAutospacing="0" w:after="0" w:afterAutospacing="0" w:line="276" w:lineRule="auto"/>
        <w:jc w:val="right"/>
        <w:rPr>
          <w:rFonts w:ascii="Cambria" w:hAnsi="Cambria"/>
          <w:b/>
          <w:bCs/>
          <w:sz w:val="22"/>
          <w:szCs w:val="22"/>
        </w:rPr>
        <w:sectPr>
          <w:headerReference r:id="rId7" w:type="first"/>
          <w:headerReference r:id="rId5" w:type="default"/>
          <w:footerReference r:id="rId8" w:type="default"/>
          <w:headerReference r:id="rId6" w:type="even"/>
          <w:type w:val="continuous"/>
          <w:pgSz w:w="11906" w:h="16838"/>
          <w:pgMar w:top="441" w:right="1134" w:bottom="567" w:left="1560" w:header="426" w:footer="474" w:gutter="0"/>
          <w:cols w:space="708" w:num="1"/>
          <w:docGrid w:linePitch="360" w:charSpace="0"/>
        </w:sectPr>
      </w:pPr>
      <w:r>
        <w:rPr>
          <w:rFonts w:ascii="Cambria" w:hAnsi="Cambria"/>
          <w:sz w:val="22"/>
          <w:szCs w:val="22"/>
        </w:rPr>
        <w:t>Piracanjuba/GO, aos ____ dias do mês de _______ do ano de 2024</w:t>
      </w:r>
    </w:p>
    <w:p w14:paraId="32254E6D">
      <w:pPr>
        <w:pStyle w:val="12"/>
        <w:spacing w:before="0" w:beforeAutospacing="0" w:after="0" w:afterAutospacing="0" w:line="276" w:lineRule="auto"/>
        <w:jc w:val="center"/>
        <w:rPr>
          <w:rFonts w:ascii="Cambria" w:hAnsi="Cambria"/>
          <w:b/>
          <w:bCs/>
          <w:sz w:val="22"/>
          <w:szCs w:val="22"/>
        </w:rPr>
      </w:pPr>
    </w:p>
    <w:p w14:paraId="5210B567">
      <w:pPr>
        <w:pStyle w:val="12"/>
        <w:spacing w:before="0" w:beforeAutospacing="0" w:after="0" w:afterAutospacing="0" w:line="276" w:lineRule="auto"/>
        <w:jc w:val="center"/>
        <w:rPr>
          <w:rFonts w:ascii="Cambria" w:hAnsi="Cambria"/>
          <w:b/>
          <w:bCs/>
          <w:sz w:val="22"/>
          <w:szCs w:val="22"/>
        </w:rPr>
      </w:pPr>
    </w:p>
    <w:p w14:paraId="760C61FE">
      <w:pPr>
        <w:pStyle w:val="12"/>
        <w:spacing w:before="0" w:beforeAutospacing="0" w:after="0" w:afterAutospacing="0" w:line="276" w:lineRule="auto"/>
        <w:jc w:val="center"/>
        <w:rPr>
          <w:rFonts w:ascii="Cambria" w:hAnsi="Cambria"/>
          <w:b/>
          <w:bCs/>
          <w:sz w:val="22"/>
          <w:szCs w:val="22"/>
        </w:rPr>
      </w:pPr>
    </w:p>
    <w:p w14:paraId="0F3FD063">
      <w:pPr>
        <w:pStyle w:val="12"/>
        <w:spacing w:before="0" w:beforeAutospacing="0" w:after="0" w:afterAutospacing="0" w:line="276" w:lineRule="auto"/>
        <w:jc w:val="center"/>
        <w:rPr>
          <w:rFonts w:ascii="Cambria" w:hAnsi="Cambria"/>
          <w:b/>
          <w:bCs/>
          <w:sz w:val="22"/>
          <w:szCs w:val="22"/>
        </w:rPr>
      </w:pPr>
      <w:r>
        <w:rPr>
          <w:rFonts w:ascii="Cambria" w:hAnsi="Cambria"/>
          <w:b/>
          <w:bCs/>
          <w:sz w:val="22"/>
          <w:szCs w:val="22"/>
        </w:rPr>
        <w:t>SILVIA RAQUEL DE SÁ ARAÚJO BARBOSA</w:t>
      </w:r>
    </w:p>
    <w:p w14:paraId="2FC8BF65">
      <w:pPr>
        <w:pStyle w:val="12"/>
        <w:spacing w:before="0" w:beforeAutospacing="0" w:after="0" w:afterAutospacing="0" w:line="276" w:lineRule="auto"/>
        <w:jc w:val="center"/>
        <w:rPr>
          <w:rFonts w:ascii="Cambria" w:hAnsi="Cambria"/>
          <w:sz w:val="22"/>
          <w:szCs w:val="22"/>
        </w:rPr>
      </w:pPr>
      <w:r>
        <w:rPr>
          <w:rFonts w:ascii="Cambria" w:hAnsi="Cambria"/>
          <w:sz w:val="22"/>
          <w:szCs w:val="22"/>
        </w:rPr>
        <w:t>Gestora do Fundo Municipal de Saúde</w:t>
      </w:r>
    </w:p>
    <w:p w14:paraId="281E0953">
      <w:pPr>
        <w:pStyle w:val="12"/>
        <w:spacing w:before="0" w:beforeAutospacing="0" w:after="0" w:afterAutospacing="0" w:line="276" w:lineRule="auto"/>
        <w:jc w:val="center"/>
        <w:rPr>
          <w:rFonts w:ascii="Cambria" w:hAnsi="Cambria"/>
          <w:sz w:val="22"/>
          <w:szCs w:val="22"/>
        </w:rPr>
      </w:pPr>
      <w:r>
        <w:rPr>
          <w:rFonts w:ascii="Cambria" w:hAnsi="Cambria"/>
          <w:sz w:val="22"/>
          <w:szCs w:val="22"/>
        </w:rPr>
        <w:t>Secretária Municipal de Saúde</w:t>
      </w:r>
    </w:p>
    <w:p w14:paraId="13147444">
      <w:pPr>
        <w:pStyle w:val="12"/>
        <w:spacing w:before="0" w:beforeAutospacing="0" w:after="0" w:afterAutospacing="0" w:line="276" w:lineRule="auto"/>
        <w:jc w:val="center"/>
        <w:rPr>
          <w:rFonts w:ascii="Cambria" w:hAnsi="Cambria"/>
          <w:sz w:val="22"/>
          <w:szCs w:val="22"/>
        </w:rPr>
      </w:pPr>
      <w:r>
        <w:rPr>
          <w:rFonts w:ascii="Cambria" w:hAnsi="Cambria"/>
          <w:sz w:val="22"/>
          <w:szCs w:val="22"/>
        </w:rPr>
        <w:t>Contratante</w:t>
      </w:r>
    </w:p>
    <w:p w14:paraId="40F9EEBE">
      <w:pPr>
        <w:spacing w:line="276" w:lineRule="auto"/>
        <w:jc w:val="center"/>
        <w:rPr>
          <w:rFonts w:ascii="Cambria" w:hAnsi="Cambria" w:eastAsia="Times New Roman" w:cs="Times New Roman"/>
          <w:lang w:eastAsia="pt-BR"/>
        </w:rPr>
      </w:pPr>
    </w:p>
    <w:p w14:paraId="36B6A209">
      <w:pPr>
        <w:spacing w:line="276" w:lineRule="auto"/>
        <w:jc w:val="center"/>
        <w:rPr>
          <w:rFonts w:ascii="Cambria" w:hAnsi="Cambria"/>
        </w:rPr>
      </w:pPr>
      <w:r>
        <w:rPr>
          <w:rFonts w:ascii="Cambria" w:hAnsi="Cambria" w:eastAsia="Times New Roman" w:cs="Times New Roman"/>
          <w:lang w:eastAsia="pt-BR"/>
        </w:rPr>
        <w:t>______________________________________</w:t>
      </w:r>
    </w:p>
    <w:p w14:paraId="4340140F">
      <w:pPr>
        <w:spacing w:line="276" w:lineRule="auto"/>
        <w:jc w:val="center"/>
        <w:rPr>
          <w:rFonts w:ascii="Cambria" w:hAnsi="Cambria" w:eastAsia="Times New Roman" w:cs="Times New Roman"/>
          <w:lang w:eastAsia="pt-BR"/>
        </w:rPr>
      </w:pPr>
      <w:r>
        <w:rPr>
          <w:rFonts w:ascii="Cambria" w:hAnsi="Cambria" w:eastAsia="Times New Roman" w:cs="Times New Roman"/>
          <w:lang w:eastAsia="pt-BR"/>
        </w:rPr>
        <w:t>Contratada</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01"/>
        <w:gridCol w:w="4601"/>
      </w:tblGrid>
      <w:tr w14:paraId="43D56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01" w:type="dxa"/>
          </w:tcPr>
          <w:p w14:paraId="0D094034">
            <w:pPr>
              <w:pStyle w:val="12"/>
              <w:spacing w:before="0" w:beforeAutospacing="0" w:after="0" w:afterAutospacing="0" w:line="276" w:lineRule="auto"/>
              <w:jc w:val="both"/>
              <w:rPr>
                <w:rFonts w:ascii="Cambria" w:hAnsi="Cambria"/>
                <w:b/>
                <w:bCs/>
                <w:sz w:val="22"/>
                <w:szCs w:val="22"/>
              </w:rPr>
            </w:pPr>
          </w:p>
          <w:p w14:paraId="749E44E8">
            <w:pPr>
              <w:pStyle w:val="12"/>
              <w:spacing w:before="0" w:beforeAutospacing="0" w:after="0" w:afterAutospacing="0" w:line="276" w:lineRule="auto"/>
              <w:jc w:val="both"/>
              <w:rPr>
                <w:rFonts w:ascii="Cambria" w:hAnsi="Cambria"/>
                <w:b/>
                <w:bCs/>
                <w:sz w:val="22"/>
                <w:szCs w:val="22"/>
              </w:rPr>
            </w:pPr>
            <w:r>
              <w:rPr>
                <w:rFonts w:ascii="Cambria" w:hAnsi="Cambria"/>
                <w:b/>
                <w:bCs/>
                <w:sz w:val="22"/>
                <w:szCs w:val="22"/>
              </w:rPr>
              <w:t xml:space="preserve">Testemunhas: </w:t>
            </w:r>
          </w:p>
          <w:p w14:paraId="0B2A6823">
            <w:pPr>
              <w:pStyle w:val="12"/>
              <w:spacing w:before="0" w:beforeAutospacing="0" w:after="0" w:afterAutospacing="0" w:line="276" w:lineRule="auto"/>
              <w:jc w:val="both"/>
              <w:rPr>
                <w:rFonts w:ascii="Cambria" w:hAnsi="Cambria"/>
                <w:b/>
                <w:bCs/>
                <w:sz w:val="22"/>
                <w:szCs w:val="22"/>
              </w:rPr>
            </w:pPr>
            <w:r>
              <w:rPr>
                <w:rFonts w:ascii="Cambria" w:hAnsi="Cambria"/>
                <w:b/>
                <w:bCs/>
                <w:sz w:val="22"/>
                <w:szCs w:val="22"/>
              </w:rPr>
              <w:t>01)</w:t>
            </w:r>
          </w:p>
        </w:tc>
        <w:tc>
          <w:tcPr>
            <w:tcW w:w="4601" w:type="dxa"/>
          </w:tcPr>
          <w:p w14:paraId="16163E17">
            <w:pPr>
              <w:pStyle w:val="12"/>
              <w:spacing w:before="0" w:beforeAutospacing="0" w:after="0" w:afterAutospacing="0" w:line="276" w:lineRule="auto"/>
              <w:jc w:val="both"/>
              <w:rPr>
                <w:rFonts w:ascii="Cambria" w:hAnsi="Cambria"/>
                <w:b/>
                <w:bCs/>
                <w:sz w:val="22"/>
                <w:szCs w:val="22"/>
              </w:rPr>
            </w:pPr>
          </w:p>
          <w:p w14:paraId="5C5D09AF">
            <w:pPr>
              <w:pStyle w:val="12"/>
              <w:spacing w:before="0" w:beforeAutospacing="0" w:after="0" w:afterAutospacing="0" w:line="276" w:lineRule="auto"/>
              <w:jc w:val="both"/>
              <w:rPr>
                <w:rFonts w:ascii="Cambria" w:hAnsi="Cambria"/>
                <w:b/>
                <w:bCs/>
                <w:sz w:val="22"/>
                <w:szCs w:val="22"/>
              </w:rPr>
            </w:pPr>
          </w:p>
          <w:p w14:paraId="74E9AE6D">
            <w:pPr>
              <w:pStyle w:val="12"/>
              <w:spacing w:before="0" w:beforeAutospacing="0" w:after="0" w:afterAutospacing="0" w:line="276" w:lineRule="auto"/>
              <w:jc w:val="both"/>
              <w:rPr>
                <w:rFonts w:ascii="Cambria" w:hAnsi="Cambria"/>
                <w:b/>
                <w:bCs/>
                <w:sz w:val="22"/>
                <w:szCs w:val="22"/>
              </w:rPr>
            </w:pPr>
            <w:r>
              <w:rPr>
                <w:rFonts w:ascii="Cambria" w:hAnsi="Cambria"/>
                <w:b/>
                <w:bCs/>
                <w:sz w:val="22"/>
                <w:szCs w:val="22"/>
              </w:rPr>
              <w:t>02)</w:t>
            </w:r>
          </w:p>
        </w:tc>
      </w:tr>
    </w:tbl>
    <w:p w14:paraId="2A314D93">
      <w:pPr>
        <w:tabs>
          <w:tab w:val="left" w:pos="2630"/>
        </w:tabs>
        <w:spacing w:line="276" w:lineRule="auto"/>
        <w:rPr>
          <w:lang w:eastAsia="pt-BR"/>
        </w:rPr>
      </w:pPr>
    </w:p>
    <w:sectPr>
      <w:type w:val="continuous"/>
      <w:pgSz w:w="11906" w:h="16838"/>
      <w:pgMar w:top="441" w:right="1134" w:bottom="567" w:left="1560" w:header="426" w:footer="474"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Liberation Mono"/>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等线">
    <w:altName w:val="Microsoft YaHei"/>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Ecofont_Spranq_eco_Sans">
    <w:altName w:val="Calibri"/>
    <w:panose1 w:val="00000000000000000000"/>
    <w:charset w:val="00"/>
    <w:family w:val="swiss"/>
    <w:pitch w:val="default"/>
    <w:sig w:usb0="00000000" w:usb1="00000000" w:usb2="00000000" w:usb3="00000000" w:csb0="00000001" w:csb1="00000000"/>
  </w:font>
  <w:font w:name="TimesNewRoman,Bold">
    <w:altName w:val="Liberation Mono"/>
    <w:panose1 w:val="00000000000000000000"/>
    <w:charset w:val="00"/>
    <w:family w:val="roman"/>
    <w:pitch w:val="default"/>
    <w:sig w:usb0="00000000" w:usb1="00000000" w:usb2="00000000" w:usb3="00000000" w:csb0="00000001" w:csb1="00000000"/>
  </w:font>
  <w:font w:name="Segoe UI">
    <w:panose1 w:val="020B0502040204020203"/>
    <w:charset w:val="00"/>
    <w:family w:val="swiss"/>
    <w:pitch w:val="default"/>
    <w:sig w:usb0="E4002EFF" w:usb1="C000E47F" w:usb2="00000009" w:usb3="00000000" w:csb0="200001FF" w:csb1="00000000"/>
  </w:font>
  <w:font w:name="Batang">
    <w:altName w:val="Malgun Gothic"/>
    <w:panose1 w:val="02030600000101010101"/>
    <w:charset w:val="81"/>
    <w:family w:val="roman"/>
    <w:pitch w:val="default"/>
    <w:sig w:usb0="00000000" w:usb1="00000000" w:usb2="00000030" w:usb3="00000000" w:csb0="0008009F" w:csb1="00000000"/>
  </w:font>
  <w:font w:name="Helvetica">
    <w:panose1 w:val="020B0604020202020204"/>
    <w:charset w:val="00"/>
    <w:family w:val="swiss"/>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8000012" w:usb3="00000000" w:csb0="0002009F" w:csb1="00000000"/>
  </w:font>
  <w:font w:name="Wingdings">
    <w:panose1 w:val="05000000000000000000"/>
    <w:charset w:val="02"/>
    <w:family w:val="auto"/>
    <w:pitch w:val="default"/>
    <w:sig w:usb0="00000000" w:usb1="00000000" w:usb2="00000000" w:usb3="00000000" w:csb0="80000000" w:csb1="00000000"/>
  </w:font>
  <w:font w:name="Calibri,Bold">
    <w:altName w:val="Calibri"/>
    <w:panose1 w:val="00000000000000000000"/>
    <w:charset w:val="00"/>
    <w:family w:val="swiss"/>
    <w:pitch w:val="default"/>
    <w:sig w:usb0="00000000" w:usb1="00000000" w:usb2="00000000" w:usb3="00000000" w:csb0="00000001" w:csb1="00000000"/>
  </w:font>
  <w:font w:name="Source Sans Pro">
    <w:panose1 w:val="020B0503030403020204"/>
    <w:charset w:val="00"/>
    <w:family w:val="swiss"/>
    <w:pitch w:val="default"/>
    <w:sig w:usb0="600002F7" w:usb1="02000001" w:usb2="00000000" w:usb3="00000000" w:csb0="2000019F" w:csb1="00000000"/>
  </w:font>
  <w:font w:name="Liberation Mono">
    <w:panose1 w:val="02070409020205020404"/>
    <w:charset w:val="00"/>
    <w:family w:val="auto"/>
    <w:pitch w:val="default"/>
    <w:sig w:usb0="E0000AFF" w:usb1="400078FF" w:usb2="00000001" w:usb3="00000000" w:csb0="600001BF" w:csb1="DFF70000"/>
  </w:font>
  <w:font w:name="Microsoft YaHei">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Source Sans Pro" w:hAnsi="Source Sans Pro"/>
      </w:rPr>
      <w:id w:val="-2024626930"/>
      <w:docPartObj>
        <w:docPartGallery w:val="AutoText"/>
      </w:docPartObj>
    </w:sdtPr>
    <w:sdtEndPr>
      <w:rPr>
        <w:rFonts w:ascii="Source Sans Pro" w:hAnsi="Source Sans Pro"/>
      </w:rPr>
    </w:sdtEndPr>
    <w:sdtContent>
      <w:sdt>
        <w:sdtPr>
          <w:rPr>
            <w:rFonts w:ascii="Source Sans Pro" w:hAnsi="Source Sans Pro"/>
          </w:rPr>
          <w:id w:val="1728636285"/>
          <w:docPartObj>
            <w:docPartGallery w:val="AutoText"/>
          </w:docPartObj>
        </w:sdtPr>
        <w:sdtEndPr>
          <w:rPr>
            <w:rFonts w:ascii="Source Sans Pro" w:hAnsi="Source Sans Pro"/>
          </w:rPr>
        </w:sdtEndPr>
        <w:sdtContent>
          <w:p w14:paraId="79DDABBB">
            <w:pPr>
              <w:pStyle w:val="15"/>
              <w:pBdr>
                <w:top w:val="single" w:color="auto" w:sz="18" w:space="1"/>
              </w:pBdr>
              <w:spacing w:before="240"/>
              <w:jc w:val="center"/>
              <w:rPr>
                <w:rFonts w:ascii="Source Sans Pro" w:hAnsi="Source Sans Pro"/>
              </w:rPr>
            </w:pPr>
            <w:r>
              <w:rPr>
                <w:rFonts w:ascii="Source Sans Pro" w:hAnsi="Source Sans Pro"/>
              </w:rPr>
              <w:t xml:space="preserve">Página </w:t>
            </w:r>
            <w:r>
              <w:rPr>
                <w:rFonts w:ascii="Source Sans Pro" w:hAnsi="Source Sans Pro"/>
                <w:b/>
                <w:bCs/>
              </w:rPr>
              <w:fldChar w:fldCharType="begin"/>
            </w:r>
            <w:r>
              <w:rPr>
                <w:rFonts w:ascii="Source Sans Pro" w:hAnsi="Source Sans Pro"/>
                <w:b/>
                <w:bCs/>
              </w:rPr>
              <w:instrText xml:space="preserve">PAGE</w:instrText>
            </w:r>
            <w:r>
              <w:rPr>
                <w:rFonts w:ascii="Source Sans Pro" w:hAnsi="Source Sans Pro"/>
                <w:b/>
                <w:bCs/>
              </w:rPr>
              <w:fldChar w:fldCharType="separate"/>
            </w:r>
            <w:r>
              <w:rPr>
                <w:rFonts w:ascii="Source Sans Pro" w:hAnsi="Source Sans Pro"/>
                <w:b/>
                <w:bCs/>
              </w:rPr>
              <w:t>2</w:t>
            </w:r>
            <w:r>
              <w:rPr>
                <w:rFonts w:ascii="Source Sans Pro" w:hAnsi="Source Sans Pro"/>
                <w:b/>
                <w:bCs/>
              </w:rPr>
              <w:fldChar w:fldCharType="end"/>
            </w:r>
            <w:r>
              <w:rPr>
                <w:rFonts w:ascii="Source Sans Pro" w:hAnsi="Source Sans Pro"/>
              </w:rPr>
              <w:t xml:space="preserve"> de </w:t>
            </w:r>
            <w:r>
              <w:rPr>
                <w:rFonts w:ascii="Source Sans Pro" w:hAnsi="Source Sans Pro"/>
                <w:b/>
                <w:bCs/>
              </w:rPr>
              <w:fldChar w:fldCharType="begin"/>
            </w:r>
            <w:r>
              <w:rPr>
                <w:rFonts w:ascii="Source Sans Pro" w:hAnsi="Source Sans Pro"/>
                <w:b/>
                <w:bCs/>
              </w:rPr>
              <w:instrText xml:space="preserve">NUMPAGES</w:instrText>
            </w:r>
            <w:r>
              <w:rPr>
                <w:rFonts w:ascii="Source Sans Pro" w:hAnsi="Source Sans Pro"/>
                <w:b/>
                <w:bCs/>
              </w:rPr>
              <w:fldChar w:fldCharType="separate"/>
            </w:r>
            <w:r>
              <w:rPr>
                <w:rFonts w:ascii="Source Sans Pro" w:hAnsi="Source Sans Pro"/>
                <w:b/>
                <w:bCs/>
              </w:rPr>
              <w:t>2</w:t>
            </w:r>
            <w:r>
              <w:rPr>
                <w:rFonts w:ascii="Source Sans Pro" w:hAnsi="Source Sans Pro"/>
                <w:b/>
                <w:bCs/>
              </w:rPr>
              <w:fldChar w:fldCharType="end"/>
            </w:r>
          </w:p>
        </w:sdtContent>
      </w:sdt>
    </w:sdtContent>
  </w:sdt>
  <w:p w14:paraId="5DD1D52C">
    <w:pPr>
      <w:pStyle w:val="14"/>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9D275">
    <w:pPr>
      <w:pStyle w:val="12"/>
      <w:pBdr>
        <w:bottom w:val="single" w:color="auto" w:sz="18" w:space="1"/>
      </w:pBdr>
      <w:tabs>
        <w:tab w:val="right" w:pos="8504"/>
      </w:tabs>
    </w:pPr>
    <w:r>
      <w:drawing>
        <wp:inline distT="0" distB="0" distL="0" distR="0">
          <wp:extent cx="5838825" cy="713105"/>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40144" cy="71326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1A80E">
    <w:pPr>
      <w:pStyle w:val="14"/>
    </w:pPr>
    <w:r>
      <w:pict>
        <v:shape id="WordPictureWatermark195387157" o:spid="_x0000_s1032" o:spt="75" type="#_x0000_t75" style="position:absolute;left:0pt;height:841.9pt;width:595.7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Sem título-2"/>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84A2D">
    <w:pPr>
      <w:pStyle w:val="14"/>
    </w:pPr>
    <w:r>
      <w:pict>
        <v:shape id="WordPictureWatermark195387156" o:spid="_x0000_s1031" o:spt="75" type="#_x0000_t75" style="position:absolute;left:0pt;height:841.9pt;width:595.7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o:title="Sem título-2"/>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C84ED2"/>
    <w:multiLevelType w:val="multilevel"/>
    <w:tmpl w:val="27C84ED2"/>
    <w:lvl w:ilvl="0" w:tentative="0">
      <w:start w:val="8"/>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1430" w:hanging="720"/>
      </w:pPr>
      <w:rPr>
        <w:rFonts w:hint="default"/>
        <w:i w:val="0"/>
        <w:iCs w:val="0"/>
        <w:sz w:val="24"/>
        <w:szCs w:val="24"/>
      </w:rPr>
    </w:lvl>
    <w:lvl w:ilvl="3" w:tentative="0">
      <w:start w:val="1"/>
      <w:numFmt w:val="decimal"/>
      <w:pStyle w:val="50"/>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
    <w:nsid w:val="289C1200"/>
    <w:multiLevelType w:val="multilevel"/>
    <w:tmpl w:val="289C1200"/>
    <w:lvl w:ilvl="0" w:tentative="0">
      <w:start w:val="4"/>
      <w:numFmt w:val="decimal"/>
      <w:lvlText w:val="%1"/>
      <w:lvlJc w:val="left"/>
      <w:pPr>
        <w:ind w:left="360" w:hanging="360"/>
      </w:pPr>
      <w:rPr>
        <w:rFonts w:hint="default"/>
      </w:rPr>
    </w:lvl>
    <w:lvl w:ilvl="1" w:tentative="0">
      <w:start w:val="4"/>
      <w:numFmt w:val="decimal"/>
      <w:lvlText w:val="%1.%2"/>
      <w:lvlJc w:val="left"/>
      <w:pPr>
        <w:ind w:left="360" w:hanging="360"/>
      </w:pPr>
      <w:rPr>
        <w:rFonts w:hint="default"/>
      </w:rPr>
    </w:lvl>
    <w:lvl w:ilvl="2" w:tentative="0">
      <w:start w:val="1"/>
      <w:numFmt w:val="decimal"/>
      <w:pStyle w:val="55"/>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
    <w:nsid w:val="37795E44"/>
    <w:multiLevelType w:val="multilevel"/>
    <w:tmpl w:val="37795E4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08"/>
  <w:hyphenationZone w:val="425"/>
  <w:characterSpacingControl w:val="doNotCompress"/>
  <w:hdrShapeDefaults>
    <o:shapelayout v:ext="edit">
      <o:idmap v:ext="edit" data="1"/>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50D"/>
    <w:rsid w:val="0000208E"/>
    <w:rsid w:val="0000238E"/>
    <w:rsid w:val="000055DE"/>
    <w:rsid w:val="00007145"/>
    <w:rsid w:val="00010D62"/>
    <w:rsid w:val="000119A4"/>
    <w:rsid w:val="000144D0"/>
    <w:rsid w:val="000146E6"/>
    <w:rsid w:val="0001705D"/>
    <w:rsid w:val="00017B18"/>
    <w:rsid w:val="00023999"/>
    <w:rsid w:val="00023B1D"/>
    <w:rsid w:val="00023BEA"/>
    <w:rsid w:val="00030F9A"/>
    <w:rsid w:val="00031408"/>
    <w:rsid w:val="0003143A"/>
    <w:rsid w:val="00031CC0"/>
    <w:rsid w:val="000325F0"/>
    <w:rsid w:val="000342BA"/>
    <w:rsid w:val="0003467E"/>
    <w:rsid w:val="00036D14"/>
    <w:rsid w:val="000439F2"/>
    <w:rsid w:val="00045E2C"/>
    <w:rsid w:val="00047B30"/>
    <w:rsid w:val="000504C8"/>
    <w:rsid w:val="00051F4B"/>
    <w:rsid w:val="00052A1D"/>
    <w:rsid w:val="000530F9"/>
    <w:rsid w:val="00055AE2"/>
    <w:rsid w:val="000562B6"/>
    <w:rsid w:val="00057BAC"/>
    <w:rsid w:val="00060C49"/>
    <w:rsid w:val="00060D28"/>
    <w:rsid w:val="00062B51"/>
    <w:rsid w:val="00062D4A"/>
    <w:rsid w:val="000645FE"/>
    <w:rsid w:val="00064B0C"/>
    <w:rsid w:val="00064D96"/>
    <w:rsid w:val="00065BE0"/>
    <w:rsid w:val="00065F4F"/>
    <w:rsid w:val="000667C6"/>
    <w:rsid w:val="000724FA"/>
    <w:rsid w:val="00074367"/>
    <w:rsid w:val="000770FC"/>
    <w:rsid w:val="00080FA8"/>
    <w:rsid w:val="00082A3E"/>
    <w:rsid w:val="00085FF6"/>
    <w:rsid w:val="000876A0"/>
    <w:rsid w:val="00090FE4"/>
    <w:rsid w:val="00092076"/>
    <w:rsid w:val="00093637"/>
    <w:rsid w:val="0009438B"/>
    <w:rsid w:val="00094919"/>
    <w:rsid w:val="000951C0"/>
    <w:rsid w:val="000A4382"/>
    <w:rsid w:val="000A47D5"/>
    <w:rsid w:val="000A5790"/>
    <w:rsid w:val="000B294D"/>
    <w:rsid w:val="000B4039"/>
    <w:rsid w:val="000B7C6D"/>
    <w:rsid w:val="000C08BB"/>
    <w:rsid w:val="000C0EF3"/>
    <w:rsid w:val="000C1204"/>
    <w:rsid w:val="000C22BF"/>
    <w:rsid w:val="000C32A6"/>
    <w:rsid w:val="000C50B9"/>
    <w:rsid w:val="000C598F"/>
    <w:rsid w:val="000C6721"/>
    <w:rsid w:val="000C6D83"/>
    <w:rsid w:val="000C6FCF"/>
    <w:rsid w:val="000C73DC"/>
    <w:rsid w:val="000C7406"/>
    <w:rsid w:val="000C77D6"/>
    <w:rsid w:val="000D051F"/>
    <w:rsid w:val="000D08AB"/>
    <w:rsid w:val="000D1850"/>
    <w:rsid w:val="000D4784"/>
    <w:rsid w:val="000D5079"/>
    <w:rsid w:val="000D50C8"/>
    <w:rsid w:val="000D5665"/>
    <w:rsid w:val="000D63FE"/>
    <w:rsid w:val="000D6968"/>
    <w:rsid w:val="000E03C5"/>
    <w:rsid w:val="000E460B"/>
    <w:rsid w:val="000E5711"/>
    <w:rsid w:val="000E5B20"/>
    <w:rsid w:val="000F1536"/>
    <w:rsid w:val="000F41D9"/>
    <w:rsid w:val="000F4629"/>
    <w:rsid w:val="000F4F07"/>
    <w:rsid w:val="000F5360"/>
    <w:rsid w:val="000F56E7"/>
    <w:rsid w:val="000F779C"/>
    <w:rsid w:val="000F79E6"/>
    <w:rsid w:val="00100BF3"/>
    <w:rsid w:val="00101FF1"/>
    <w:rsid w:val="00102F17"/>
    <w:rsid w:val="001036A9"/>
    <w:rsid w:val="00104C88"/>
    <w:rsid w:val="00104F4A"/>
    <w:rsid w:val="001069FD"/>
    <w:rsid w:val="00112D3B"/>
    <w:rsid w:val="00120891"/>
    <w:rsid w:val="0012256D"/>
    <w:rsid w:val="0012327F"/>
    <w:rsid w:val="0012621D"/>
    <w:rsid w:val="0013377B"/>
    <w:rsid w:val="00134432"/>
    <w:rsid w:val="0013674A"/>
    <w:rsid w:val="00136AE1"/>
    <w:rsid w:val="00141C5F"/>
    <w:rsid w:val="00142094"/>
    <w:rsid w:val="00143972"/>
    <w:rsid w:val="001457A3"/>
    <w:rsid w:val="00147285"/>
    <w:rsid w:val="00147347"/>
    <w:rsid w:val="00150FF5"/>
    <w:rsid w:val="001542E7"/>
    <w:rsid w:val="00154896"/>
    <w:rsid w:val="001557CE"/>
    <w:rsid w:val="00155B8E"/>
    <w:rsid w:val="00155BE2"/>
    <w:rsid w:val="00156810"/>
    <w:rsid w:val="0016014E"/>
    <w:rsid w:val="00161BD1"/>
    <w:rsid w:val="0016279A"/>
    <w:rsid w:val="00163021"/>
    <w:rsid w:val="001646BF"/>
    <w:rsid w:val="00166F5B"/>
    <w:rsid w:val="001678F4"/>
    <w:rsid w:val="001702DE"/>
    <w:rsid w:val="0017054A"/>
    <w:rsid w:val="00170D2D"/>
    <w:rsid w:val="0017154E"/>
    <w:rsid w:val="001723BD"/>
    <w:rsid w:val="001724C3"/>
    <w:rsid w:val="00177C0F"/>
    <w:rsid w:val="00177CAC"/>
    <w:rsid w:val="00190852"/>
    <w:rsid w:val="0019134D"/>
    <w:rsid w:val="00191AF9"/>
    <w:rsid w:val="00194CE0"/>
    <w:rsid w:val="00197BCA"/>
    <w:rsid w:val="001A0145"/>
    <w:rsid w:val="001A064F"/>
    <w:rsid w:val="001A29C5"/>
    <w:rsid w:val="001A2E82"/>
    <w:rsid w:val="001A5317"/>
    <w:rsid w:val="001A56CA"/>
    <w:rsid w:val="001A6232"/>
    <w:rsid w:val="001A6C08"/>
    <w:rsid w:val="001A70F1"/>
    <w:rsid w:val="001A7670"/>
    <w:rsid w:val="001B0186"/>
    <w:rsid w:val="001B31C6"/>
    <w:rsid w:val="001B3CD5"/>
    <w:rsid w:val="001B6EF5"/>
    <w:rsid w:val="001B7073"/>
    <w:rsid w:val="001B72B2"/>
    <w:rsid w:val="001B7866"/>
    <w:rsid w:val="001B7A45"/>
    <w:rsid w:val="001C0589"/>
    <w:rsid w:val="001C1F55"/>
    <w:rsid w:val="001C3A28"/>
    <w:rsid w:val="001C505E"/>
    <w:rsid w:val="001D0E12"/>
    <w:rsid w:val="001D605A"/>
    <w:rsid w:val="001D6BD1"/>
    <w:rsid w:val="001D77BF"/>
    <w:rsid w:val="001E38C1"/>
    <w:rsid w:val="001E791B"/>
    <w:rsid w:val="001F0AF8"/>
    <w:rsid w:val="001F1C7F"/>
    <w:rsid w:val="001F5D44"/>
    <w:rsid w:val="001F6262"/>
    <w:rsid w:val="0020163E"/>
    <w:rsid w:val="00201D7D"/>
    <w:rsid w:val="00203BD1"/>
    <w:rsid w:val="002059B5"/>
    <w:rsid w:val="00210CC6"/>
    <w:rsid w:val="002129C9"/>
    <w:rsid w:val="0021322F"/>
    <w:rsid w:val="00213BA0"/>
    <w:rsid w:val="00216BD7"/>
    <w:rsid w:val="0022393E"/>
    <w:rsid w:val="002257A8"/>
    <w:rsid w:val="00230346"/>
    <w:rsid w:val="0023166E"/>
    <w:rsid w:val="00233416"/>
    <w:rsid w:val="002335B2"/>
    <w:rsid w:val="002345FF"/>
    <w:rsid w:val="00236423"/>
    <w:rsid w:val="002367BD"/>
    <w:rsid w:val="0023728E"/>
    <w:rsid w:val="00241940"/>
    <w:rsid w:val="00243642"/>
    <w:rsid w:val="0024385F"/>
    <w:rsid w:val="00243EB3"/>
    <w:rsid w:val="0024513E"/>
    <w:rsid w:val="00245FA6"/>
    <w:rsid w:val="00246522"/>
    <w:rsid w:val="0024697D"/>
    <w:rsid w:val="002508BF"/>
    <w:rsid w:val="0025584D"/>
    <w:rsid w:val="00256A96"/>
    <w:rsid w:val="0026020C"/>
    <w:rsid w:val="002617EC"/>
    <w:rsid w:val="002622BA"/>
    <w:rsid w:val="002624C9"/>
    <w:rsid w:val="002640C4"/>
    <w:rsid w:val="00264E28"/>
    <w:rsid w:val="00265658"/>
    <w:rsid w:val="00266C87"/>
    <w:rsid w:val="002679A4"/>
    <w:rsid w:val="0027377D"/>
    <w:rsid w:val="002746A8"/>
    <w:rsid w:val="002749E9"/>
    <w:rsid w:val="00274BF2"/>
    <w:rsid w:val="00274D96"/>
    <w:rsid w:val="00280DDC"/>
    <w:rsid w:val="00285239"/>
    <w:rsid w:val="00285A66"/>
    <w:rsid w:val="00286CC8"/>
    <w:rsid w:val="00287924"/>
    <w:rsid w:val="00287EC4"/>
    <w:rsid w:val="0029154F"/>
    <w:rsid w:val="0029458C"/>
    <w:rsid w:val="00294814"/>
    <w:rsid w:val="0029777E"/>
    <w:rsid w:val="00297B3D"/>
    <w:rsid w:val="002A0398"/>
    <w:rsid w:val="002A35C8"/>
    <w:rsid w:val="002A4070"/>
    <w:rsid w:val="002A41E9"/>
    <w:rsid w:val="002A4FA8"/>
    <w:rsid w:val="002A5722"/>
    <w:rsid w:val="002A5FE8"/>
    <w:rsid w:val="002A6651"/>
    <w:rsid w:val="002A6DD7"/>
    <w:rsid w:val="002B2D6F"/>
    <w:rsid w:val="002B4AAC"/>
    <w:rsid w:val="002B4E92"/>
    <w:rsid w:val="002B53D3"/>
    <w:rsid w:val="002C65D1"/>
    <w:rsid w:val="002D25B0"/>
    <w:rsid w:val="002D2F89"/>
    <w:rsid w:val="002D3D52"/>
    <w:rsid w:val="002D75D6"/>
    <w:rsid w:val="002E13C5"/>
    <w:rsid w:val="002E15F5"/>
    <w:rsid w:val="002E1C5B"/>
    <w:rsid w:val="002E40F6"/>
    <w:rsid w:val="002E46EF"/>
    <w:rsid w:val="002E550D"/>
    <w:rsid w:val="002E5D3A"/>
    <w:rsid w:val="002E7D9E"/>
    <w:rsid w:val="002F19E2"/>
    <w:rsid w:val="002F1DD3"/>
    <w:rsid w:val="002F246C"/>
    <w:rsid w:val="002F32E4"/>
    <w:rsid w:val="002F4E6F"/>
    <w:rsid w:val="00301C9C"/>
    <w:rsid w:val="003021A8"/>
    <w:rsid w:val="00302BC4"/>
    <w:rsid w:val="00304CEB"/>
    <w:rsid w:val="00312AA7"/>
    <w:rsid w:val="00312D07"/>
    <w:rsid w:val="00316156"/>
    <w:rsid w:val="00316DE5"/>
    <w:rsid w:val="003173E9"/>
    <w:rsid w:val="0032083F"/>
    <w:rsid w:val="00322419"/>
    <w:rsid w:val="00323A5F"/>
    <w:rsid w:val="00324372"/>
    <w:rsid w:val="00325E9E"/>
    <w:rsid w:val="0032642A"/>
    <w:rsid w:val="00327016"/>
    <w:rsid w:val="00330F19"/>
    <w:rsid w:val="003313E4"/>
    <w:rsid w:val="003315F3"/>
    <w:rsid w:val="0033396D"/>
    <w:rsid w:val="00335489"/>
    <w:rsid w:val="003354FA"/>
    <w:rsid w:val="0033769A"/>
    <w:rsid w:val="00340464"/>
    <w:rsid w:val="003406BE"/>
    <w:rsid w:val="00345C30"/>
    <w:rsid w:val="0034644F"/>
    <w:rsid w:val="0034738F"/>
    <w:rsid w:val="00347D04"/>
    <w:rsid w:val="00351D65"/>
    <w:rsid w:val="003524C9"/>
    <w:rsid w:val="00352603"/>
    <w:rsid w:val="00352F9B"/>
    <w:rsid w:val="00353212"/>
    <w:rsid w:val="00353949"/>
    <w:rsid w:val="00353E49"/>
    <w:rsid w:val="00354579"/>
    <w:rsid w:val="00355E48"/>
    <w:rsid w:val="003561FD"/>
    <w:rsid w:val="003568CE"/>
    <w:rsid w:val="003568FD"/>
    <w:rsid w:val="00360FC9"/>
    <w:rsid w:val="003632F3"/>
    <w:rsid w:val="0036391D"/>
    <w:rsid w:val="00364F70"/>
    <w:rsid w:val="00367B0C"/>
    <w:rsid w:val="00370D62"/>
    <w:rsid w:val="00372572"/>
    <w:rsid w:val="0037277A"/>
    <w:rsid w:val="00373164"/>
    <w:rsid w:val="0037456B"/>
    <w:rsid w:val="00376190"/>
    <w:rsid w:val="003761A7"/>
    <w:rsid w:val="003769B4"/>
    <w:rsid w:val="00380250"/>
    <w:rsid w:val="003817AC"/>
    <w:rsid w:val="003829FD"/>
    <w:rsid w:val="00385DE0"/>
    <w:rsid w:val="00385E47"/>
    <w:rsid w:val="00387744"/>
    <w:rsid w:val="00387903"/>
    <w:rsid w:val="003906F8"/>
    <w:rsid w:val="00390A8E"/>
    <w:rsid w:val="00390F2D"/>
    <w:rsid w:val="003920BE"/>
    <w:rsid w:val="00392B14"/>
    <w:rsid w:val="00394548"/>
    <w:rsid w:val="00394EF8"/>
    <w:rsid w:val="0039759E"/>
    <w:rsid w:val="003A17C0"/>
    <w:rsid w:val="003A4B00"/>
    <w:rsid w:val="003A7E95"/>
    <w:rsid w:val="003B2150"/>
    <w:rsid w:val="003B3272"/>
    <w:rsid w:val="003B396C"/>
    <w:rsid w:val="003B3A62"/>
    <w:rsid w:val="003B42B6"/>
    <w:rsid w:val="003B4E61"/>
    <w:rsid w:val="003B65E8"/>
    <w:rsid w:val="003B6C8C"/>
    <w:rsid w:val="003B7A37"/>
    <w:rsid w:val="003C0C0D"/>
    <w:rsid w:val="003C2CF8"/>
    <w:rsid w:val="003C6234"/>
    <w:rsid w:val="003C6E4C"/>
    <w:rsid w:val="003C6FB3"/>
    <w:rsid w:val="003D0AEC"/>
    <w:rsid w:val="003D46B8"/>
    <w:rsid w:val="003D5873"/>
    <w:rsid w:val="003D6635"/>
    <w:rsid w:val="003D66C6"/>
    <w:rsid w:val="003E0D80"/>
    <w:rsid w:val="003E18B7"/>
    <w:rsid w:val="003E321D"/>
    <w:rsid w:val="003E4827"/>
    <w:rsid w:val="003E6BD1"/>
    <w:rsid w:val="003E76A1"/>
    <w:rsid w:val="003E785B"/>
    <w:rsid w:val="003F029B"/>
    <w:rsid w:val="003F193E"/>
    <w:rsid w:val="003F2E4B"/>
    <w:rsid w:val="003F6B3C"/>
    <w:rsid w:val="003F6B6D"/>
    <w:rsid w:val="003F7558"/>
    <w:rsid w:val="00401703"/>
    <w:rsid w:val="00401A71"/>
    <w:rsid w:val="00402429"/>
    <w:rsid w:val="00402B20"/>
    <w:rsid w:val="00404133"/>
    <w:rsid w:val="004049A2"/>
    <w:rsid w:val="00404AD0"/>
    <w:rsid w:val="00405F99"/>
    <w:rsid w:val="004067F4"/>
    <w:rsid w:val="004116C9"/>
    <w:rsid w:val="004140C2"/>
    <w:rsid w:val="00415754"/>
    <w:rsid w:val="00415D61"/>
    <w:rsid w:val="004167B1"/>
    <w:rsid w:val="0042234D"/>
    <w:rsid w:val="00422D59"/>
    <w:rsid w:val="004232E9"/>
    <w:rsid w:val="004340D3"/>
    <w:rsid w:val="004418B7"/>
    <w:rsid w:val="00442703"/>
    <w:rsid w:val="00450887"/>
    <w:rsid w:val="00453651"/>
    <w:rsid w:val="004559FD"/>
    <w:rsid w:val="00456607"/>
    <w:rsid w:val="00457B58"/>
    <w:rsid w:val="00461E92"/>
    <w:rsid w:val="00461EE4"/>
    <w:rsid w:val="004629DD"/>
    <w:rsid w:val="00462A45"/>
    <w:rsid w:val="004633C5"/>
    <w:rsid w:val="00464DF1"/>
    <w:rsid w:val="00466E05"/>
    <w:rsid w:val="004706D5"/>
    <w:rsid w:val="004716DB"/>
    <w:rsid w:val="00471E3B"/>
    <w:rsid w:val="00472F68"/>
    <w:rsid w:val="00475387"/>
    <w:rsid w:val="004756AE"/>
    <w:rsid w:val="00475719"/>
    <w:rsid w:val="004775F4"/>
    <w:rsid w:val="00480573"/>
    <w:rsid w:val="00481CA4"/>
    <w:rsid w:val="00481DDC"/>
    <w:rsid w:val="00482DF3"/>
    <w:rsid w:val="004846FC"/>
    <w:rsid w:val="00484ABC"/>
    <w:rsid w:val="0048517C"/>
    <w:rsid w:val="004861CA"/>
    <w:rsid w:val="004872B5"/>
    <w:rsid w:val="00490461"/>
    <w:rsid w:val="0049056A"/>
    <w:rsid w:val="00495DAF"/>
    <w:rsid w:val="00495DD5"/>
    <w:rsid w:val="004A1901"/>
    <w:rsid w:val="004A1990"/>
    <w:rsid w:val="004A1A5D"/>
    <w:rsid w:val="004A1B65"/>
    <w:rsid w:val="004A3541"/>
    <w:rsid w:val="004A62D9"/>
    <w:rsid w:val="004B04CC"/>
    <w:rsid w:val="004B2E16"/>
    <w:rsid w:val="004B2EAB"/>
    <w:rsid w:val="004B3489"/>
    <w:rsid w:val="004B5FB7"/>
    <w:rsid w:val="004B624F"/>
    <w:rsid w:val="004B6E69"/>
    <w:rsid w:val="004B723D"/>
    <w:rsid w:val="004C2521"/>
    <w:rsid w:val="004C47AB"/>
    <w:rsid w:val="004C5782"/>
    <w:rsid w:val="004D04C6"/>
    <w:rsid w:val="004D04CA"/>
    <w:rsid w:val="004D0F4C"/>
    <w:rsid w:val="004D10E3"/>
    <w:rsid w:val="004D1835"/>
    <w:rsid w:val="004D3B27"/>
    <w:rsid w:val="004D7308"/>
    <w:rsid w:val="004D75BF"/>
    <w:rsid w:val="004D7C73"/>
    <w:rsid w:val="004E3B64"/>
    <w:rsid w:val="004E4515"/>
    <w:rsid w:val="004E47A2"/>
    <w:rsid w:val="004E566E"/>
    <w:rsid w:val="004E5F87"/>
    <w:rsid w:val="004E63CE"/>
    <w:rsid w:val="004E75F2"/>
    <w:rsid w:val="004F1198"/>
    <w:rsid w:val="004F1EED"/>
    <w:rsid w:val="004F2055"/>
    <w:rsid w:val="004F3D7B"/>
    <w:rsid w:val="004F5D49"/>
    <w:rsid w:val="004F6557"/>
    <w:rsid w:val="004F7664"/>
    <w:rsid w:val="00500683"/>
    <w:rsid w:val="00500FA0"/>
    <w:rsid w:val="00501BA0"/>
    <w:rsid w:val="00504D58"/>
    <w:rsid w:val="005059E2"/>
    <w:rsid w:val="0050632E"/>
    <w:rsid w:val="005115DD"/>
    <w:rsid w:val="005118B5"/>
    <w:rsid w:val="00511BE5"/>
    <w:rsid w:val="00512092"/>
    <w:rsid w:val="00515783"/>
    <w:rsid w:val="00515F5C"/>
    <w:rsid w:val="0051605D"/>
    <w:rsid w:val="005161DF"/>
    <w:rsid w:val="00521458"/>
    <w:rsid w:val="00523C23"/>
    <w:rsid w:val="005249EB"/>
    <w:rsid w:val="00526272"/>
    <w:rsid w:val="00526878"/>
    <w:rsid w:val="00534099"/>
    <w:rsid w:val="00534DE4"/>
    <w:rsid w:val="00536D97"/>
    <w:rsid w:val="0054189A"/>
    <w:rsid w:val="00545930"/>
    <w:rsid w:val="00547073"/>
    <w:rsid w:val="005479AF"/>
    <w:rsid w:val="00550F5F"/>
    <w:rsid w:val="005529C8"/>
    <w:rsid w:val="005529E8"/>
    <w:rsid w:val="00555BE7"/>
    <w:rsid w:val="005623CF"/>
    <w:rsid w:val="005627C6"/>
    <w:rsid w:val="00562C64"/>
    <w:rsid w:val="00564D78"/>
    <w:rsid w:val="00565A8E"/>
    <w:rsid w:val="00565C11"/>
    <w:rsid w:val="005665AB"/>
    <w:rsid w:val="00567DE3"/>
    <w:rsid w:val="005713A2"/>
    <w:rsid w:val="00572306"/>
    <w:rsid w:val="0057584F"/>
    <w:rsid w:val="00576028"/>
    <w:rsid w:val="00576AB1"/>
    <w:rsid w:val="005841E7"/>
    <w:rsid w:val="005862A0"/>
    <w:rsid w:val="0058662C"/>
    <w:rsid w:val="00586C90"/>
    <w:rsid w:val="00587220"/>
    <w:rsid w:val="0059181B"/>
    <w:rsid w:val="00593890"/>
    <w:rsid w:val="0059390C"/>
    <w:rsid w:val="005948EA"/>
    <w:rsid w:val="005A0DD0"/>
    <w:rsid w:val="005A1F23"/>
    <w:rsid w:val="005A4BB2"/>
    <w:rsid w:val="005A54A5"/>
    <w:rsid w:val="005A54FD"/>
    <w:rsid w:val="005A6C05"/>
    <w:rsid w:val="005B0347"/>
    <w:rsid w:val="005B096D"/>
    <w:rsid w:val="005B09A9"/>
    <w:rsid w:val="005B1793"/>
    <w:rsid w:val="005B1D90"/>
    <w:rsid w:val="005B4140"/>
    <w:rsid w:val="005B4617"/>
    <w:rsid w:val="005B5624"/>
    <w:rsid w:val="005B67E3"/>
    <w:rsid w:val="005B792F"/>
    <w:rsid w:val="005C406B"/>
    <w:rsid w:val="005C55C2"/>
    <w:rsid w:val="005C56DB"/>
    <w:rsid w:val="005C5D0A"/>
    <w:rsid w:val="005C77B6"/>
    <w:rsid w:val="005D2490"/>
    <w:rsid w:val="005D2732"/>
    <w:rsid w:val="005D277C"/>
    <w:rsid w:val="005D3294"/>
    <w:rsid w:val="005D5A8F"/>
    <w:rsid w:val="005D666F"/>
    <w:rsid w:val="005D6C4C"/>
    <w:rsid w:val="005D7146"/>
    <w:rsid w:val="005E0A14"/>
    <w:rsid w:val="005E10D4"/>
    <w:rsid w:val="005E1FFF"/>
    <w:rsid w:val="005E6572"/>
    <w:rsid w:val="005F0D2B"/>
    <w:rsid w:val="005F0FDB"/>
    <w:rsid w:val="005F3074"/>
    <w:rsid w:val="005F39EE"/>
    <w:rsid w:val="005F4EAD"/>
    <w:rsid w:val="005F4EE8"/>
    <w:rsid w:val="005F5CBB"/>
    <w:rsid w:val="005F5FE9"/>
    <w:rsid w:val="005F60F3"/>
    <w:rsid w:val="005F7FC3"/>
    <w:rsid w:val="00603F48"/>
    <w:rsid w:val="00613776"/>
    <w:rsid w:val="0061631A"/>
    <w:rsid w:val="00616E68"/>
    <w:rsid w:val="00622BD0"/>
    <w:rsid w:val="00622D9C"/>
    <w:rsid w:val="0062345B"/>
    <w:rsid w:val="0062787C"/>
    <w:rsid w:val="0063068E"/>
    <w:rsid w:val="00631E9E"/>
    <w:rsid w:val="006345A9"/>
    <w:rsid w:val="00634659"/>
    <w:rsid w:val="006352C3"/>
    <w:rsid w:val="006366AB"/>
    <w:rsid w:val="00636C73"/>
    <w:rsid w:val="00637D7C"/>
    <w:rsid w:val="00640BED"/>
    <w:rsid w:val="00641758"/>
    <w:rsid w:val="00642272"/>
    <w:rsid w:val="00644C89"/>
    <w:rsid w:val="0064540F"/>
    <w:rsid w:val="00645A49"/>
    <w:rsid w:val="00653A29"/>
    <w:rsid w:val="00653F54"/>
    <w:rsid w:val="00657A19"/>
    <w:rsid w:val="006624D3"/>
    <w:rsid w:val="00663FD7"/>
    <w:rsid w:val="006641BA"/>
    <w:rsid w:val="006653C8"/>
    <w:rsid w:val="0066633D"/>
    <w:rsid w:val="0066639C"/>
    <w:rsid w:val="006668A3"/>
    <w:rsid w:val="00667C77"/>
    <w:rsid w:val="0067142C"/>
    <w:rsid w:val="006721B2"/>
    <w:rsid w:val="006756E2"/>
    <w:rsid w:val="006762BE"/>
    <w:rsid w:val="00676338"/>
    <w:rsid w:val="00676B95"/>
    <w:rsid w:val="00687E21"/>
    <w:rsid w:val="00692CCE"/>
    <w:rsid w:val="00693647"/>
    <w:rsid w:val="00693B95"/>
    <w:rsid w:val="00693D82"/>
    <w:rsid w:val="0069497D"/>
    <w:rsid w:val="00694AE2"/>
    <w:rsid w:val="0069565A"/>
    <w:rsid w:val="006A2077"/>
    <w:rsid w:val="006A34A9"/>
    <w:rsid w:val="006A4001"/>
    <w:rsid w:val="006A47A4"/>
    <w:rsid w:val="006A5E50"/>
    <w:rsid w:val="006A67C0"/>
    <w:rsid w:val="006B0A9F"/>
    <w:rsid w:val="006B0B27"/>
    <w:rsid w:val="006B0BB9"/>
    <w:rsid w:val="006B1197"/>
    <w:rsid w:val="006B11DE"/>
    <w:rsid w:val="006B3279"/>
    <w:rsid w:val="006B4BAB"/>
    <w:rsid w:val="006B4D99"/>
    <w:rsid w:val="006B4DD2"/>
    <w:rsid w:val="006C08DB"/>
    <w:rsid w:val="006C08F0"/>
    <w:rsid w:val="006C3EA0"/>
    <w:rsid w:val="006C3FB9"/>
    <w:rsid w:val="006D087C"/>
    <w:rsid w:val="006D148A"/>
    <w:rsid w:val="006D4136"/>
    <w:rsid w:val="006D46A0"/>
    <w:rsid w:val="006D5F2E"/>
    <w:rsid w:val="006D5FED"/>
    <w:rsid w:val="006D7324"/>
    <w:rsid w:val="006D7508"/>
    <w:rsid w:val="006D7C27"/>
    <w:rsid w:val="006E3960"/>
    <w:rsid w:val="006E3B93"/>
    <w:rsid w:val="006E4238"/>
    <w:rsid w:val="006E4BCA"/>
    <w:rsid w:val="006F0542"/>
    <w:rsid w:val="006F3281"/>
    <w:rsid w:val="00702443"/>
    <w:rsid w:val="00702E2C"/>
    <w:rsid w:val="007071FF"/>
    <w:rsid w:val="00711538"/>
    <w:rsid w:val="00711AB4"/>
    <w:rsid w:val="00711E05"/>
    <w:rsid w:val="00711E81"/>
    <w:rsid w:val="00714094"/>
    <w:rsid w:val="00716AA7"/>
    <w:rsid w:val="007222AF"/>
    <w:rsid w:val="0072323A"/>
    <w:rsid w:val="00724359"/>
    <w:rsid w:val="00724560"/>
    <w:rsid w:val="00725D0A"/>
    <w:rsid w:val="00730FF4"/>
    <w:rsid w:val="007317C8"/>
    <w:rsid w:val="0073290F"/>
    <w:rsid w:val="007359C0"/>
    <w:rsid w:val="00740785"/>
    <w:rsid w:val="007408FA"/>
    <w:rsid w:val="00742494"/>
    <w:rsid w:val="00745650"/>
    <w:rsid w:val="00745B25"/>
    <w:rsid w:val="00745FB4"/>
    <w:rsid w:val="007462FF"/>
    <w:rsid w:val="00746E21"/>
    <w:rsid w:val="00751D9F"/>
    <w:rsid w:val="0075405D"/>
    <w:rsid w:val="0075519D"/>
    <w:rsid w:val="00755B9B"/>
    <w:rsid w:val="00755EB3"/>
    <w:rsid w:val="00760476"/>
    <w:rsid w:val="00761F65"/>
    <w:rsid w:val="00762593"/>
    <w:rsid w:val="00765707"/>
    <w:rsid w:val="00767346"/>
    <w:rsid w:val="007717B8"/>
    <w:rsid w:val="00773119"/>
    <w:rsid w:val="00777F21"/>
    <w:rsid w:val="00780DBF"/>
    <w:rsid w:val="00781C2E"/>
    <w:rsid w:val="00782077"/>
    <w:rsid w:val="0078587E"/>
    <w:rsid w:val="00786A65"/>
    <w:rsid w:val="00786B90"/>
    <w:rsid w:val="00787DB0"/>
    <w:rsid w:val="007904EB"/>
    <w:rsid w:val="0079138B"/>
    <w:rsid w:val="0079211D"/>
    <w:rsid w:val="0079406F"/>
    <w:rsid w:val="007941DF"/>
    <w:rsid w:val="00794C96"/>
    <w:rsid w:val="0079651F"/>
    <w:rsid w:val="00796BF2"/>
    <w:rsid w:val="007A26F4"/>
    <w:rsid w:val="007A4282"/>
    <w:rsid w:val="007A47C7"/>
    <w:rsid w:val="007A5A38"/>
    <w:rsid w:val="007A6BCF"/>
    <w:rsid w:val="007B110C"/>
    <w:rsid w:val="007B3372"/>
    <w:rsid w:val="007B403D"/>
    <w:rsid w:val="007B5C32"/>
    <w:rsid w:val="007C104D"/>
    <w:rsid w:val="007C24FD"/>
    <w:rsid w:val="007D23F0"/>
    <w:rsid w:val="007D4D6D"/>
    <w:rsid w:val="007D521F"/>
    <w:rsid w:val="007D527C"/>
    <w:rsid w:val="007D6DE4"/>
    <w:rsid w:val="007E32DB"/>
    <w:rsid w:val="007E3D4E"/>
    <w:rsid w:val="007E7052"/>
    <w:rsid w:val="007F0A73"/>
    <w:rsid w:val="007F2183"/>
    <w:rsid w:val="007F2F78"/>
    <w:rsid w:val="007F3FF5"/>
    <w:rsid w:val="007F4D64"/>
    <w:rsid w:val="007F4D73"/>
    <w:rsid w:val="007F56C4"/>
    <w:rsid w:val="007F5A50"/>
    <w:rsid w:val="007F5F2C"/>
    <w:rsid w:val="007F7C24"/>
    <w:rsid w:val="0080059F"/>
    <w:rsid w:val="008017C0"/>
    <w:rsid w:val="008030AC"/>
    <w:rsid w:val="00805400"/>
    <w:rsid w:val="00810FEC"/>
    <w:rsid w:val="008119ED"/>
    <w:rsid w:val="00811E34"/>
    <w:rsid w:val="008138B7"/>
    <w:rsid w:val="00815620"/>
    <w:rsid w:val="00820175"/>
    <w:rsid w:val="00820872"/>
    <w:rsid w:val="00821593"/>
    <w:rsid w:val="00821DA5"/>
    <w:rsid w:val="00823DD8"/>
    <w:rsid w:val="00823EE9"/>
    <w:rsid w:val="008263B1"/>
    <w:rsid w:val="008304A8"/>
    <w:rsid w:val="00832894"/>
    <w:rsid w:val="00835D7D"/>
    <w:rsid w:val="00835DC7"/>
    <w:rsid w:val="00835E38"/>
    <w:rsid w:val="00835EB9"/>
    <w:rsid w:val="008360DE"/>
    <w:rsid w:val="008370D8"/>
    <w:rsid w:val="00837834"/>
    <w:rsid w:val="00837A26"/>
    <w:rsid w:val="008403B9"/>
    <w:rsid w:val="00840484"/>
    <w:rsid w:val="00841EBD"/>
    <w:rsid w:val="008437FB"/>
    <w:rsid w:val="008454A9"/>
    <w:rsid w:val="00846CB5"/>
    <w:rsid w:val="00850AD2"/>
    <w:rsid w:val="00851157"/>
    <w:rsid w:val="0085163C"/>
    <w:rsid w:val="00851B79"/>
    <w:rsid w:val="008629AE"/>
    <w:rsid w:val="00862F8B"/>
    <w:rsid w:val="00863A9B"/>
    <w:rsid w:val="008642FE"/>
    <w:rsid w:val="00866DBC"/>
    <w:rsid w:val="00867C18"/>
    <w:rsid w:val="00871287"/>
    <w:rsid w:val="008733FF"/>
    <w:rsid w:val="00876BA7"/>
    <w:rsid w:val="00876E45"/>
    <w:rsid w:val="00882B2C"/>
    <w:rsid w:val="008846AB"/>
    <w:rsid w:val="008847CB"/>
    <w:rsid w:val="00887906"/>
    <w:rsid w:val="008940BF"/>
    <w:rsid w:val="00896B61"/>
    <w:rsid w:val="008A15E0"/>
    <w:rsid w:val="008A213D"/>
    <w:rsid w:val="008A2218"/>
    <w:rsid w:val="008A3F45"/>
    <w:rsid w:val="008A490C"/>
    <w:rsid w:val="008A7148"/>
    <w:rsid w:val="008A7150"/>
    <w:rsid w:val="008B137B"/>
    <w:rsid w:val="008B36FF"/>
    <w:rsid w:val="008B46FB"/>
    <w:rsid w:val="008B50EA"/>
    <w:rsid w:val="008B7C39"/>
    <w:rsid w:val="008C09C7"/>
    <w:rsid w:val="008C2620"/>
    <w:rsid w:val="008C3106"/>
    <w:rsid w:val="008C4086"/>
    <w:rsid w:val="008C4DC6"/>
    <w:rsid w:val="008C53FD"/>
    <w:rsid w:val="008D28A9"/>
    <w:rsid w:val="008D4027"/>
    <w:rsid w:val="008D4B7E"/>
    <w:rsid w:val="008E02E2"/>
    <w:rsid w:val="008E1E51"/>
    <w:rsid w:val="008E22D1"/>
    <w:rsid w:val="008E3BB3"/>
    <w:rsid w:val="008E40E9"/>
    <w:rsid w:val="008E5285"/>
    <w:rsid w:val="008E5A5C"/>
    <w:rsid w:val="008F007B"/>
    <w:rsid w:val="008F3F5D"/>
    <w:rsid w:val="008F3FEE"/>
    <w:rsid w:val="008F60EF"/>
    <w:rsid w:val="00905555"/>
    <w:rsid w:val="00905F76"/>
    <w:rsid w:val="00906A27"/>
    <w:rsid w:val="00906B0B"/>
    <w:rsid w:val="00907A9B"/>
    <w:rsid w:val="00907E74"/>
    <w:rsid w:val="0091119F"/>
    <w:rsid w:val="00912CFF"/>
    <w:rsid w:val="00913339"/>
    <w:rsid w:val="00914D41"/>
    <w:rsid w:val="00922001"/>
    <w:rsid w:val="00924378"/>
    <w:rsid w:val="00925904"/>
    <w:rsid w:val="009264AC"/>
    <w:rsid w:val="0093052A"/>
    <w:rsid w:val="00931BD3"/>
    <w:rsid w:val="009328AC"/>
    <w:rsid w:val="0093318A"/>
    <w:rsid w:val="00933F16"/>
    <w:rsid w:val="0093534A"/>
    <w:rsid w:val="00936159"/>
    <w:rsid w:val="00941F5F"/>
    <w:rsid w:val="009455B4"/>
    <w:rsid w:val="009473CE"/>
    <w:rsid w:val="00951699"/>
    <w:rsid w:val="00952972"/>
    <w:rsid w:val="009535F2"/>
    <w:rsid w:val="00954B7F"/>
    <w:rsid w:val="00955597"/>
    <w:rsid w:val="00955819"/>
    <w:rsid w:val="0095677F"/>
    <w:rsid w:val="0095772E"/>
    <w:rsid w:val="009615F7"/>
    <w:rsid w:val="009619FC"/>
    <w:rsid w:val="00965CDD"/>
    <w:rsid w:val="00971F58"/>
    <w:rsid w:val="00973165"/>
    <w:rsid w:val="00973514"/>
    <w:rsid w:val="0097380C"/>
    <w:rsid w:val="00980D04"/>
    <w:rsid w:val="009822AA"/>
    <w:rsid w:val="009825E7"/>
    <w:rsid w:val="009832DD"/>
    <w:rsid w:val="0098754E"/>
    <w:rsid w:val="00987725"/>
    <w:rsid w:val="00992AB2"/>
    <w:rsid w:val="009932EA"/>
    <w:rsid w:val="00995635"/>
    <w:rsid w:val="00995910"/>
    <w:rsid w:val="00996498"/>
    <w:rsid w:val="00996904"/>
    <w:rsid w:val="00996D45"/>
    <w:rsid w:val="00996E50"/>
    <w:rsid w:val="009A107C"/>
    <w:rsid w:val="009A1E25"/>
    <w:rsid w:val="009A3E2B"/>
    <w:rsid w:val="009A573E"/>
    <w:rsid w:val="009A67E1"/>
    <w:rsid w:val="009B0B4D"/>
    <w:rsid w:val="009B339A"/>
    <w:rsid w:val="009B3526"/>
    <w:rsid w:val="009C0730"/>
    <w:rsid w:val="009C4220"/>
    <w:rsid w:val="009C42D2"/>
    <w:rsid w:val="009C44A9"/>
    <w:rsid w:val="009C5737"/>
    <w:rsid w:val="009D3619"/>
    <w:rsid w:val="009D43BE"/>
    <w:rsid w:val="009D6B93"/>
    <w:rsid w:val="009D70E6"/>
    <w:rsid w:val="009E0231"/>
    <w:rsid w:val="009E1600"/>
    <w:rsid w:val="009E1C2B"/>
    <w:rsid w:val="009E1E02"/>
    <w:rsid w:val="009E2037"/>
    <w:rsid w:val="009E28BB"/>
    <w:rsid w:val="009E3CCF"/>
    <w:rsid w:val="009E6911"/>
    <w:rsid w:val="009E74C6"/>
    <w:rsid w:val="009F14F7"/>
    <w:rsid w:val="009F492E"/>
    <w:rsid w:val="009F579C"/>
    <w:rsid w:val="009F5FBF"/>
    <w:rsid w:val="009F62D0"/>
    <w:rsid w:val="00A00DCF"/>
    <w:rsid w:val="00A01FCB"/>
    <w:rsid w:val="00A05ABE"/>
    <w:rsid w:val="00A06522"/>
    <w:rsid w:val="00A07D40"/>
    <w:rsid w:val="00A10CD4"/>
    <w:rsid w:val="00A10DFB"/>
    <w:rsid w:val="00A117DB"/>
    <w:rsid w:val="00A13F37"/>
    <w:rsid w:val="00A143A5"/>
    <w:rsid w:val="00A15754"/>
    <w:rsid w:val="00A15DF7"/>
    <w:rsid w:val="00A207DF"/>
    <w:rsid w:val="00A2302D"/>
    <w:rsid w:val="00A23B72"/>
    <w:rsid w:val="00A25CE5"/>
    <w:rsid w:val="00A25E75"/>
    <w:rsid w:val="00A267F6"/>
    <w:rsid w:val="00A2696C"/>
    <w:rsid w:val="00A269BA"/>
    <w:rsid w:val="00A26E66"/>
    <w:rsid w:val="00A312E4"/>
    <w:rsid w:val="00A31785"/>
    <w:rsid w:val="00A32D9C"/>
    <w:rsid w:val="00A33B3E"/>
    <w:rsid w:val="00A34681"/>
    <w:rsid w:val="00A35893"/>
    <w:rsid w:val="00A35FAD"/>
    <w:rsid w:val="00A418D2"/>
    <w:rsid w:val="00A428E0"/>
    <w:rsid w:val="00A42B13"/>
    <w:rsid w:val="00A449AE"/>
    <w:rsid w:val="00A46B2C"/>
    <w:rsid w:val="00A47F27"/>
    <w:rsid w:val="00A51696"/>
    <w:rsid w:val="00A556C7"/>
    <w:rsid w:val="00A55CE6"/>
    <w:rsid w:val="00A64BC9"/>
    <w:rsid w:val="00A64F3A"/>
    <w:rsid w:val="00A66A7E"/>
    <w:rsid w:val="00A75E1B"/>
    <w:rsid w:val="00A75E7A"/>
    <w:rsid w:val="00A7724E"/>
    <w:rsid w:val="00A77662"/>
    <w:rsid w:val="00A82216"/>
    <w:rsid w:val="00A848EB"/>
    <w:rsid w:val="00A8503D"/>
    <w:rsid w:val="00A85303"/>
    <w:rsid w:val="00A86F8B"/>
    <w:rsid w:val="00A909B4"/>
    <w:rsid w:val="00A90CA8"/>
    <w:rsid w:val="00A91527"/>
    <w:rsid w:val="00A91F2A"/>
    <w:rsid w:val="00A939B9"/>
    <w:rsid w:val="00A94218"/>
    <w:rsid w:val="00A9463B"/>
    <w:rsid w:val="00A956E2"/>
    <w:rsid w:val="00A962EC"/>
    <w:rsid w:val="00A96B59"/>
    <w:rsid w:val="00AA11FF"/>
    <w:rsid w:val="00AA16C0"/>
    <w:rsid w:val="00AA1D79"/>
    <w:rsid w:val="00AA28CE"/>
    <w:rsid w:val="00AA3EAB"/>
    <w:rsid w:val="00AA4851"/>
    <w:rsid w:val="00AA49CB"/>
    <w:rsid w:val="00AA5BC3"/>
    <w:rsid w:val="00AA7E6E"/>
    <w:rsid w:val="00AB248A"/>
    <w:rsid w:val="00AB3BD4"/>
    <w:rsid w:val="00AB3DDC"/>
    <w:rsid w:val="00AB58C3"/>
    <w:rsid w:val="00AB5A77"/>
    <w:rsid w:val="00AB5D68"/>
    <w:rsid w:val="00AC4AD0"/>
    <w:rsid w:val="00AC5283"/>
    <w:rsid w:val="00AC70D7"/>
    <w:rsid w:val="00AD106F"/>
    <w:rsid w:val="00AD3921"/>
    <w:rsid w:val="00AD4451"/>
    <w:rsid w:val="00AD57E6"/>
    <w:rsid w:val="00AD57EB"/>
    <w:rsid w:val="00AD6A76"/>
    <w:rsid w:val="00AD6AB0"/>
    <w:rsid w:val="00AD7FCF"/>
    <w:rsid w:val="00AE04DD"/>
    <w:rsid w:val="00AE0F5F"/>
    <w:rsid w:val="00AE1CA3"/>
    <w:rsid w:val="00AE5F49"/>
    <w:rsid w:val="00AE6924"/>
    <w:rsid w:val="00AF0017"/>
    <w:rsid w:val="00AF0D89"/>
    <w:rsid w:val="00AF1BD6"/>
    <w:rsid w:val="00AF2D54"/>
    <w:rsid w:val="00AF31AA"/>
    <w:rsid w:val="00AF416B"/>
    <w:rsid w:val="00AF659A"/>
    <w:rsid w:val="00AF66AC"/>
    <w:rsid w:val="00B042D7"/>
    <w:rsid w:val="00B0511B"/>
    <w:rsid w:val="00B06939"/>
    <w:rsid w:val="00B06C44"/>
    <w:rsid w:val="00B070AE"/>
    <w:rsid w:val="00B102BB"/>
    <w:rsid w:val="00B142A8"/>
    <w:rsid w:val="00B14ACD"/>
    <w:rsid w:val="00B15991"/>
    <w:rsid w:val="00B162CB"/>
    <w:rsid w:val="00B16316"/>
    <w:rsid w:val="00B20F2C"/>
    <w:rsid w:val="00B234A6"/>
    <w:rsid w:val="00B2368D"/>
    <w:rsid w:val="00B24088"/>
    <w:rsid w:val="00B24D4D"/>
    <w:rsid w:val="00B25C55"/>
    <w:rsid w:val="00B272A8"/>
    <w:rsid w:val="00B3161C"/>
    <w:rsid w:val="00B358DC"/>
    <w:rsid w:val="00B4131C"/>
    <w:rsid w:val="00B42387"/>
    <w:rsid w:val="00B42BCB"/>
    <w:rsid w:val="00B44BF7"/>
    <w:rsid w:val="00B4624A"/>
    <w:rsid w:val="00B5330F"/>
    <w:rsid w:val="00B572DB"/>
    <w:rsid w:val="00B614D2"/>
    <w:rsid w:val="00B62D44"/>
    <w:rsid w:val="00B64FC0"/>
    <w:rsid w:val="00B65D84"/>
    <w:rsid w:val="00B66F6A"/>
    <w:rsid w:val="00B67055"/>
    <w:rsid w:val="00B703E0"/>
    <w:rsid w:val="00B70A0E"/>
    <w:rsid w:val="00B714A7"/>
    <w:rsid w:val="00B73C14"/>
    <w:rsid w:val="00B77018"/>
    <w:rsid w:val="00B779CB"/>
    <w:rsid w:val="00B810C5"/>
    <w:rsid w:val="00B8257A"/>
    <w:rsid w:val="00B85616"/>
    <w:rsid w:val="00B871A6"/>
    <w:rsid w:val="00B96233"/>
    <w:rsid w:val="00B97DB9"/>
    <w:rsid w:val="00BA0136"/>
    <w:rsid w:val="00BA20A7"/>
    <w:rsid w:val="00BA2376"/>
    <w:rsid w:val="00BA3489"/>
    <w:rsid w:val="00BA6120"/>
    <w:rsid w:val="00BB02DC"/>
    <w:rsid w:val="00BB39C5"/>
    <w:rsid w:val="00BB62A5"/>
    <w:rsid w:val="00BC11B5"/>
    <w:rsid w:val="00BC11D0"/>
    <w:rsid w:val="00BC1ED6"/>
    <w:rsid w:val="00BC2CDC"/>
    <w:rsid w:val="00BC452A"/>
    <w:rsid w:val="00BC48D3"/>
    <w:rsid w:val="00BC4A4F"/>
    <w:rsid w:val="00BC7A04"/>
    <w:rsid w:val="00BD1108"/>
    <w:rsid w:val="00BD3A6F"/>
    <w:rsid w:val="00BD4A14"/>
    <w:rsid w:val="00BD4C0D"/>
    <w:rsid w:val="00BD66AC"/>
    <w:rsid w:val="00BD6DE5"/>
    <w:rsid w:val="00BD7AF2"/>
    <w:rsid w:val="00BE3426"/>
    <w:rsid w:val="00BE663B"/>
    <w:rsid w:val="00BE7885"/>
    <w:rsid w:val="00BF0618"/>
    <w:rsid w:val="00BF2816"/>
    <w:rsid w:val="00BF2AF2"/>
    <w:rsid w:val="00BF43B2"/>
    <w:rsid w:val="00BF50DC"/>
    <w:rsid w:val="00BF6C8A"/>
    <w:rsid w:val="00C0119D"/>
    <w:rsid w:val="00C01E3D"/>
    <w:rsid w:val="00C02506"/>
    <w:rsid w:val="00C02C01"/>
    <w:rsid w:val="00C0305D"/>
    <w:rsid w:val="00C03223"/>
    <w:rsid w:val="00C06C6C"/>
    <w:rsid w:val="00C07481"/>
    <w:rsid w:val="00C07757"/>
    <w:rsid w:val="00C078E5"/>
    <w:rsid w:val="00C1092B"/>
    <w:rsid w:val="00C10FD1"/>
    <w:rsid w:val="00C15531"/>
    <w:rsid w:val="00C16D1D"/>
    <w:rsid w:val="00C20156"/>
    <w:rsid w:val="00C21910"/>
    <w:rsid w:val="00C2249D"/>
    <w:rsid w:val="00C23759"/>
    <w:rsid w:val="00C25DD1"/>
    <w:rsid w:val="00C26195"/>
    <w:rsid w:val="00C30696"/>
    <w:rsid w:val="00C32B0A"/>
    <w:rsid w:val="00C34557"/>
    <w:rsid w:val="00C407C2"/>
    <w:rsid w:val="00C416E9"/>
    <w:rsid w:val="00C437E2"/>
    <w:rsid w:val="00C43CD8"/>
    <w:rsid w:val="00C4450D"/>
    <w:rsid w:val="00C47F8B"/>
    <w:rsid w:val="00C51340"/>
    <w:rsid w:val="00C51A6E"/>
    <w:rsid w:val="00C54FE8"/>
    <w:rsid w:val="00C60081"/>
    <w:rsid w:val="00C651AE"/>
    <w:rsid w:val="00C6633D"/>
    <w:rsid w:val="00C67F1E"/>
    <w:rsid w:val="00C71617"/>
    <w:rsid w:val="00C73BA1"/>
    <w:rsid w:val="00C73CEA"/>
    <w:rsid w:val="00C776A7"/>
    <w:rsid w:val="00C836EA"/>
    <w:rsid w:val="00C8629D"/>
    <w:rsid w:val="00C87159"/>
    <w:rsid w:val="00C901B5"/>
    <w:rsid w:val="00C90568"/>
    <w:rsid w:val="00C906E1"/>
    <w:rsid w:val="00C9277F"/>
    <w:rsid w:val="00C96FCE"/>
    <w:rsid w:val="00C97AB0"/>
    <w:rsid w:val="00CA00D1"/>
    <w:rsid w:val="00CA147A"/>
    <w:rsid w:val="00CA33A9"/>
    <w:rsid w:val="00CA44C8"/>
    <w:rsid w:val="00CA480A"/>
    <w:rsid w:val="00CA6A94"/>
    <w:rsid w:val="00CB3E96"/>
    <w:rsid w:val="00CB5389"/>
    <w:rsid w:val="00CB57FC"/>
    <w:rsid w:val="00CB6481"/>
    <w:rsid w:val="00CC01BB"/>
    <w:rsid w:val="00CC081E"/>
    <w:rsid w:val="00CC09C6"/>
    <w:rsid w:val="00CC18C1"/>
    <w:rsid w:val="00CC1BEE"/>
    <w:rsid w:val="00CC1F5E"/>
    <w:rsid w:val="00CC4C97"/>
    <w:rsid w:val="00CC4C98"/>
    <w:rsid w:val="00CC5C3F"/>
    <w:rsid w:val="00CC5DFD"/>
    <w:rsid w:val="00CC6728"/>
    <w:rsid w:val="00CC6A53"/>
    <w:rsid w:val="00CD0ED2"/>
    <w:rsid w:val="00CD12F8"/>
    <w:rsid w:val="00CD253F"/>
    <w:rsid w:val="00CD31B2"/>
    <w:rsid w:val="00CD4124"/>
    <w:rsid w:val="00CD4835"/>
    <w:rsid w:val="00CD5197"/>
    <w:rsid w:val="00CE19A0"/>
    <w:rsid w:val="00CE205B"/>
    <w:rsid w:val="00CE2A48"/>
    <w:rsid w:val="00CE46D8"/>
    <w:rsid w:val="00CE55AF"/>
    <w:rsid w:val="00CF4EE1"/>
    <w:rsid w:val="00CF54D2"/>
    <w:rsid w:val="00CF5908"/>
    <w:rsid w:val="00D00585"/>
    <w:rsid w:val="00D01998"/>
    <w:rsid w:val="00D0292C"/>
    <w:rsid w:val="00D05992"/>
    <w:rsid w:val="00D14BCA"/>
    <w:rsid w:val="00D166AA"/>
    <w:rsid w:val="00D17AB2"/>
    <w:rsid w:val="00D20863"/>
    <w:rsid w:val="00D215D2"/>
    <w:rsid w:val="00D21865"/>
    <w:rsid w:val="00D237B8"/>
    <w:rsid w:val="00D23F12"/>
    <w:rsid w:val="00D3036C"/>
    <w:rsid w:val="00D31B1E"/>
    <w:rsid w:val="00D3227C"/>
    <w:rsid w:val="00D33B1C"/>
    <w:rsid w:val="00D355EC"/>
    <w:rsid w:val="00D369CB"/>
    <w:rsid w:val="00D41AB8"/>
    <w:rsid w:val="00D43EC1"/>
    <w:rsid w:val="00D471F9"/>
    <w:rsid w:val="00D47E38"/>
    <w:rsid w:val="00D50DC9"/>
    <w:rsid w:val="00D523B6"/>
    <w:rsid w:val="00D540AC"/>
    <w:rsid w:val="00D5518A"/>
    <w:rsid w:val="00D55290"/>
    <w:rsid w:val="00D55935"/>
    <w:rsid w:val="00D626AB"/>
    <w:rsid w:val="00D65D4A"/>
    <w:rsid w:val="00D66BE8"/>
    <w:rsid w:val="00D7102B"/>
    <w:rsid w:val="00D7131F"/>
    <w:rsid w:val="00D72F48"/>
    <w:rsid w:val="00D73393"/>
    <w:rsid w:val="00D75848"/>
    <w:rsid w:val="00D80A54"/>
    <w:rsid w:val="00D8182D"/>
    <w:rsid w:val="00D81FBA"/>
    <w:rsid w:val="00D838E5"/>
    <w:rsid w:val="00D849DC"/>
    <w:rsid w:val="00D85DA5"/>
    <w:rsid w:val="00D86065"/>
    <w:rsid w:val="00D879A1"/>
    <w:rsid w:val="00D87AD8"/>
    <w:rsid w:val="00D90E62"/>
    <w:rsid w:val="00D91A13"/>
    <w:rsid w:val="00D9246D"/>
    <w:rsid w:val="00D95DB9"/>
    <w:rsid w:val="00DA1435"/>
    <w:rsid w:val="00DA1860"/>
    <w:rsid w:val="00DA195B"/>
    <w:rsid w:val="00DA2694"/>
    <w:rsid w:val="00DA28D7"/>
    <w:rsid w:val="00DB0646"/>
    <w:rsid w:val="00DB2F76"/>
    <w:rsid w:val="00DB39D0"/>
    <w:rsid w:val="00DB3BE2"/>
    <w:rsid w:val="00DB5804"/>
    <w:rsid w:val="00DB5C7D"/>
    <w:rsid w:val="00DB7B76"/>
    <w:rsid w:val="00DC046D"/>
    <w:rsid w:val="00DC0A0F"/>
    <w:rsid w:val="00DC1F75"/>
    <w:rsid w:val="00DC3086"/>
    <w:rsid w:val="00DC395A"/>
    <w:rsid w:val="00DC4B60"/>
    <w:rsid w:val="00DC5E0B"/>
    <w:rsid w:val="00DD31F9"/>
    <w:rsid w:val="00DD47CB"/>
    <w:rsid w:val="00DD5BEE"/>
    <w:rsid w:val="00DD64C9"/>
    <w:rsid w:val="00DE023F"/>
    <w:rsid w:val="00DE7690"/>
    <w:rsid w:val="00DF01D0"/>
    <w:rsid w:val="00DF1BF8"/>
    <w:rsid w:val="00DF3083"/>
    <w:rsid w:val="00DF32CC"/>
    <w:rsid w:val="00DF39DA"/>
    <w:rsid w:val="00DF3F5F"/>
    <w:rsid w:val="00DF4CC9"/>
    <w:rsid w:val="00DF66AD"/>
    <w:rsid w:val="00DF7123"/>
    <w:rsid w:val="00DF75AA"/>
    <w:rsid w:val="00E003D8"/>
    <w:rsid w:val="00E00C44"/>
    <w:rsid w:val="00E0463F"/>
    <w:rsid w:val="00E04872"/>
    <w:rsid w:val="00E06E7E"/>
    <w:rsid w:val="00E0756D"/>
    <w:rsid w:val="00E10496"/>
    <w:rsid w:val="00E1408A"/>
    <w:rsid w:val="00E14A15"/>
    <w:rsid w:val="00E153BD"/>
    <w:rsid w:val="00E15D7E"/>
    <w:rsid w:val="00E15FD0"/>
    <w:rsid w:val="00E16C64"/>
    <w:rsid w:val="00E2018D"/>
    <w:rsid w:val="00E20532"/>
    <w:rsid w:val="00E20732"/>
    <w:rsid w:val="00E20DD5"/>
    <w:rsid w:val="00E210E0"/>
    <w:rsid w:val="00E257E5"/>
    <w:rsid w:val="00E25FD1"/>
    <w:rsid w:val="00E26B69"/>
    <w:rsid w:val="00E27A0D"/>
    <w:rsid w:val="00E31669"/>
    <w:rsid w:val="00E31C73"/>
    <w:rsid w:val="00E33EE5"/>
    <w:rsid w:val="00E40283"/>
    <w:rsid w:val="00E40B34"/>
    <w:rsid w:val="00E42ED4"/>
    <w:rsid w:val="00E445EB"/>
    <w:rsid w:val="00E50A32"/>
    <w:rsid w:val="00E52AB7"/>
    <w:rsid w:val="00E52FC8"/>
    <w:rsid w:val="00E53C26"/>
    <w:rsid w:val="00E53DB1"/>
    <w:rsid w:val="00E55283"/>
    <w:rsid w:val="00E555C0"/>
    <w:rsid w:val="00E568AC"/>
    <w:rsid w:val="00E56994"/>
    <w:rsid w:val="00E56B34"/>
    <w:rsid w:val="00E57610"/>
    <w:rsid w:val="00E60A80"/>
    <w:rsid w:val="00E62738"/>
    <w:rsid w:val="00E62D53"/>
    <w:rsid w:val="00E634FF"/>
    <w:rsid w:val="00E63D23"/>
    <w:rsid w:val="00E64AFA"/>
    <w:rsid w:val="00E66054"/>
    <w:rsid w:val="00E66ADC"/>
    <w:rsid w:val="00E72050"/>
    <w:rsid w:val="00E72828"/>
    <w:rsid w:val="00E7286B"/>
    <w:rsid w:val="00E72D6C"/>
    <w:rsid w:val="00E73519"/>
    <w:rsid w:val="00E74B28"/>
    <w:rsid w:val="00E75DC4"/>
    <w:rsid w:val="00E805FC"/>
    <w:rsid w:val="00E81026"/>
    <w:rsid w:val="00E815CA"/>
    <w:rsid w:val="00E815F2"/>
    <w:rsid w:val="00E816DA"/>
    <w:rsid w:val="00E81F51"/>
    <w:rsid w:val="00E83294"/>
    <w:rsid w:val="00E833A9"/>
    <w:rsid w:val="00E840CD"/>
    <w:rsid w:val="00E8434C"/>
    <w:rsid w:val="00E90138"/>
    <w:rsid w:val="00E904E3"/>
    <w:rsid w:val="00E93872"/>
    <w:rsid w:val="00E94FB7"/>
    <w:rsid w:val="00E957D8"/>
    <w:rsid w:val="00E96337"/>
    <w:rsid w:val="00E97A2D"/>
    <w:rsid w:val="00EA0162"/>
    <w:rsid w:val="00EA3C9A"/>
    <w:rsid w:val="00EA5AFF"/>
    <w:rsid w:val="00EA7CEE"/>
    <w:rsid w:val="00EB2147"/>
    <w:rsid w:val="00EB2AEA"/>
    <w:rsid w:val="00EB34DC"/>
    <w:rsid w:val="00EB3E2A"/>
    <w:rsid w:val="00EB438D"/>
    <w:rsid w:val="00EB4580"/>
    <w:rsid w:val="00EB5C51"/>
    <w:rsid w:val="00EC1267"/>
    <w:rsid w:val="00EC4BE4"/>
    <w:rsid w:val="00ED2B25"/>
    <w:rsid w:val="00EE1EA9"/>
    <w:rsid w:val="00EE2482"/>
    <w:rsid w:val="00EE38DA"/>
    <w:rsid w:val="00EE4D30"/>
    <w:rsid w:val="00EE5E67"/>
    <w:rsid w:val="00EE5EE5"/>
    <w:rsid w:val="00EE65CE"/>
    <w:rsid w:val="00EE6870"/>
    <w:rsid w:val="00EE7E35"/>
    <w:rsid w:val="00EE7F22"/>
    <w:rsid w:val="00EF03BA"/>
    <w:rsid w:val="00EF0431"/>
    <w:rsid w:val="00EF0D4D"/>
    <w:rsid w:val="00EF2795"/>
    <w:rsid w:val="00EF4B5B"/>
    <w:rsid w:val="00EF63E8"/>
    <w:rsid w:val="00EF70D7"/>
    <w:rsid w:val="00EF7B0D"/>
    <w:rsid w:val="00EF7B40"/>
    <w:rsid w:val="00F007C9"/>
    <w:rsid w:val="00F017F9"/>
    <w:rsid w:val="00F0383A"/>
    <w:rsid w:val="00F03A8F"/>
    <w:rsid w:val="00F03B8B"/>
    <w:rsid w:val="00F04D26"/>
    <w:rsid w:val="00F04D92"/>
    <w:rsid w:val="00F1252E"/>
    <w:rsid w:val="00F13297"/>
    <w:rsid w:val="00F14599"/>
    <w:rsid w:val="00F16BA1"/>
    <w:rsid w:val="00F1711A"/>
    <w:rsid w:val="00F21E0F"/>
    <w:rsid w:val="00F2231D"/>
    <w:rsid w:val="00F258F2"/>
    <w:rsid w:val="00F30CFD"/>
    <w:rsid w:val="00F3127E"/>
    <w:rsid w:val="00F321BB"/>
    <w:rsid w:val="00F336A5"/>
    <w:rsid w:val="00F347EA"/>
    <w:rsid w:val="00F35770"/>
    <w:rsid w:val="00F35AB7"/>
    <w:rsid w:val="00F406F5"/>
    <w:rsid w:val="00F4071E"/>
    <w:rsid w:val="00F40E41"/>
    <w:rsid w:val="00F42DD7"/>
    <w:rsid w:val="00F437F7"/>
    <w:rsid w:val="00F4469D"/>
    <w:rsid w:val="00F44FCE"/>
    <w:rsid w:val="00F46783"/>
    <w:rsid w:val="00F46AFB"/>
    <w:rsid w:val="00F47744"/>
    <w:rsid w:val="00F50573"/>
    <w:rsid w:val="00F520F2"/>
    <w:rsid w:val="00F520F7"/>
    <w:rsid w:val="00F52304"/>
    <w:rsid w:val="00F5387C"/>
    <w:rsid w:val="00F543B4"/>
    <w:rsid w:val="00F546D5"/>
    <w:rsid w:val="00F54C91"/>
    <w:rsid w:val="00F56418"/>
    <w:rsid w:val="00F6177B"/>
    <w:rsid w:val="00F61E96"/>
    <w:rsid w:val="00F6311E"/>
    <w:rsid w:val="00F64044"/>
    <w:rsid w:val="00F65142"/>
    <w:rsid w:val="00F65B54"/>
    <w:rsid w:val="00F67178"/>
    <w:rsid w:val="00F70C26"/>
    <w:rsid w:val="00F724F8"/>
    <w:rsid w:val="00F72CDD"/>
    <w:rsid w:val="00F72FC6"/>
    <w:rsid w:val="00F734B2"/>
    <w:rsid w:val="00F736C3"/>
    <w:rsid w:val="00F73972"/>
    <w:rsid w:val="00F73D9E"/>
    <w:rsid w:val="00F74893"/>
    <w:rsid w:val="00F7657C"/>
    <w:rsid w:val="00F769FB"/>
    <w:rsid w:val="00F808AB"/>
    <w:rsid w:val="00F80CDD"/>
    <w:rsid w:val="00F824DC"/>
    <w:rsid w:val="00F85559"/>
    <w:rsid w:val="00F86A66"/>
    <w:rsid w:val="00F879C3"/>
    <w:rsid w:val="00F9052B"/>
    <w:rsid w:val="00F933ED"/>
    <w:rsid w:val="00F942ED"/>
    <w:rsid w:val="00F95E80"/>
    <w:rsid w:val="00F963C7"/>
    <w:rsid w:val="00FA0C74"/>
    <w:rsid w:val="00FA0E8E"/>
    <w:rsid w:val="00FA548C"/>
    <w:rsid w:val="00FA72A2"/>
    <w:rsid w:val="00FA798A"/>
    <w:rsid w:val="00FB7BD7"/>
    <w:rsid w:val="00FB7D1C"/>
    <w:rsid w:val="00FB7FE4"/>
    <w:rsid w:val="00FC02E0"/>
    <w:rsid w:val="00FC04FA"/>
    <w:rsid w:val="00FC0A76"/>
    <w:rsid w:val="00FC1341"/>
    <w:rsid w:val="00FC1C5A"/>
    <w:rsid w:val="00FC303D"/>
    <w:rsid w:val="00FD04F0"/>
    <w:rsid w:val="00FD1CFF"/>
    <w:rsid w:val="00FD35E3"/>
    <w:rsid w:val="00FD592E"/>
    <w:rsid w:val="00FD6889"/>
    <w:rsid w:val="00FE1508"/>
    <w:rsid w:val="00FE3336"/>
    <w:rsid w:val="00FE4C95"/>
    <w:rsid w:val="00FE5435"/>
    <w:rsid w:val="00FE7EAE"/>
    <w:rsid w:val="00FF16C5"/>
    <w:rsid w:val="00FF1ABD"/>
    <w:rsid w:val="00FF1AC3"/>
    <w:rsid w:val="00FF1DB8"/>
    <w:rsid w:val="00FF337C"/>
    <w:rsid w:val="00FF48EB"/>
    <w:rsid w:val="0EF64178"/>
  </w:rsids>
  <m:mathPr>
    <m:mathFont m:val="Cambria Math"/>
    <m:brkBin m:val="before"/>
    <m:brkBinSub m:val="--"/>
    <m:smallFrac m:val="1"/>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semiHidden="0" w:name="footnote reference"/>
    <w:lsdException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pt-BR" w:eastAsia="en-US" w:bidi="ar-SA"/>
    </w:rPr>
  </w:style>
  <w:style w:type="paragraph" w:styleId="2">
    <w:name w:val="heading 1"/>
    <w:basedOn w:val="1"/>
    <w:next w:val="1"/>
    <w:link w:val="19"/>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Strong"/>
    <w:basedOn w:val="3"/>
    <w:qFormat/>
    <w:uiPriority w:val="22"/>
    <w:rPr>
      <w:b/>
      <w:bCs/>
    </w:rPr>
  </w:style>
  <w:style w:type="character" w:styleId="6">
    <w:name w:val="annotation reference"/>
    <w:basedOn w:val="3"/>
    <w:unhideWhenUsed/>
    <w:uiPriority w:val="0"/>
    <w:rPr>
      <w:sz w:val="16"/>
      <w:szCs w:val="16"/>
    </w:rPr>
  </w:style>
  <w:style w:type="character" w:styleId="7">
    <w:name w:val="FollowedHyperlink"/>
    <w:basedOn w:val="3"/>
    <w:semiHidden/>
    <w:unhideWhenUsed/>
    <w:uiPriority w:val="99"/>
    <w:rPr>
      <w:color w:val="954F72"/>
      <w:u w:val="single"/>
    </w:rPr>
  </w:style>
  <w:style w:type="character" w:styleId="8">
    <w:name w:val="footnote reference"/>
    <w:basedOn w:val="3"/>
    <w:unhideWhenUsed/>
    <w:uiPriority w:val="99"/>
    <w:rPr>
      <w:rFonts w:cs="Times New Roman"/>
      <w:vertAlign w:val="superscript"/>
    </w:rPr>
  </w:style>
  <w:style w:type="character" w:styleId="9">
    <w:name w:val="Hyperlink"/>
    <w:basedOn w:val="3"/>
    <w:unhideWhenUsed/>
    <w:qFormat/>
    <w:uiPriority w:val="99"/>
    <w:rPr>
      <w:color w:val="0563C1" w:themeColor="hyperlink"/>
      <w:u w:val="single"/>
      <w14:textFill>
        <w14:solidFill>
          <w14:schemeClr w14:val="hlink"/>
        </w14:solidFill>
      </w14:textFill>
    </w:rPr>
  </w:style>
  <w:style w:type="paragraph" w:styleId="10">
    <w:name w:val="Body Text"/>
    <w:basedOn w:val="1"/>
    <w:link w:val="47"/>
    <w:semiHidden/>
    <w:unhideWhenUsed/>
    <w:qFormat/>
    <w:uiPriority w:val="0"/>
    <w:pPr>
      <w:spacing w:after="120" w:line="276" w:lineRule="auto"/>
    </w:pPr>
    <w:rPr>
      <w:rFonts w:ascii="Calibri" w:hAnsi="Calibri" w:eastAsia="Calibri" w:cs="Times New Roman"/>
    </w:rPr>
  </w:style>
  <w:style w:type="paragraph" w:styleId="11">
    <w:name w:val="annotation text"/>
    <w:basedOn w:val="1"/>
    <w:link w:val="60"/>
    <w:unhideWhenUsed/>
    <w:qFormat/>
    <w:uiPriority w:val="99"/>
    <w:pPr>
      <w:spacing w:after="0" w:line="240" w:lineRule="auto"/>
    </w:pPr>
    <w:rPr>
      <w:rFonts w:ascii="Ecofont_Spranq_eco_Sans" w:hAnsi="Ecofont_Spranq_eco_Sans" w:cs="Tahoma" w:eastAsiaTheme="minorEastAsia"/>
      <w:sz w:val="20"/>
      <w:szCs w:val="20"/>
      <w:lang w:eastAsia="pt-BR"/>
    </w:rPr>
  </w:style>
  <w:style w:type="paragraph" w:styleId="12">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pt-BR"/>
    </w:rPr>
  </w:style>
  <w:style w:type="paragraph" w:styleId="13">
    <w:name w:val="Body Text 2"/>
    <w:basedOn w:val="1"/>
    <w:link w:val="26"/>
    <w:qFormat/>
    <w:uiPriority w:val="99"/>
    <w:pPr>
      <w:overflowPunct w:val="0"/>
      <w:autoSpaceDE w:val="0"/>
      <w:autoSpaceDN w:val="0"/>
      <w:adjustRightInd w:val="0"/>
      <w:spacing w:after="120" w:line="480" w:lineRule="auto"/>
      <w:textAlignment w:val="baseline"/>
    </w:pPr>
    <w:rPr>
      <w:rFonts w:ascii="Courier New" w:hAnsi="Courier New" w:eastAsia="Times New Roman" w:cs="Times New Roman"/>
      <w:sz w:val="24"/>
      <w:szCs w:val="20"/>
      <w:lang w:eastAsia="pt-BR"/>
    </w:rPr>
  </w:style>
  <w:style w:type="paragraph" w:styleId="14">
    <w:name w:val="header"/>
    <w:basedOn w:val="1"/>
    <w:link w:val="20"/>
    <w:unhideWhenUsed/>
    <w:uiPriority w:val="99"/>
    <w:pPr>
      <w:tabs>
        <w:tab w:val="center" w:pos="4252"/>
        <w:tab w:val="right" w:pos="8504"/>
      </w:tabs>
      <w:spacing w:after="0" w:line="240" w:lineRule="auto"/>
    </w:pPr>
  </w:style>
  <w:style w:type="paragraph" w:styleId="15">
    <w:name w:val="footer"/>
    <w:basedOn w:val="1"/>
    <w:link w:val="21"/>
    <w:unhideWhenUsed/>
    <w:qFormat/>
    <w:uiPriority w:val="99"/>
    <w:pPr>
      <w:tabs>
        <w:tab w:val="center" w:pos="4252"/>
        <w:tab w:val="right" w:pos="8504"/>
      </w:tabs>
      <w:spacing w:after="0" w:line="240" w:lineRule="auto"/>
    </w:pPr>
  </w:style>
  <w:style w:type="paragraph" w:styleId="16">
    <w:name w:val="Balloon Text"/>
    <w:basedOn w:val="1"/>
    <w:link w:val="54"/>
    <w:semiHidden/>
    <w:unhideWhenUsed/>
    <w:qFormat/>
    <w:uiPriority w:val="99"/>
    <w:pPr>
      <w:spacing w:after="0" w:line="240" w:lineRule="auto"/>
    </w:pPr>
    <w:rPr>
      <w:rFonts w:ascii="Tahoma" w:hAnsi="Tahoma" w:eastAsia="Calibri" w:cs="Tahoma"/>
      <w:sz w:val="16"/>
      <w:szCs w:val="16"/>
    </w:rPr>
  </w:style>
  <w:style w:type="paragraph" w:styleId="17">
    <w:name w:val="footnote text"/>
    <w:basedOn w:val="1"/>
    <w:link w:val="63"/>
    <w:unhideWhenUsed/>
    <w:qFormat/>
    <w:uiPriority w:val="99"/>
    <w:pPr>
      <w:suppressAutoHyphens/>
      <w:spacing w:after="0" w:line="240" w:lineRule="auto"/>
    </w:pPr>
    <w:rPr>
      <w:rFonts w:ascii="Times New Roman" w:hAnsi="Times New Roman" w:eastAsia="Times New Roman" w:cs="Arial"/>
      <w:sz w:val="20"/>
      <w:szCs w:val="20"/>
      <w:lang w:eastAsia="ar-SA"/>
    </w:rPr>
  </w:style>
  <w:style w:type="table" w:styleId="18">
    <w:name w:val="Table Grid"/>
    <w:basedOn w:val="4"/>
    <w:qFormat/>
    <w:uiPriority w:val="39"/>
    <w:pPr>
      <w:spacing w:after="0" w:line="240" w:lineRule="auto"/>
    </w:pPr>
    <w:rPr>
      <w:rFonts w:ascii="Calibri" w:hAnsi="Calibri" w:eastAsia="Calibri"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9">
    <w:name w:val="Título 1 Char"/>
    <w:basedOn w:val="3"/>
    <w:link w:val="2"/>
    <w:qFormat/>
    <w:uiPriority w:val="9"/>
    <w:rPr>
      <w:rFonts w:asciiTheme="majorHAnsi" w:hAnsiTheme="majorHAnsi" w:eastAsiaTheme="majorEastAsia" w:cstheme="majorBidi"/>
      <w:color w:val="2F5597" w:themeColor="accent1" w:themeShade="BF"/>
      <w:sz w:val="32"/>
      <w:szCs w:val="32"/>
    </w:rPr>
  </w:style>
  <w:style w:type="character" w:customStyle="1" w:styleId="20">
    <w:name w:val="Cabeçalho Char"/>
    <w:basedOn w:val="3"/>
    <w:link w:val="14"/>
    <w:uiPriority w:val="99"/>
  </w:style>
  <w:style w:type="character" w:customStyle="1" w:styleId="21">
    <w:name w:val="Rodapé Char"/>
    <w:basedOn w:val="3"/>
    <w:link w:val="15"/>
    <w:qFormat/>
    <w:uiPriority w:val="99"/>
  </w:style>
  <w:style w:type="paragraph" w:styleId="22">
    <w:name w:val="No Spacing"/>
    <w:link w:val="23"/>
    <w:qFormat/>
    <w:uiPriority w:val="1"/>
    <w:pPr>
      <w:spacing w:after="0" w:line="240" w:lineRule="auto"/>
    </w:pPr>
    <w:rPr>
      <w:rFonts w:asciiTheme="minorHAnsi" w:hAnsiTheme="minorHAnsi" w:eastAsiaTheme="minorHAnsi" w:cstheme="minorBidi"/>
      <w:sz w:val="22"/>
      <w:szCs w:val="22"/>
      <w:lang w:val="pt-BR" w:eastAsia="en-US" w:bidi="ar-SA"/>
    </w:rPr>
  </w:style>
  <w:style w:type="character" w:customStyle="1" w:styleId="23">
    <w:name w:val="Sem Espaçamento Char"/>
    <w:link w:val="22"/>
    <w:locked/>
    <w:uiPriority w:val="1"/>
  </w:style>
  <w:style w:type="character" w:customStyle="1" w:styleId="24">
    <w:name w:val="Unresolved Mention"/>
    <w:basedOn w:val="3"/>
    <w:semiHidden/>
    <w:unhideWhenUsed/>
    <w:uiPriority w:val="99"/>
    <w:rPr>
      <w:color w:val="605E5C"/>
      <w:shd w:val="clear" w:color="auto" w:fill="E1DFDD"/>
    </w:rPr>
  </w:style>
  <w:style w:type="character" w:customStyle="1" w:styleId="25">
    <w:name w:val="Subtle Emphasis"/>
    <w:basedOn w:val="3"/>
    <w:qFormat/>
    <w:uiPriority w:val="19"/>
    <w:rPr>
      <w:i/>
      <w:iCs/>
      <w:color w:val="808080" w:themeColor="text1" w:themeTint="80"/>
      <w14:textFill>
        <w14:solidFill>
          <w14:schemeClr w14:val="tx1">
            <w14:lumMod w14:val="50000"/>
            <w14:lumOff w14:val="50000"/>
          </w14:schemeClr>
        </w14:solidFill>
      </w14:textFill>
    </w:rPr>
  </w:style>
  <w:style w:type="character" w:customStyle="1" w:styleId="26">
    <w:name w:val="Corpo de texto 2 Char"/>
    <w:basedOn w:val="3"/>
    <w:link w:val="13"/>
    <w:uiPriority w:val="99"/>
    <w:rPr>
      <w:rFonts w:ascii="Courier New" w:hAnsi="Courier New" w:eastAsia="Times New Roman" w:cs="Times New Roman"/>
      <w:sz w:val="24"/>
      <w:szCs w:val="20"/>
      <w:lang w:eastAsia="pt-BR"/>
    </w:rPr>
  </w:style>
  <w:style w:type="character" w:customStyle="1" w:styleId="27">
    <w:name w:val="Nivel 01 Char"/>
    <w:basedOn w:val="3"/>
    <w:link w:val="28"/>
    <w:qFormat/>
    <w:locked/>
    <w:uiPriority w:val="0"/>
    <w:rPr>
      <w:rFonts w:ascii="Cambria" w:hAnsi="Cambria" w:cs="Arial" w:eastAsiaTheme="majorEastAsia"/>
      <w:b/>
      <w:bCs/>
      <w:shd w:val="clear" w:color="auto" w:fill="BEBEBE" w:themeFill="background1" w:themeFillShade="BF"/>
      <w:lang w:eastAsia="pt-BR"/>
    </w:rPr>
  </w:style>
  <w:style w:type="paragraph" w:customStyle="1" w:styleId="28">
    <w:name w:val="Nivel 01"/>
    <w:basedOn w:val="2"/>
    <w:next w:val="1"/>
    <w:link w:val="27"/>
    <w:autoRedefine/>
    <w:qFormat/>
    <w:uiPriority w:val="0"/>
    <w:pPr>
      <w:pBdr>
        <w:top w:val="single" w:color="auto" w:sz="4" w:space="1"/>
        <w:left w:val="single" w:color="auto" w:sz="4" w:space="4"/>
        <w:bottom w:val="single" w:color="auto" w:sz="4" w:space="1"/>
        <w:right w:val="single" w:color="auto" w:sz="4" w:space="4"/>
        <w:between w:val="single" w:color="auto" w:sz="4" w:space="1"/>
      </w:pBdr>
      <w:shd w:val="clear" w:color="auto" w:fill="BEBEBE" w:themeFill="background1" w:themeFillShade="BF"/>
      <w:tabs>
        <w:tab w:val="left" w:pos="567"/>
      </w:tabs>
      <w:spacing w:after="120" w:line="276" w:lineRule="auto"/>
      <w:jc w:val="both"/>
    </w:pPr>
    <w:rPr>
      <w:rFonts w:ascii="Cambria" w:hAnsi="Cambria" w:cs="Arial"/>
      <w:b/>
      <w:bCs/>
      <w:color w:val="auto"/>
      <w:sz w:val="22"/>
      <w:szCs w:val="22"/>
      <w:lang w:eastAsia="pt-BR"/>
    </w:rPr>
  </w:style>
  <w:style w:type="character" w:customStyle="1" w:styleId="29">
    <w:name w:val="Nivel 2 Char"/>
    <w:basedOn w:val="3"/>
    <w:link w:val="30"/>
    <w:locked/>
    <w:uiPriority w:val="0"/>
    <w:rPr>
      <w:rFonts w:ascii="Cambria" w:hAnsi="Cambria" w:eastAsia="Arial" w:cs="Arial"/>
      <w:lang w:eastAsia="pt-BR"/>
    </w:rPr>
  </w:style>
  <w:style w:type="paragraph" w:customStyle="1" w:styleId="30">
    <w:name w:val="Nivel 2"/>
    <w:basedOn w:val="1"/>
    <w:link w:val="29"/>
    <w:autoRedefine/>
    <w:qFormat/>
    <w:uiPriority w:val="0"/>
    <w:pPr>
      <w:spacing w:before="240" w:after="240" w:line="276" w:lineRule="auto"/>
      <w:jc w:val="both"/>
    </w:pPr>
    <w:rPr>
      <w:rFonts w:ascii="Cambria" w:hAnsi="Cambria" w:eastAsia="Arial" w:cs="Arial"/>
      <w:lang w:eastAsia="pt-BR"/>
    </w:rPr>
  </w:style>
  <w:style w:type="character" w:customStyle="1" w:styleId="31">
    <w:name w:val="Nivel 3 Char"/>
    <w:basedOn w:val="3"/>
    <w:link w:val="32"/>
    <w:locked/>
    <w:uiPriority w:val="0"/>
    <w:rPr>
      <w:rFonts w:ascii="Cambria" w:hAnsi="Cambria" w:cs="Arial" w:eastAsiaTheme="minorEastAsia"/>
      <w:lang w:eastAsia="pt-BR"/>
    </w:rPr>
  </w:style>
  <w:style w:type="paragraph" w:customStyle="1" w:styleId="32">
    <w:name w:val="Nivel 3"/>
    <w:basedOn w:val="1"/>
    <w:link w:val="31"/>
    <w:autoRedefine/>
    <w:qFormat/>
    <w:uiPriority w:val="0"/>
    <w:pPr>
      <w:spacing w:before="120" w:after="120" w:line="276" w:lineRule="auto"/>
      <w:ind w:firstLine="567"/>
      <w:jc w:val="both"/>
    </w:pPr>
    <w:rPr>
      <w:rFonts w:ascii="Cambria" w:hAnsi="Cambria" w:cs="Arial" w:eastAsiaTheme="minorEastAsia"/>
      <w:lang w:eastAsia="pt-BR"/>
    </w:rPr>
  </w:style>
  <w:style w:type="character" w:customStyle="1" w:styleId="33">
    <w:name w:val="Nível 2 -Red Char"/>
    <w:basedOn w:val="29"/>
    <w:link w:val="34"/>
    <w:locked/>
    <w:uiPriority w:val="0"/>
    <w:rPr>
      <w:rFonts w:ascii="Cambria" w:hAnsi="Cambria" w:eastAsia="Arial" w:cs="Arial"/>
      <w:i/>
      <w:iCs/>
      <w:color w:val="FF0000"/>
      <w:lang w:eastAsia="pt-BR"/>
    </w:rPr>
  </w:style>
  <w:style w:type="paragraph" w:customStyle="1" w:styleId="34">
    <w:name w:val="Nível 2 -Red"/>
    <w:basedOn w:val="30"/>
    <w:link w:val="33"/>
    <w:qFormat/>
    <w:uiPriority w:val="0"/>
    <w:rPr>
      <w:i/>
      <w:iCs/>
      <w:color w:val="FF0000"/>
    </w:rPr>
  </w:style>
  <w:style w:type="character" w:customStyle="1" w:styleId="35">
    <w:name w:val="Nível 3-R Char"/>
    <w:basedOn w:val="31"/>
    <w:link w:val="36"/>
    <w:qFormat/>
    <w:locked/>
    <w:uiPriority w:val="0"/>
    <w:rPr>
      <w:rFonts w:ascii="Cambria" w:hAnsi="Cambria" w:cs="Arial" w:eastAsiaTheme="minorEastAsia"/>
      <w:color w:val="FF0000"/>
      <w:lang w:eastAsia="pt-BR"/>
    </w:rPr>
  </w:style>
  <w:style w:type="paragraph" w:customStyle="1" w:styleId="36">
    <w:name w:val="Nível 3-R"/>
    <w:basedOn w:val="32"/>
    <w:link w:val="35"/>
    <w:autoRedefine/>
    <w:qFormat/>
    <w:uiPriority w:val="0"/>
    <w:rPr>
      <w:color w:val="FF0000"/>
    </w:rPr>
  </w:style>
  <w:style w:type="character" w:customStyle="1" w:styleId="37">
    <w:name w:val="Nível 1-Sem Num Preto Char"/>
    <w:basedOn w:val="3"/>
    <w:link w:val="38"/>
    <w:qFormat/>
    <w:locked/>
    <w:uiPriority w:val="0"/>
    <w:rPr>
      <w:rFonts w:ascii="Arial" w:hAnsi="Arial" w:cs="Arial" w:eastAsiaTheme="majorEastAsia"/>
      <w:sz w:val="24"/>
      <w:szCs w:val="24"/>
      <w:lang w:eastAsia="zh-CN" w:bidi="hi-IN"/>
    </w:rPr>
  </w:style>
  <w:style w:type="paragraph" w:customStyle="1" w:styleId="38">
    <w:name w:val="Nível 1-Sem Num Preto"/>
    <w:basedOn w:val="1"/>
    <w:link w:val="37"/>
    <w:qFormat/>
    <w:uiPriority w:val="0"/>
    <w:pPr>
      <w:keepNext/>
      <w:keepLines/>
      <w:tabs>
        <w:tab w:val="left" w:pos="360"/>
      </w:tabs>
      <w:spacing w:before="240" w:after="240" w:line="276" w:lineRule="auto"/>
      <w:jc w:val="both"/>
      <w:outlineLvl w:val="1"/>
    </w:pPr>
    <w:rPr>
      <w:rFonts w:ascii="Arial" w:hAnsi="Arial" w:cs="Arial" w:eastAsiaTheme="majorEastAsia"/>
      <w:sz w:val="24"/>
      <w:szCs w:val="24"/>
      <w:lang w:eastAsia="zh-CN" w:bidi="hi-IN"/>
    </w:rPr>
  </w:style>
  <w:style w:type="character" w:customStyle="1" w:styleId="39">
    <w:name w:val="normaltextrun"/>
    <w:basedOn w:val="3"/>
    <w:qFormat/>
    <w:uiPriority w:val="0"/>
  </w:style>
  <w:style w:type="character" w:customStyle="1" w:styleId="40">
    <w:name w:val="findhit"/>
    <w:basedOn w:val="3"/>
    <w:qFormat/>
    <w:uiPriority w:val="0"/>
  </w:style>
  <w:style w:type="character" w:customStyle="1" w:styleId="41">
    <w:name w:val="Parágrafo da Lista Char"/>
    <w:basedOn w:val="3"/>
    <w:link w:val="42"/>
    <w:qFormat/>
    <w:locked/>
    <w:uiPriority w:val="34"/>
    <w:rPr>
      <w:rFonts w:ascii="Calibri" w:hAnsi="Calibri" w:eastAsia="Calibri" w:cs="Times New Roman"/>
    </w:rPr>
  </w:style>
  <w:style w:type="paragraph" w:styleId="42">
    <w:name w:val="List Paragraph"/>
    <w:basedOn w:val="1"/>
    <w:link w:val="41"/>
    <w:qFormat/>
    <w:uiPriority w:val="34"/>
    <w:pPr>
      <w:spacing w:after="200" w:line="276" w:lineRule="auto"/>
      <w:ind w:left="720"/>
      <w:contextualSpacing/>
    </w:pPr>
    <w:rPr>
      <w:rFonts w:ascii="Calibri" w:hAnsi="Calibri" w:eastAsia="Calibri" w:cs="Times New Roman"/>
    </w:rPr>
  </w:style>
  <w:style w:type="paragraph" w:customStyle="1" w:styleId="43">
    <w:name w:val="Nível 2"/>
    <w:basedOn w:val="1"/>
    <w:next w:val="1"/>
    <w:qFormat/>
    <w:uiPriority w:val="0"/>
    <w:pPr>
      <w:spacing w:after="120" w:line="240" w:lineRule="auto"/>
      <w:jc w:val="both"/>
    </w:pPr>
    <w:rPr>
      <w:rFonts w:ascii="Arial" w:hAnsi="Arial" w:cs="Times New Roman" w:eastAsiaTheme="minorEastAsia"/>
      <w:b/>
      <w:sz w:val="24"/>
      <w:szCs w:val="20"/>
      <w:lang w:eastAsia="pt-BR"/>
    </w:rPr>
  </w:style>
  <w:style w:type="paragraph" w:customStyle="1" w:styleId="44">
    <w:name w:val="Nivel 4"/>
    <w:basedOn w:val="32"/>
    <w:link w:val="45"/>
    <w:qFormat/>
    <w:uiPriority w:val="0"/>
    <w:pPr>
      <w:ind w:left="567"/>
    </w:pPr>
    <w:rPr>
      <w:rFonts w:ascii="Arial" w:hAnsi="Arial"/>
      <w:b/>
      <w:bCs/>
      <w:sz w:val="20"/>
      <w:szCs w:val="20"/>
    </w:rPr>
  </w:style>
  <w:style w:type="character" w:customStyle="1" w:styleId="45">
    <w:name w:val="Nivel 4 Char"/>
    <w:basedOn w:val="3"/>
    <w:link w:val="44"/>
    <w:qFormat/>
    <w:uiPriority w:val="0"/>
    <w:rPr>
      <w:rFonts w:ascii="Arial" w:hAnsi="Arial" w:cs="Arial" w:eastAsiaTheme="minorEastAsia"/>
      <w:sz w:val="20"/>
      <w:szCs w:val="20"/>
      <w:lang w:eastAsia="pt-BR"/>
    </w:rPr>
  </w:style>
  <w:style w:type="paragraph" w:customStyle="1" w:styleId="46">
    <w:name w:val="Nivel 5"/>
    <w:basedOn w:val="44"/>
    <w:qFormat/>
    <w:uiPriority w:val="0"/>
    <w:pPr>
      <w:ind w:left="1276"/>
    </w:pPr>
  </w:style>
  <w:style w:type="character" w:customStyle="1" w:styleId="47">
    <w:name w:val="Corpo de texto Char"/>
    <w:basedOn w:val="3"/>
    <w:link w:val="10"/>
    <w:semiHidden/>
    <w:qFormat/>
    <w:uiPriority w:val="0"/>
    <w:rPr>
      <w:rFonts w:ascii="Calibri" w:hAnsi="Calibri" w:eastAsia="Calibri" w:cs="Times New Roman"/>
    </w:rPr>
  </w:style>
  <w:style w:type="paragraph" w:customStyle="1" w:styleId="48">
    <w:name w:val="ou"/>
    <w:basedOn w:val="42"/>
    <w:link w:val="49"/>
    <w:qFormat/>
    <w:uiPriority w:val="0"/>
    <w:pPr>
      <w:spacing w:before="60" w:after="60" w:line="240" w:lineRule="auto"/>
      <w:ind w:left="0"/>
      <w:contextualSpacing w:val="0"/>
      <w:jc w:val="center"/>
    </w:pPr>
    <w:rPr>
      <w:rFonts w:ascii="Arial" w:hAnsi="Arial" w:cs="Arial" w:eastAsiaTheme="minorEastAsia"/>
      <w:b/>
      <w:bCs/>
      <w:i/>
      <w:iCs/>
      <w:color w:val="FF0000"/>
      <w:sz w:val="20"/>
      <w:szCs w:val="24"/>
      <w:u w:val="single"/>
      <w:lang w:eastAsia="pt-BR"/>
    </w:rPr>
  </w:style>
  <w:style w:type="character" w:customStyle="1" w:styleId="49">
    <w:name w:val="ou Char"/>
    <w:basedOn w:val="41"/>
    <w:link w:val="48"/>
    <w:qFormat/>
    <w:uiPriority w:val="0"/>
    <w:rPr>
      <w:rFonts w:ascii="Arial" w:hAnsi="Arial" w:cs="Arial" w:eastAsiaTheme="minorEastAsia"/>
      <w:b/>
      <w:bCs/>
      <w:i/>
      <w:iCs/>
      <w:color w:val="FF0000"/>
      <w:sz w:val="20"/>
      <w:szCs w:val="24"/>
      <w:u w:val="single"/>
      <w:lang w:eastAsia="pt-BR"/>
    </w:rPr>
  </w:style>
  <w:style w:type="paragraph" w:customStyle="1" w:styleId="50">
    <w:name w:val="Nível 4-R"/>
    <w:basedOn w:val="44"/>
    <w:link w:val="51"/>
    <w:autoRedefine/>
    <w:qFormat/>
    <w:uiPriority w:val="0"/>
    <w:pPr>
      <w:numPr>
        <w:ilvl w:val="3"/>
        <w:numId w:val="1"/>
      </w:numPr>
      <w:ind w:left="567" w:firstLine="0"/>
    </w:pPr>
    <w:rPr>
      <w:b w:val="0"/>
      <w:bCs w:val="0"/>
      <w:color w:val="FF0000"/>
    </w:rPr>
  </w:style>
  <w:style w:type="character" w:customStyle="1" w:styleId="51">
    <w:name w:val="Nível 4-R Char"/>
    <w:basedOn w:val="3"/>
    <w:link w:val="50"/>
    <w:qFormat/>
    <w:uiPriority w:val="0"/>
    <w:rPr>
      <w:rFonts w:ascii="Arial" w:hAnsi="Arial" w:cs="Arial" w:eastAsiaTheme="minorEastAsia"/>
      <w:color w:val="FF0000"/>
      <w:sz w:val="20"/>
      <w:szCs w:val="20"/>
      <w:lang w:eastAsia="pt-BR"/>
    </w:rPr>
  </w:style>
  <w:style w:type="paragraph" w:customStyle="1" w:styleId="52">
    <w:name w:val="Nível 1-Sem Num"/>
    <w:basedOn w:val="28"/>
    <w:link w:val="53"/>
    <w:autoRedefine/>
    <w:qFormat/>
    <w:uiPriority w:val="0"/>
    <w:pPr>
      <w:pBdr>
        <w:top w:val="none" w:color="auto" w:sz="0" w:space="0"/>
        <w:left w:val="none" w:color="auto" w:sz="0" w:space="0"/>
        <w:bottom w:val="none" w:color="auto" w:sz="0" w:space="0"/>
        <w:right w:val="none" w:color="auto" w:sz="0" w:space="0"/>
        <w:between w:val="none" w:color="auto" w:sz="0" w:space="0"/>
      </w:pBdr>
      <w:shd w:val="clear" w:color="auto" w:fill="auto"/>
      <w:outlineLvl w:val="1"/>
    </w:pPr>
    <w:rPr>
      <w:rFonts w:cs="Times New Roman"/>
      <w:iCs/>
      <w:color w:val="C00000"/>
    </w:rPr>
  </w:style>
  <w:style w:type="character" w:customStyle="1" w:styleId="53">
    <w:name w:val="Nível 1-Sem Num Char"/>
    <w:basedOn w:val="27"/>
    <w:link w:val="52"/>
    <w:qFormat/>
    <w:uiPriority w:val="0"/>
    <w:rPr>
      <w:rFonts w:ascii="Cambria" w:hAnsi="Cambria" w:cs="Times New Roman" w:eastAsiaTheme="majorEastAsia"/>
      <w:iCs/>
      <w:color w:val="C00000"/>
      <w:shd w:val="clear" w:color="auto" w:fill="BEBEBE" w:themeFill="background1" w:themeFillShade="BF"/>
      <w:lang w:eastAsia="pt-BR"/>
    </w:rPr>
  </w:style>
  <w:style w:type="character" w:customStyle="1" w:styleId="54">
    <w:name w:val="Texto de balão Char"/>
    <w:basedOn w:val="3"/>
    <w:link w:val="16"/>
    <w:semiHidden/>
    <w:qFormat/>
    <w:uiPriority w:val="99"/>
    <w:rPr>
      <w:rFonts w:ascii="Tahoma" w:hAnsi="Tahoma" w:eastAsia="Calibri" w:cs="Tahoma"/>
      <w:sz w:val="16"/>
      <w:szCs w:val="16"/>
    </w:rPr>
  </w:style>
  <w:style w:type="paragraph" w:customStyle="1" w:styleId="55">
    <w:name w:val="Nível 3"/>
    <w:basedOn w:val="36"/>
    <w:link w:val="56"/>
    <w:qFormat/>
    <w:uiPriority w:val="0"/>
    <w:pPr>
      <w:numPr>
        <w:ilvl w:val="2"/>
        <w:numId w:val="2"/>
      </w:numPr>
      <w:ind w:left="284" w:firstLine="0"/>
    </w:pPr>
    <w:rPr>
      <w:rFonts w:ascii="Arial" w:hAnsi="Arial" w:eastAsia="Times New Roman"/>
      <w:color w:val="auto"/>
      <w:sz w:val="20"/>
      <w:szCs w:val="20"/>
    </w:rPr>
  </w:style>
  <w:style w:type="character" w:customStyle="1" w:styleId="56">
    <w:name w:val="Nível 3 Char"/>
    <w:basedOn w:val="3"/>
    <w:link w:val="55"/>
    <w:qFormat/>
    <w:uiPriority w:val="0"/>
    <w:rPr>
      <w:rFonts w:ascii="Arial" w:hAnsi="Arial" w:eastAsia="Times New Roman" w:cs="Arial"/>
      <w:sz w:val="20"/>
      <w:szCs w:val="20"/>
      <w:lang w:eastAsia="pt-BR"/>
    </w:rPr>
  </w:style>
  <w:style w:type="paragraph" w:customStyle="1" w:styleId="57">
    <w:name w:val="Nível 4"/>
    <w:basedOn w:val="55"/>
    <w:link w:val="58"/>
    <w:qFormat/>
    <w:uiPriority w:val="0"/>
    <w:pPr>
      <w:numPr>
        <w:ilvl w:val="0"/>
        <w:numId w:val="0"/>
      </w:numPr>
      <w:ind w:left="567"/>
    </w:pPr>
  </w:style>
  <w:style w:type="character" w:customStyle="1" w:styleId="58">
    <w:name w:val="Nível 4 Char"/>
    <w:basedOn w:val="56"/>
    <w:link w:val="57"/>
    <w:qFormat/>
    <w:uiPriority w:val="0"/>
    <w:rPr>
      <w:rFonts w:ascii="Arial" w:hAnsi="Arial" w:eastAsia="Times New Roman" w:cs="Arial"/>
      <w:sz w:val="20"/>
      <w:szCs w:val="20"/>
      <w:lang w:eastAsia="pt-BR"/>
    </w:rPr>
  </w:style>
  <w:style w:type="paragraph" w:customStyle="1" w:styleId="59">
    <w:name w:val="Table Paragraph"/>
    <w:basedOn w:val="1"/>
    <w:qFormat/>
    <w:uiPriority w:val="1"/>
    <w:pPr>
      <w:widowControl w:val="0"/>
      <w:autoSpaceDE w:val="0"/>
      <w:autoSpaceDN w:val="0"/>
      <w:spacing w:after="0" w:line="240" w:lineRule="auto"/>
    </w:pPr>
    <w:rPr>
      <w:rFonts w:ascii="Arial" w:hAnsi="Arial" w:eastAsia="Arial" w:cs="Arial"/>
      <w:lang w:val="pt-PT" w:eastAsia="pt-PT" w:bidi="pt-PT"/>
    </w:rPr>
  </w:style>
  <w:style w:type="character" w:customStyle="1" w:styleId="60">
    <w:name w:val="Texto de comentário Char"/>
    <w:basedOn w:val="3"/>
    <w:link w:val="11"/>
    <w:qFormat/>
    <w:uiPriority w:val="99"/>
    <w:rPr>
      <w:rFonts w:ascii="Ecofont_Spranq_eco_Sans" w:hAnsi="Ecofont_Spranq_eco_Sans" w:cs="Tahoma" w:eastAsiaTheme="minorEastAsia"/>
      <w:sz w:val="20"/>
      <w:szCs w:val="20"/>
      <w:lang w:eastAsia="pt-BR"/>
    </w:rPr>
  </w:style>
  <w:style w:type="paragraph" w:customStyle="1" w:styleId="61">
    <w:name w:val="Default"/>
    <w:uiPriority w:val="0"/>
    <w:pPr>
      <w:autoSpaceDE w:val="0"/>
      <w:autoSpaceDN w:val="0"/>
      <w:adjustRightInd w:val="0"/>
      <w:spacing w:after="0" w:line="240" w:lineRule="auto"/>
    </w:pPr>
    <w:rPr>
      <w:rFonts w:ascii="TimesNewRoman,Bold" w:hAnsi="TimesNewRoman,Bold" w:eastAsia="Times New Roman" w:cs="TimesNewRoman,Bold"/>
      <w:sz w:val="20"/>
      <w:szCs w:val="20"/>
      <w:lang w:val="pt-BR" w:eastAsia="pt-BR" w:bidi="ar-SA"/>
    </w:rPr>
  </w:style>
  <w:style w:type="character" w:customStyle="1" w:styleId="62">
    <w:name w:val="apple-converted-space"/>
    <w:basedOn w:val="3"/>
    <w:uiPriority w:val="0"/>
  </w:style>
  <w:style w:type="character" w:customStyle="1" w:styleId="63">
    <w:name w:val="Texto de nota de rodapé Char"/>
    <w:basedOn w:val="3"/>
    <w:link w:val="17"/>
    <w:qFormat/>
    <w:uiPriority w:val="99"/>
    <w:rPr>
      <w:rFonts w:ascii="Times New Roman" w:hAnsi="Times New Roman" w:eastAsia="Times New Roman" w:cs="Arial"/>
      <w:sz w:val="20"/>
      <w:szCs w:val="20"/>
      <w:lang w:eastAsia="ar-SA"/>
    </w:rPr>
  </w:style>
  <w:style w:type="table" w:customStyle="1" w:styleId="64">
    <w:name w:val="Table Normal"/>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65">
    <w:name w:val="msonormal"/>
    <w:basedOn w:val="1"/>
    <w:uiPriority w:val="0"/>
    <w:pPr>
      <w:spacing w:before="100" w:beforeAutospacing="1" w:after="100" w:afterAutospacing="1" w:line="240" w:lineRule="auto"/>
    </w:pPr>
    <w:rPr>
      <w:rFonts w:ascii="Times New Roman" w:hAnsi="Times New Roman" w:eastAsia="Times New Roman" w:cs="Times New Roman"/>
      <w:sz w:val="24"/>
      <w:szCs w:val="24"/>
      <w:lang w:eastAsia="pt-BR"/>
    </w:rPr>
  </w:style>
  <w:style w:type="paragraph" w:customStyle="1" w:styleId="66">
    <w:name w:val="xl65"/>
    <w:basedOn w:val="1"/>
    <w:uiPriority w:val="0"/>
    <w:pPr>
      <w:pBdr>
        <w:top w:val="single" w:color="548235" w:sz="4" w:space="0"/>
        <w:left w:val="single" w:color="548235" w:sz="4" w:space="0"/>
        <w:bottom w:val="single" w:color="548235" w:sz="4" w:space="0"/>
        <w:right w:val="single" w:color="548235" w:sz="4" w:space="0"/>
      </w:pBdr>
      <w:shd w:val="clear" w:color="000000" w:fill="548235"/>
      <w:spacing w:before="100" w:beforeAutospacing="1" w:after="100" w:afterAutospacing="1" w:line="240" w:lineRule="auto"/>
    </w:pPr>
    <w:rPr>
      <w:rFonts w:ascii="Times New Roman" w:hAnsi="Times New Roman" w:eastAsia="Times New Roman" w:cs="Times New Roman"/>
      <w:b/>
      <w:bCs/>
      <w:color w:val="FFFFFF"/>
      <w:sz w:val="16"/>
      <w:szCs w:val="16"/>
      <w:lang w:eastAsia="pt-BR"/>
    </w:rPr>
  </w:style>
  <w:style w:type="paragraph" w:customStyle="1" w:styleId="67">
    <w:name w:val="xl66"/>
    <w:basedOn w:val="1"/>
    <w:qFormat/>
    <w:uiPriority w:val="0"/>
    <w:pPr>
      <w:pBdr>
        <w:top w:val="single" w:color="548235" w:sz="4" w:space="0"/>
        <w:left w:val="single" w:color="548235" w:sz="4" w:space="0"/>
        <w:bottom w:val="single" w:color="548235" w:sz="4" w:space="0"/>
        <w:right w:val="single" w:color="548235" w:sz="4" w:space="0"/>
      </w:pBdr>
      <w:shd w:val="clear" w:color="000000" w:fill="C6E0B4"/>
      <w:spacing w:before="100" w:beforeAutospacing="1" w:after="100" w:afterAutospacing="1" w:line="240" w:lineRule="auto"/>
    </w:pPr>
    <w:rPr>
      <w:rFonts w:ascii="Times New Roman" w:hAnsi="Times New Roman" w:eastAsia="Times New Roman" w:cs="Times New Roman"/>
      <w:sz w:val="16"/>
      <w:szCs w:val="16"/>
      <w:lang w:eastAsia="pt-BR"/>
    </w:rPr>
  </w:style>
  <w:style w:type="paragraph" w:customStyle="1" w:styleId="68">
    <w:name w:val="xl67"/>
    <w:basedOn w:val="1"/>
    <w:qFormat/>
    <w:uiPriority w:val="0"/>
    <w:pPr>
      <w:pBdr>
        <w:top w:val="single" w:color="548235" w:sz="4" w:space="0"/>
        <w:left w:val="single" w:color="548235" w:sz="4" w:space="0"/>
        <w:bottom w:val="single" w:color="548235" w:sz="4" w:space="0"/>
        <w:right w:val="single" w:color="548235" w:sz="4" w:space="0"/>
      </w:pBdr>
      <w:shd w:val="clear" w:color="000000" w:fill="C6E0B4"/>
      <w:spacing w:before="100" w:beforeAutospacing="1" w:after="100" w:afterAutospacing="1" w:line="240" w:lineRule="auto"/>
    </w:pPr>
    <w:rPr>
      <w:rFonts w:ascii="Times New Roman" w:hAnsi="Times New Roman" w:eastAsia="Times New Roman" w:cs="Times New Roman"/>
      <w:sz w:val="16"/>
      <w:szCs w:val="16"/>
      <w:lang w:eastAsia="pt-BR"/>
    </w:rPr>
  </w:style>
  <w:style w:type="paragraph" w:customStyle="1" w:styleId="69">
    <w:name w:val="xl68"/>
    <w:basedOn w:val="1"/>
    <w:uiPriority w:val="0"/>
    <w:pPr>
      <w:pBdr>
        <w:top w:val="single" w:color="548235" w:sz="4" w:space="0"/>
        <w:left w:val="single" w:color="548235" w:sz="4" w:space="0"/>
        <w:bottom w:val="single" w:color="548235" w:sz="4" w:space="0"/>
        <w:right w:val="single" w:color="548235" w:sz="4" w:space="0"/>
      </w:pBdr>
      <w:spacing w:before="100" w:beforeAutospacing="1" w:after="100" w:afterAutospacing="1" w:line="240" w:lineRule="auto"/>
    </w:pPr>
    <w:rPr>
      <w:rFonts w:ascii="Times New Roman" w:hAnsi="Times New Roman" w:eastAsia="Times New Roman" w:cs="Times New Roman"/>
      <w:sz w:val="16"/>
      <w:szCs w:val="16"/>
      <w:lang w:eastAsia="pt-BR"/>
    </w:rPr>
  </w:style>
  <w:style w:type="paragraph" w:customStyle="1" w:styleId="70">
    <w:name w:val="xl69"/>
    <w:basedOn w:val="1"/>
    <w:uiPriority w:val="0"/>
    <w:pPr>
      <w:pBdr>
        <w:top w:val="single" w:color="548235" w:sz="4" w:space="0"/>
        <w:left w:val="single" w:color="548235" w:sz="4" w:space="0"/>
        <w:bottom w:val="single" w:color="548235" w:sz="4" w:space="0"/>
        <w:right w:val="single" w:color="548235" w:sz="4" w:space="0"/>
      </w:pBdr>
      <w:spacing w:before="100" w:beforeAutospacing="1" w:after="100" w:afterAutospacing="1" w:line="240" w:lineRule="auto"/>
    </w:pPr>
    <w:rPr>
      <w:rFonts w:ascii="Times New Roman" w:hAnsi="Times New Roman" w:eastAsia="Times New Roman" w:cs="Times New Roman"/>
      <w:sz w:val="16"/>
      <w:szCs w:val="16"/>
      <w:lang w:eastAsia="pt-BR"/>
    </w:rPr>
  </w:style>
  <w:style w:type="paragraph" w:customStyle="1" w:styleId="71">
    <w:name w:val="xl70"/>
    <w:basedOn w:val="1"/>
    <w:uiPriority w:val="0"/>
    <w:pPr>
      <w:spacing w:before="100" w:beforeAutospacing="1" w:after="100" w:afterAutospacing="1" w:line="240" w:lineRule="auto"/>
    </w:pPr>
    <w:rPr>
      <w:rFonts w:ascii="Times New Roman" w:hAnsi="Times New Roman" w:eastAsia="Times New Roman" w:cs="Times New Roman"/>
      <w:sz w:val="16"/>
      <w:szCs w:val="16"/>
      <w:lang w:eastAsia="pt-BR"/>
    </w:rPr>
  </w:style>
  <w:style w:type="table" w:customStyle="1" w:styleId="72">
    <w:name w:val="Table Normal1"/>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73">
    <w:name w:val="Table Normal2"/>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74">
    <w:name w:val="Table Normal3"/>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75">
    <w:name w:val="Table Normal4"/>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76">
    <w:name w:val="Table Normal5"/>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77">
    <w:name w:val="Table Normal6"/>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78">
    <w:name w:val="Table Normal7"/>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79">
    <w:name w:val="Table Normal8"/>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2"/>
    <customShpInfo spid="_x0000_s1031"/>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FEB763-EE79-4F07-A014-6965F71A218A}">
  <ds:schemaRefs/>
</ds:datastoreItem>
</file>

<file path=docProps/app.xml><?xml version="1.0" encoding="utf-8"?>
<Properties xmlns="http://schemas.openxmlformats.org/officeDocument/2006/extended-properties" xmlns:vt="http://schemas.openxmlformats.org/officeDocument/2006/docPropsVTypes">
  <Template>Normal</Template>
  <Pages>103</Pages>
  <Words>36499</Words>
  <Characters>197098</Characters>
  <Lines>1642</Lines>
  <Paragraphs>466</Paragraphs>
  <TotalTime>60</TotalTime>
  <ScaleCrop>false</ScaleCrop>
  <LinksUpToDate>false</LinksUpToDate>
  <CharactersWithSpaces>233131</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2024-10-29T15:43:00Z</dcterms:created>
  <dc:creator>Cyl Farney</dc:creator>
  <cp:lastModifiedBy>jessyca.ferreira</cp:lastModifiedBy>
  <cp:lastPrinted>2024-10-29T19:01:00Z</cp:lastPrinted>
  <dcterms:modified xsi:type="dcterms:W3CDTF">2024-11-04T13:28:17Z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1046-12.2.0.18607</vt:lpwstr>
  </property>
  <property fmtid="{D5CDD505-2E9C-101B-9397-08002B2CF9AE}" pid="3" name="ICV">
    <vt:lpwstr>F926F67486574820A15B0567F5D2BA95_13</vt:lpwstr>
  </property>
</Properties>
</file>