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D755A3">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641E298B" w:rsidR="00355887" w:rsidRPr="00463E06" w:rsidRDefault="00F70A08" w:rsidP="00355887">
      <w:pPr>
        <w:spacing w:after="0" w:line="240" w:lineRule="auto"/>
        <w:jc w:val="both"/>
        <w:rPr>
          <w:rFonts w:eastAsia="Times New Roman" w:cstheme="minorHAnsi"/>
          <w:b/>
          <w:color w:val="000000" w:themeColor="text1"/>
          <w:sz w:val="20"/>
          <w:szCs w:val="20"/>
          <w:lang w:eastAsia="pt-BR"/>
        </w:rPr>
      </w:pPr>
      <w:bookmarkStart w:id="0" w:name="_GoBack"/>
      <w:bookmarkEnd w:id="0"/>
      <w:r w:rsidRPr="00F70A08">
        <w:rPr>
          <w:rFonts w:eastAsia="Times New Roman" w:cstheme="minorHAnsi"/>
          <w:b/>
          <w:iCs/>
          <w:color w:val="000000" w:themeColor="text1"/>
          <w:sz w:val="20"/>
          <w:szCs w:val="20"/>
          <w:lang w:eastAsia="pt-BR"/>
        </w:rPr>
        <w:t>90671</w:t>
      </w:r>
      <w:r w:rsidR="00355887" w:rsidRPr="00F70A08">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18C5FF45" w:rsidR="00355887" w:rsidRPr="00D755A3" w:rsidRDefault="00355887" w:rsidP="00355887">
      <w:pPr>
        <w:spacing w:after="0" w:line="240" w:lineRule="auto"/>
        <w:jc w:val="both"/>
        <w:rPr>
          <w:rFonts w:eastAsia="Times New Roman" w:cstheme="minorHAnsi"/>
          <w:b/>
          <w:color w:val="000000" w:themeColor="text1"/>
          <w:sz w:val="20"/>
          <w:szCs w:val="20"/>
          <w:lang w:eastAsia="pt-BR"/>
        </w:rPr>
      </w:pPr>
      <w:r w:rsidRPr="00D755A3">
        <w:rPr>
          <w:rFonts w:eastAsia="Times New Roman" w:cstheme="minorHAnsi"/>
          <w:b/>
          <w:bCs/>
          <w:color w:val="000000" w:themeColor="text1"/>
          <w:sz w:val="20"/>
          <w:szCs w:val="20"/>
          <w:lang w:eastAsia="pt-BR"/>
        </w:rPr>
        <w:t>Regi</w:t>
      </w:r>
      <w:r w:rsidR="000F5055" w:rsidRPr="00D755A3">
        <w:rPr>
          <w:rFonts w:eastAsia="Times New Roman" w:cstheme="minorHAnsi"/>
          <w:b/>
          <w:bCs/>
          <w:color w:val="000000" w:themeColor="text1"/>
          <w:sz w:val="20"/>
          <w:szCs w:val="20"/>
          <w:lang w:eastAsia="pt-BR"/>
        </w:rPr>
        <w:t>stro de preços para contrataç</w:t>
      </w:r>
      <w:r w:rsidRPr="00D755A3">
        <w:rPr>
          <w:rFonts w:eastAsia="Times New Roman" w:cstheme="minorHAnsi"/>
          <w:b/>
          <w:bCs/>
          <w:color w:val="000000" w:themeColor="text1"/>
          <w:sz w:val="20"/>
          <w:szCs w:val="20"/>
          <w:lang w:eastAsia="pt-BR"/>
        </w:rPr>
        <w:t>ões</w:t>
      </w:r>
      <w:r w:rsidR="000F5055" w:rsidRPr="00D755A3">
        <w:rPr>
          <w:rFonts w:eastAsia="Times New Roman" w:cstheme="minorHAnsi"/>
          <w:b/>
          <w:bCs/>
          <w:color w:val="000000" w:themeColor="text1"/>
          <w:sz w:val="20"/>
          <w:szCs w:val="20"/>
          <w:lang w:eastAsia="pt-BR"/>
        </w:rPr>
        <w:t xml:space="preserve"> futura</w:t>
      </w:r>
      <w:r w:rsidRPr="00D755A3">
        <w:rPr>
          <w:rFonts w:eastAsia="Times New Roman" w:cstheme="minorHAnsi"/>
          <w:b/>
          <w:bCs/>
          <w:color w:val="000000" w:themeColor="text1"/>
          <w:sz w:val="20"/>
          <w:szCs w:val="20"/>
          <w:lang w:eastAsia="pt-BR"/>
        </w:rPr>
        <w:t>s de</w:t>
      </w:r>
      <w:r w:rsidR="00F74221" w:rsidRPr="00D755A3">
        <w:rPr>
          <w:rFonts w:eastAsia="Times New Roman" w:cstheme="minorHAnsi"/>
          <w:b/>
          <w:bCs/>
          <w:color w:val="000000" w:themeColor="text1"/>
          <w:sz w:val="20"/>
          <w:szCs w:val="20"/>
          <w:lang w:eastAsia="pt-BR"/>
        </w:rPr>
        <w:t xml:space="preserve"> </w:t>
      </w:r>
      <w:r w:rsidR="00D755A3" w:rsidRPr="00D755A3">
        <w:rPr>
          <w:rFonts w:eastAsia="Times New Roman" w:cstheme="minorHAnsi"/>
          <w:b/>
          <w:sz w:val="20"/>
          <w:szCs w:val="20"/>
          <w:lang w:eastAsia="pt-BR"/>
        </w:rPr>
        <w:t>HIDRALAZINA (CLORIDRATO) 25 MG COMPRIMIDO REVESTIDO, ACETILCISTEINA PO PARA SOLUCAO ORAL 200 MG/5 G ENVELOPE 5 G, TOXINA BOTULINICA 500 UI SOLUÇÃO INJETAVEL FRASCO-AMPOLA, IMIQUIMODE 5 % CREME SACHE 250 MG, LANOLINA HPA ANIDRA MODIFICADA BISNAGA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4049D67"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CA6262">
        <w:rPr>
          <w:rFonts w:eastAsia="Times New Roman" w:cstheme="minorHAnsi"/>
          <w:b/>
          <w:color w:val="000000" w:themeColor="text1"/>
          <w:sz w:val="20"/>
          <w:szCs w:val="20"/>
          <w:lang w:eastAsia="pt-BR"/>
        </w:rPr>
        <w:t xml:space="preserve">Dia </w:t>
      </w:r>
      <w:r w:rsidR="00FF4A2B" w:rsidRPr="00CA6262">
        <w:rPr>
          <w:rFonts w:eastAsia="Times New Roman" w:cstheme="minorHAnsi"/>
          <w:b/>
          <w:color w:val="000000" w:themeColor="text1"/>
          <w:sz w:val="20"/>
          <w:szCs w:val="20"/>
          <w:lang w:eastAsia="pt-BR"/>
        </w:rPr>
        <w:t>12</w:t>
      </w:r>
      <w:r w:rsidRPr="00CA6262">
        <w:rPr>
          <w:rFonts w:eastAsia="Times New Roman" w:cstheme="minorHAnsi"/>
          <w:b/>
          <w:bCs/>
          <w:color w:val="000000" w:themeColor="text1"/>
          <w:sz w:val="20"/>
          <w:szCs w:val="20"/>
          <w:lang w:eastAsia="pt-BR"/>
        </w:rPr>
        <w:t>/</w:t>
      </w:r>
      <w:r w:rsidR="00FF4A2B" w:rsidRPr="00CA6262">
        <w:rPr>
          <w:rFonts w:eastAsia="Times New Roman" w:cstheme="minorHAnsi"/>
          <w:b/>
          <w:bCs/>
          <w:color w:val="000000" w:themeColor="text1"/>
          <w:sz w:val="20"/>
          <w:szCs w:val="20"/>
          <w:lang w:eastAsia="pt-BR"/>
        </w:rPr>
        <w:t>12</w:t>
      </w:r>
      <w:r w:rsidRPr="00CA6262">
        <w:rPr>
          <w:rFonts w:eastAsia="Times New Roman" w:cstheme="minorHAnsi"/>
          <w:b/>
          <w:bCs/>
          <w:color w:val="000000" w:themeColor="text1"/>
          <w:sz w:val="20"/>
          <w:szCs w:val="20"/>
          <w:lang w:eastAsia="pt-BR"/>
        </w:rPr>
        <w:t>/</w:t>
      </w:r>
      <w:r w:rsidR="00640EB7" w:rsidRPr="00CA6262">
        <w:rPr>
          <w:rFonts w:eastAsia="Times New Roman" w:cstheme="minorHAnsi"/>
          <w:b/>
          <w:bCs/>
          <w:color w:val="000000" w:themeColor="text1"/>
          <w:sz w:val="20"/>
          <w:szCs w:val="20"/>
          <w:lang w:eastAsia="pt-BR"/>
        </w:rPr>
        <w:t>202</w:t>
      </w:r>
      <w:r w:rsidR="00FF4A2B" w:rsidRPr="00CA6262">
        <w:rPr>
          <w:rFonts w:eastAsia="Times New Roman" w:cstheme="minorHAnsi"/>
          <w:b/>
          <w:bCs/>
          <w:color w:val="000000" w:themeColor="text1"/>
          <w:sz w:val="20"/>
          <w:szCs w:val="20"/>
          <w:lang w:eastAsia="pt-BR"/>
        </w:rPr>
        <w:t>4</w:t>
      </w:r>
      <w:r w:rsidRPr="00CA6262">
        <w:rPr>
          <w:rFonts w:eastAsia="Times New Roman" w:cstheme="minorHAnsi"/>
          <w:b/>
          <w:bCs/>
          <w:color w:val="000000" w:themeColor="text1"/>
          <w:sz w:val="20"/>
          <w:szCs w:val="20"/>
          <w:lang w:eastAsia="pt-BR"/>
        </w:rPr>
        <w:t xml:space="preserve"> </w:t>
      </w:r>
      <w:r w:rsidRPr="00CA6262">
        <w:rPr>
          <w:rFonts w:eastAsia="Times New Roman" w:cstheme="minorHAnsi"/>
          <w:b/>
          <w:color w:val="000000" w:themeColor="text1"/>
          <w:sz w:val="20"/>
          <w:szCs w:val="20"/>
          <w:lang w:eastAsia="pt-BR"/>
        </w:rPr>
        <w:t>às 09:00</w:t>
      </w:r>
      <w:r w:rsidRPr="00CA6262">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42324E"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23254777" w14:textId="0ACACB74" w:rsidR="005A4EC6" w:rsidRPr="009E47D2" w:rsidRDefault="0042324E" w:rsidP="009E47D2">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7D693EA0"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F70A08">
        <w:rPr>
          <w:rFonts w:eastAsia="Times New Roman" w:cstheme="minorHAnsi"/>
          <w:b/>
          <w:bCs/>
          <w:sz w:val="20"/>
          <w:szCs w:val="20"/>
          <w:lang w:eastAsia="pt-BR"/>
        </w:rPr>
        <w:t xml:space="preserve">Nº </w:t>
      </w:r>
      <w:r w:rsidR="00F70A08">
        <w:rPr>
          <w:rFonts w:eastAsia="Times New Roman" w:cstheme="minorHAnsi"/>
          <w:b/>
          <w:bCs/>
          <w:sz w:val="20"/>
          <w:szCs w:val="20"/>
          <w:lang w:eastAsia="pt-BR"/>
        </w:rPr>
        <w:t>90671</w:t>
      </w:r>
      <w:r w:rsidRPr="00F70A08">
        <w:rPr>
          <w:rFonts w:eastAsia="Times New Roman" w:cstheme="minorHAnsi"/>
          <w:b/>
          <w:bCs/>
          <w:sz w:val="20"/>
          <w:szCs w:val="20"/>
          <w:lang w:eastAsia="pt-BR"/>
        </w:rPr>
        <w:t>/2024</w:t>
      </w:r>
    </w:p>
    <w:p w14:paraId="4B036843" w14:textId="274DE31F"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2A1767">
        <w:rPr>
          <w:rFonts w:eastAsia="Times New Roman" w:cstheme="minorHAnsi"/>
          <w:sz w:val="20"/>
          <w:szCs w:val="20"/>
          <w:u w:val="single"/>
          <w:lang w:eastAsia="pt-BR"/>
        </w:rPr>
        <w:t xml:space="preserve">° </w:t>
      </w:r>
      <w:r w:rsidR="00D755A3" w:rsidRPr="002A1767">
        <w:rPr>
          <w:rFonts w:eastAsia="Times New Roman" w:cstheme="minorHAnsi"/>
          <w:sz w:val="20"/>
          <w:szCs w:val="20"/>
          <w:u w:val="single"/>
          <w:lang w:eastAsia="pt-BR"/>
        </w:rPr>
        <w:t>145.00024675/2024-01</w:t>
      </w:r>
      <w:r w:rsidRPr="002A1767">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4007DB6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D755A3" w:rsidRPr="002A1767">
        <w:rPr>
          <w:rFonts w:eastAsia="Times New Roman" w:cstheme="minorHAnsi"/>
          <w:sz w:val="20"/>
          <w:szCs w:val="20"/>
          <w:lang w:eastAsia="pt-BR"/>
        </w:rPr>
        <w:t>HIDRALAZINA (CLORIDRATO) 25 MG COMPRIMIDO REVESTIDO, ACETILCISTEINA PO PARA SOLUCAO ORAL 200 MG/5 G ENVELOPE 5 G, TOXINA BOTULINICA 500 UI SOLUÇÃO INJETAVEL FRASCO-AMPOLA, IMIQUIMODE 5 % CREME SACHE 250 MG, LANOLINA HPA ANIDRA MODIFICADA BISNAGA</w:t>
      </w:r>
      <w:r w:rsidRPr="00F43360">
        <w:rPr>
          <w:rFonts w:eastAsia="Times New Roman" w:cstheme="minorHAnsi"/>
          <w:sz w:val="20"/>
          <w:szCs w:val="20"/>
          <w:lang w:eastAsia="pt-BR"/>
        </w:rPr>
        <w:t xml:space="preserve"> conforme condições, quantidades e exigências estabelecidas neste Edital e seus Anexos.</w:t>
      </w:r>
    </w:p>
    <w:p w14:paraId="105C10FE" w14:textId="73E2E69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2A1767">
        <w:rPr>
          <w:rFonts w:eastAsia="Times New Roman" w:cstheme="minorHAnsi"/>
          <w:iCs/>
          <w:sz w:val="20"/>
          <w:szCs w:val="20"/>
          <w:lang w:eastAsia="pt-BR"/>
        </w:rPr>
        <w:t xml:space="preserve"> cinco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4FD41EE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F36E01" w:rsidRPr="00F36E01">
        <w:rPr>
          <w:rFonts w:eastAsia="Times New Roman" w:cstheme="minorHAnsi"/>
          <w:iCs/>
          <w:sz w:val="20"/>
          <w:szCs w:val="20"/>
          <w:lang w:eastAsia="pt-BR"/>
        </w:rPr>
        <w:t>Nesta licitação, </w:t>
      </w:r>
      <w:bookmarkStart w:id="6" w:name="TextoLic"/>
      <w:bookmarkEnd w:id="6"/>
      <w:r w:rsidR="00F36E01" w:rsidRPr="00F36E01">
        <w:rPr>
          <w:rFonts w:eastAsia="Times New Roman" w:cstheme="minorHAnsi"/>
          <w:iCs/>
          <w:sz w:val="20"/>
          <w:szCs w:val="20"/>
          <w:lang w:eastAsia="pt-BR"/>
        </w:rPr>
        <w:t>para</w:t>
      </w:r>
      <w:r w:rsidR="00FF4A2B">
        <w:rPr>
          <w:rFonts w:eastAsia="Times New Roman" w:cstheme="minorHAnsi"/>
          <w:iCs/>
          <w:sz w:val="20"/>
          <w:szCs w:val="20"/>
          <w:lang w:eastAsia="pt-BR"/>
        </w:rPr>
        <w:t xml:space="preserve"> o(s) item(ns) ou grupo(s) 1, 2, 3 </w:t>
      </w:r>
      <w:r w:rsidR="00F36E01" w:rsidRPr="00F36E01">
        <w:rPr>
          <w:rFonts w:eastAsia="Times New Roman" w:cstheme="minorHAnsi"/>
          <w:iCs/>
          <w:sz w:val="20"/>
          <w:szCs w:val="20"/>
          <w:lang w:eastAsia="pt-BR"/>
        </w:rPr>
        <w:t xml:space="preserve">e </w:t>
      </w:r>
      <w:r w:rsidR="00FF4A2B">
        <w:rPr>
          <w:rFonts w:eastAsia="Times New Roman" w:cstheme="minorHAnsi"/>
          <w:iCs/>
          <w:sz w:val="20"/>
          <w:szCs w:val="20"/>
          <w:lang w:eastAsia="pt-BR"/>
        </w:rPr>
        <w:t>4</w:t>
      </w:r>
      <w:r w:rsidR="00F36E01" w:rsidRPr="00F36E01">
        <w:rPr>
          <w:rFonts w:eastAsia="Times New Roman" w:cstheme="minorHAnsi"/>
          <w:iCs/>
          <w:sz w:val="20"/>
          <w:szCs w:val="20"/>
          <w:lang w:eastAsia="pt-BR"/>
        </w:rPr>
        <w:t>, a participação é ampla, sendo aplicáveis as regras de tratamento favorecido constantes dos arts. 42 a 45 da Lei Complementar nº 123, de 2006, observado o disposto no § 2º do art. 4º da Lei nº 14.133, de 2021, pa</w:t>
      </w:r>
      <w:r w:rsidR="00FF4A2B">
        <w:rPr>
          <w:rFonts w:eastAsia="Times New Roman" w:cstheme="minorHAnsi"/>
          <w:iCs/>
          <w:sz w:val="20"/>
          <w:szCs w:val="20"/>
          <w:lang w:eastAsia="pt-BR"/>
        </w:rPr>
        <w:t>ra o(s) item(ns) ou grupo(s)</w:t>
      </w:r>
      <w:r w:rsidR="00F36E01" w:rsidRPr="00F36E01">
        <w:rPr>
          <w:rFonts w:eastAsia="Times New Roman" w:cstheme="minorHAnsi"/>
          <w:iCs/>
          <w:sz w:val="20"/>
          <w:szCs w:val="20"/>
          <w:lang w:eastAsia="pt-BR"/>
        </w:rPr>
        <w:t xml:space="preserve"> 5,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C542FC" w:rsidRDefault="00E71A17" w:rsidP="00E71A17">
      <w:pPr>
        <w:spacing w:before="285" w:after="285" w:line="240" w:lineRule="auto"/>
        <w:ind w:firstLine="567"/>
        <w:jc w:val="center"/>
        <w:rPr>
          <w:rFonts w:eastAsia="Times New Roman" w:cstheme="minorHAnsi"/>
          <w:b/>
          <w:bCs/>
          <w:sz w:val="20"/>
          <w:szCs w:val="20"/>
          <w:lang w:eastAsia="pt-BR"/>
        </w:rPr>
      </w:pPr>
      <w:r w:rsidRPr="00C542FC">
        <w:rPr>
          <w:rFonts w:eastAsia="Times New Roman" w:cstheme="minorHAnsi"/>
          <w:b/>
          <w:bCs/>
          <w:sz w:val="20"/>
          <w:szCs w:val="20"/>
          <w:lang w:eastAsia="pt-BR"/>
        </w:rPr>
        <w:t xml:space="preserve">Claudia Teixeira Cesena </w:t>
      </w:r>
    </w:p>
    <w:p w14:paraId="7BD8FCA7" w14:textId="787249E2" w:rsidR="00E71A17" w:rsidRDefault="00E71A17" w:rsidP="00E71A17">
      <w:pPr>
        <w:spacing w:before="285" w:after="285" w:line="240" w:lineRule="auto"/>
        <w:ind w:firstLine="567"/>
        <w:jc w:val="center"/>
        <w:rPr>
          <w:rFonts w:eastAsia="Times New Roman" w:cstheme="minorHAnsi"/>
          <w:b/>
          <w:bCs/>
          <w:sz w:val="20"/>
          <w:szCs w:val="20"/>
          <w:lang w:eastAsia="pt-BR"/>
        </w:rPr>
      </w:pPr>
      <w:r w:rsidRPr="00C542FC">
        <w:rPr>
          <w:rFonts w:eastAsia="Times New Roman" w:cstheme="minorHAnsi"/>
          <w:b/>
          <w:bCs/>
          <w:sz w:val="20"/>
          <w:szCs w:val="20"/>
          <w:lang w:eastAsia="pt-BR"/>
        </w:rPr>
        <w:t>Líder I</w:t>
      </w:r>
    </w:p>
    <w:p w14:paraId="53895332" w14:textId="77777777" w:rsidR="00C542FC" w:rsidRDefault="00C542FC" w:rsidP="00E71A17">
      <w:pPr>
        <w:spacing w:before="285" w:after="285" w:line="240" w:lineRule="auto"/>
        <w:ind w:firstLine="567"/>
        <w:jc w:val="center"/>
        <w:rPr>
          <w:rFonts w:eastAsia="Times New Roman" w:cstheme="minorHAnsi"/>
          <w:b/>
          <w:bCs/>
          <w:sz w:val="20"/>
          <w:szCs w:val="20"/>
          <w:lang w:eastAsia="pt-BR"/>
        </w:rPr>
      </w:pP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C542FC">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58"/>
        <w:gridCol w:w="4251"/>
        <w:gridCol w:w="865"/>
        <w:gridCol w:w="844"/>
        <w:gridCol w:w="859"/>
        <w:gridCol w:w="830"/>
        <w:gridCol w:w="865"/>
      </w:tblGrid>
      <w:tr w:rsidR="00C542FC" w:rsidRPr="001541B9" w14:paraId="697AE604" w14:textId="77777777" w:rsidTr="00C542FC">
        <w:tc>
          <w:tcPr>
            <w:tcW w:w="558" w:type="dxa"/>
          </w:tcPr>
          <w:p w14:paraId="1749FAF6" w14:textId="77777777" w:rsidR="00605CCC" w:rsidRPr="001541B9" w:rsidRDefault="00605CCC" w:rsidP="00A05B3F">
            <w:pPr>
              <w:jc w:val="center"/>
              <w:rPr>
                <w:rFonts w:cstheme="minorHAnsi"/>
                <w:b/>
                <w:sz w:val="16"/>
                <w:szCs w:val="16"/>
                <w:u w:val="single"/>
              </w:rPr>
            </w:pPr>
            <w:r w:rsidRPr="001541B9">
              <w:rPr>
                <w:rFonts w:cstheme="minorHAnsi"/>
                <w:b/>
                <w:sz w:val="16"/>
                <w:szCs w:val="16"/>
                <w:u w:val="single"/>
              </w:rPr>
              <w:t>ITEM</w:t>
            </w:r>
          </w:p>
        </w:tc>
        <w:tc>
          <w:tcPr>
            <w:tcW w:w="4403" w:type="dxa"/>
          </w:tcPr>
          <w:p w14:paraId="0C2D7D5F" w14:textId="77777777" w:rsidR="00605CCC" w:rsidRPr="001541B9" w:rsidRDefault="00605CCC" w:rsidP="00A05B3F">
            <w:pPr>
              <w:jc w:val="center"/>
              <w:rPr>
                <w:rFonts w:cstheme="minorHAnsi"/>
                <w:b/>
                <w:sz w:val="16"/>
                <w:szCs w:val="16"/>
                <w:u w:val="single"/>
              </w:rPr>
            </w:pPr>
            <w:r w:rsidRPr="001541B9">
              <w:rPr>
                <w:rFonts w:cstheme="minorHAnsi"/>
                <w:b/>
                <w:sz w:val="16"/>
                <w:szCs w:val="16"/>
                <w:u w:val="single"/>
              </w:rPr>
              <w:t>ESPECIFICAÇÃO</w:t>
            </w:r>
          </w:p>
        </w:tc>
        <w:tc>
          <w:tcPr>
            <w:tcW w:w="709" w:type="dxa"/>
          </w:tcPr>
          <w:p w14:paraId="482F5C5C" w14:textId="77777777" w:rsidR="00605CCC" w:rsidRPr="001541B9" w:rsidRDefault="00605CCC" w:rsidP="00A05B3F">
            <w:pPr>
              <w:jc w:val="center"/>
              <w:rPr>
                <w:rFonts w:cstheme="minorHAnsi"/>
                <w:b/>
                <w:sz w:val="16"/>
                <w:szCs w:val="16"/>
                <w:u w:val="single"/>
              </w:rPr>
            </w:pPr>
            <w:r w:rsidRPr="001541B9">
              <w:rPr>
                <w:rFonts w:cstheme="minorHAnsi"/>
                <w:b/>
                <w:sz w:val="16"/>
                <w:szCs w:val="16"/>
                <w:u w:val="single"/>
              </w:rPr>
              <w:t>CÓD HC</w:t>
            </w:r>
          </w:p>
        </w:tc>
        <w:tc>
          <w:tcPr>
            <w:tcW w:w="845" w:type="dxa"/>
          </w:tcPr>
          <w:p w14:paraId="5BF70DC3" w14:textId="77777777" w:rsidR="00605CCC" w:rsidRPr="001541B9" w:rsidRDefault="00605CCC" w:rsidP="00A05B3F">
            <w:pPr>
              <w:jc w:val="center"/>
              <w:rPr>
                <w:rFonts w:cstheme="minorHAnsi"/>
                <w:b/>
                <w:sz w:val="16"/>
                <w:szCs w:val="16"/>
                <w:u w:val="single"/>
              </w:rPr>
            </w:pPr>
            <w:r w:rsidRPr="001541B9">
              <w:rPr>
                <w:rFonts w:cstheme="minorHAnsi"/>
                <w:b/>
                <w:sz w:val="16"/>
                <w:szCs w:val="16"/>
                <w:u w:val="single"/>
              </w:rPr>
              <w:t>CADMAT</w:t>
            </w:r>
          </w:p>
        </w:tc>
        <w:tc>
          <w:tcPr>
            <w:tcW w:w="859" w:type="dxa"/>
          </w:tcPr>
          <w:p w14:paraId="2FD7D199" w14:textId="77777777" w:rsidR="00605CCC" w:rsidRPr="001541B9" w:rsidRDefault="00605CCC" w:rsidP="00A05B3F">
            <w:pPr>
              <w:jc w:val="center"/>
              <w:rPr>
                <w:rFonts w:cstheme="minorHAnsi"/>
                <w:b/>
                <w:sz w:val="16"/>
                <w:szCs w:val="16"/>
                <w:u w:val="single"/>
              </w:rPr>
            </w:pPr>
            <w:r w:rsidRPr="001541B9">
              <w:rPr>
                <w:rFonts w:cstheme="minorHAnsi"/>
                <w:b/>
                <w:sz w:val="16"/>
                <w:szCs w:val="16"/>
                <w:u w:val="single"/>
              </w:rPr>
              <w:t>SIAFÍSICO</w:t>
            </w:r>
          </w:p>
        </w:tc>
        <w:tc>
          <w:tcPr>
            <w:tcW w:w="833" w:type="dxa"/>
          </w:tcPr>
          <w:p w14:paraId="0590B9AC" w14:textId="77777777" w:rsidR="00605CCC" w:rsidRPr="001541B9" w:rsidRDefault="00605CCC" w:rsidP="00A05B3F">
            <w:pPr>
              <w:jc w:val="center"/>
              <w:rPr>
                <w:rFonts w:cstheme="minorHAnsi"/>
                <w:b/>
                <w:sz w:val="16"/>
                <w:szCs w:val="16"/>
                <w:u w:val="single"/>
              </w:rPr>
            </w:pPr>
            <w:r w:rsidRPr="001541B9">
              <w:rPr>
                <w:rFonts w:cstheme="minorHAnsi"/>
                <w:b/>
                <w:sz w:val="16"/>
                <w:szCs w:val="16"/>
                <w:u w:val="single"/>
              </w:rPr>
              <w:t>UNID. DE MEDIDA</w:t>
            </w:r>
          </w:p>
        </w:tc>
        <w:tc>
          <w:tcPr>
            <w:tcW w:w="865" w:type="dxa"/>
          </w:tcPr>
          <w:p w14:paraId="1C2F9BDB" w14:textId="77777777" w:rsidR="00605CCC" w:rsidRPr="001541B9" w:rsidRDefault="00605CCC" w:rsidP="00A05B3F">
            <w:pPr>
              <w:jc w:val="center"/>
              <w:rPr>
                <w:rFonts w:cstheme="minorHAnsi"/>
                <w:b/>
                <w:sz w:val="16"/>
                <w:szCs w:val="16"/>
                <w:u w:val="single"/>
              </w:rPr>
            </w:pPr>
            <w:r w:rsidRPr="001541B9">
              <w:rPr>
                <w:rFonts w:cstheme="minorHAnsi"/>
                <w:b/>
                <w:sz w:val="16"/>
                <w:szCs w:val="16"/>
                <w:u w:val="single"/>
              </w:rPr>
              <w:t>QUANT.</w:t>
            </w:r>
          </w:p>
        </w:tc>
      </w:tr>
      <w:tr w:rsidR="00C542FC" w:rsidRPr="001541B9" w14:paraId="3D56F919" w14:textId="77777777" w:rsidTr="00C542FC">
        <w:tc>
          <w:tcPr>
            <w:tcW w:w="558" w:type="dxa"/>
          </w:tcPr>
          <w:p w14:paraId="2AD70FE8" w14:textId="77777777" w:rsidR="00605CCC" w:rsidRPr="001541B9" w:rsidRDefault="00605CCC" w:rsidP="00A05B3F">
            <w:pPr>
              <w:jc w:val="center"/>
              <w:rPr>
                <w:rFonts w:cstheme="minorHAnsi"/>
                <w:sz w:val="16"/>
                <w:szCs w:val="16"/>
              </w:rPr>
            </w:pPr>
            <w:r w:rsidRPr="001541B9">
              <w:rPr>
                <w:rFonts w:cstheme="minorHAnsi"/>
                <w:sz w:val="16"/>
                <w:szCs w:val="16"/>
              </w:rPr>
              <w:t>1</w:t>
            </w:r>
          </w:p>
          <w:p w14:paraId="1789F2B4" w14:textId="77777777" w:rsidR="00605CCC" w:rsidRPr="001541B9" w:rsidRDefault="00605CCC" w:rsidP="00A05B3F">
            <w:pPr>
              <w:jc w:val="center"/>
              <w:rPr>
                <w:rFonts w:cstheme="minorHAnsi"/>
                <w:sz w:val="16"/>
                <w:szCs w:val="16"/>
              </w:rPr>
            </w:pPr>
          </w:p>
          <w:p w14:paraId="22309871" w14:textId="77777777" w:rsidR="00605CCC" w:rsidRPr="001541B9" w:rsidRDefault="00605CCC" w:rsidP="00A05B3F">
            <w:pPr>
              <w:jc w:val="center"/>
              <w:rPr>
                <w:rFonts w:cstheme="minorHAnsi"/>
                <w:sz w:val="16"/>
                <w:szCs w:val="16"/>
              </w:rPr>
            </w:pPr>
          </w:p>
        </w:tc>
        <w:tc>
          <w:tcPr>
            <w:tcW w:w="4403" w:type="dxa"/>
          </w:tcPr>
          <w:p w14:paraId="3D54F19B" w14:textId="77777777" w:rsidR="00605CCC" w:rsidRPr="001541B9" w:rsidRDefault="00605CCC" w:rsidP="00A05B3F">
            <w:pPr>
              <w:rPr>
                <w:rFonts w:cstheme="minorHAnsi"/>
                <w:sz w:val="16"/>
                <w:szCs w:val="16"/>
              </w:rPr>
            </w:pPr>
            <w:r w:rsidRPr="001541B9">
              <w:rPr>
                <w:rFonts w:cstheme="minorHAnsi"/>
                <w:sz w:val="16"/>
                <w:szCs w:val="16"/>
              </w:rPr>
              <w:t>HIDRALAZINA (CLORIDRATO) 25 MG COMPRIMIDO REVESTIDO</w:t>
            </w:r>
          </w:p>
        </w:tc>
        <w:tc>
          <w:tcPr>
            <w:tcW w:w="709" w:type="dxa"/>
          </w:tcPr>
          <w:p w14:paraId="7EC596E1" w14:textId="77777777" w:rsidR="00605CCC" w:rsidRPr="001541B9" w:rsidRDefault="00605CCC" w:rsidP="00A05B3F">
            <w:pPr>
              <w:rPr>
                <w:rFonts w:cstheme="minorHAnsi"/>
                <w:sz w:val="16"/>
                <w:szCs w:val="16"/>
              </w:rPr>
            </w:pPr>
            <w:r w:rsidRPr="001541B9">
              <w:rPr>
                <w:rFonts w:cstheme="minorHAnsi"/>
                <w:sz w:val="16"/>
                <w:szCs w:val="16"/>
              </w:rPr>
              <w:t>11030082</w:t>
            </w:r>
          </w:p>
        </w:tc>
        <w:tc>
          <w:tcPr>
            <w:tcW w:w="845" w:type="dxa"/>
          </w:tcPr>
          <w:p w14:paraId="7D3A3231" w14:textId="77777777" w:rsidR="00605CCC" w:rsidRPr="001541B9" w:rsidRDefault="00605CCC" w:rsidP="00A05B3F">
            <w:pPr>
              <w:rPr>
                <w:rFonts w:cstheme="minorHAnsi"/>
                <w:sz w:val="16"/>
                <w:szCs w:val="16"/>
              </w:rPr>
            </w:pPr>
            <w:r w:rsidRPr="001541B9">
              <w:rPr>
                <w:rFonts w:cstheme="minorHAnsi"/>
                <w:sz w:val="16"/>
                <w:szCs w:val="16"/>
              </w:rPr>
              <w:t>268111</w:t>
            </w:r>
          </w:p>
        </w:tc>
        <w:tc>
          <w:tcPr>
            <w:tcW w:w="859" w:type="dxa"/>
          </w:tcPr>
          <w:p w14:paraId="3CA476C4" w14:textId="77777777" w:rsidR="00605CCC" w:rsidRPr="001541B9" w:rsidRDefault="00605CCC" w:rsidP="00A05B3F">
            <w:pPr>
              <w:rPr>
                <w:rFonts w:cstheme="minorHAnsi"/>
                <w:sz w:val="16"/>
                <w:szCs w:val="16"/>
              </w:rPr>
            </w:pPr>
            <w:r w:rsidRPr="001541B9">
              <w:rPr>
                <w:rFonts w:cstheme="minorHAnsi"/>
                <w:sz w:val="16"/>
                <w:szCs w:val="16"/>
              </w:rPr>
              <w:t>197440</w:t>
            </w:r>
          </w:p>
        </w:tc>
        <w:tc>
          <w:tcPr>
            <w:tcW w:w="833" w:type="dxa"/>
          </w:tcPr>
          <w:p w14:paraId="0C6D0583" w14:textId="77777777" w:rsidR="00605CCC" w:rsidRPr="001541B9" w:rsidRDefault="00605CCC" w:rsidP="00A05B3F">
            <w:pPr>
              <w:rPr>
                <w:rFonts w:cstheme="minorHAnsi"/>
                <w:sz w:val="16"/>
                <w:szCs w:val="16"/>
              </w:rPr>
            </w:pPr>
            <w:r w:rsidRPr="001541B9">
              <w:rPr>
                <w:rFonts w:cstheme="minorHAnsi"/>
                <w:sz w:val="16"/>
                <w:szCs w:val="16"/>
              </w:rPr>
              <w:t>COM</w:t>
            </w:r>
          </w:p>
        </w:tc>
        <w:tc>
          <w:tcPr>
            <w:tcW w:w="865" w:type="dxa"/>
          </w:tcPr>
          <w:p w14:paraId="4D7930EE" w14:textId="77777777" w:rsidR="00605CCC" w:rsidRPr="001541B9" w:rsidRDefault="00605CCC" w:rsidP="00A05B3F">
            <w:pPr>
              <w:rPr>
                <w:rFonts w:cstheme="minorHAnsi"/>
                <w:sz w:val="16"/>
                <w:szCs w:val="16"/>
              </w:rPr>
            </w:pPr>
            <w:r w:rsidRPr="001541B9">
              <w:rPr>
                <w:rFonts w:cstheme="minorHAnsi"/>
                <w:sz w:val="16"/>
                <w:szCs w:val="16"/>
              </w:rPr>
              <w:t>1.429.258</w:t>
            </w:r>
          </w:p>
        </w:tc>
      </w:tr>
      <w:tr w:rsidR="00C542FC" w:rsidRPr="001541B9" w14:paraId="74C3B5AE" w14:textId="77777777" w:rsidTr="00C542FC">
        <w:tc>
          <w:tcPr>
            <w:tcW w:w="558" w:type="dxa"/>
          </w:tcPr>
          <w:p w14:paraId="4C9EF75E" w14:textId="77777777" w:rsidR="00605CCC" w:rsidRPr="001541B9" w:rsidRDefault="00605CCC" w:rsidP="00A05B3F">
            <w:pPr>
              <w:jc w:val="center"/>
              <w:rPr>
                <w:rFonts w:cstheme="minorHAnsi"/>
                <w:sz w:val="16"/>
                <w:szCs w:val="16"/>
              </w:rPr>
            </w:pPr>
            <w:r w:rsidRPr="001541B9">
              <w:rPr>
                <w:rFonts w:cstheme="minorHAnsi"/>
                <w:sz w:val="16"/>
                <w:szCs w:val="16"/>
              </w:rPr>
              <w:t>2</w:t>
            </w:r>
          </w:p>
          <w:p w14:paraId="0984AF56" w14:textId="77777777" w:rsidR="00605CCC" w:rsidRPr="001541B9" w:rsidRDefault="00605CCC" w:rsidP="00A05B3F">
            <w:pPr>
              <w:jc w:val="center"/>
              <w:rPr>
                <w:rFonts w:cstheme="minorHAnsi"/>
                <w:sz w:val="16"/>
                <w:szCs w:val="16"/>
              </w:rPr>
            </w:pPr>
          </w:p>
          <w:p w14:paraId="42473615" w14:textId="77777777" w:rsidR="00605CCC" w:rsidRPr="001541B9" w:rsidRDefault="00605CCC" w:rsidP="00A05B3F">
            <w:pPr>
              <w:jc w:val="center"/>
              <w:rPr>
                <w:rFonts w:cstheme="minorHAnsi"/>
                <w:sz w:val="16"/>
                <w:szCs w:val="16"/>
              </w:rPr>
            </w:pPr>
          </w:p>
        </w:tc>
        <w:tc>
          <w:tcPr>
            <w:tcW w:w="4403" w:type="dxa"/>
          </w:tcPr>
          <w:p w14:paraId="40F2942D" w14:textId="77777777" w:rsidR="00605CCC" w:rsidRPr="001541B9" w:rsidRDefault="00605CCC" w:rsidP="00A05B3F">
            <w:pPr>
              <w:rPr>
                <w:rFonts w:cstheme="minorHAnsi"/>
                <w:sz w:val="16"/>
                <w:szCs w:val="16"/>
              </w:rPr>
            </w:pPr>
            <w:r w:rsidRPr="001541B9">
              <w:rPr>
                <w:rFonts w:cstheme="minorHAnsi"/>
                <w:sz w:val="16"/>
                <w:szCs w:val="16"/>
              </w:rPr>
              <w:t>ACETILCISTEINA PO PARA SOLUCAO ORAL 200 MG/5 G ENVELOPE 5 G</w:t>
            </w:r>
          </w:p>
        </w:tc>
        <w:tc>
          <w:tcPr>
            <w:tcW w:w="709" w:type="dxa"/>
          </w:tcPr>
          <w:p w14:paraId="352B664E" w14:textId="77777777" w:rsidR="00605CCC" w:rsidRPr="001541B9" w:rsidRDefault="00605CCC" w:rsidP="00A05B3F">
            <w:pPr>
              <w:rPr>
                <w:rFonts w:cstheme="minorHAnsi"/>
                <w:sz w:val="16"/>
                <w:szCs w:val="16"/>
              </w:rPr>
            </w:pPr>
            <w:r w:rsidRPr="001541B9">
              <w:rPr>
                <w:rFonts w:cstheme="minorHAnsi"/>
                <w:sz w:val="16"/>
                <w:szCs w:val="16"/>
              </w:rPr>
              <w:t>11120014</w:t>
            </w:r>
          </w:p>
        </w:tc>
        <w:tc>
          <w:tcPr>
            <w:tcW w:w="845" w:type="dxa"/>
          </w:tcPr>
          <w:p w14:paraId="5D007DA6" w14:textId="77777777" w:rsidR="00605CCC" w:rsidRPr="001541B9" w:rsidRDefault="00605CCC" w:rsidP="00A05B3F">
            <w:pPr>
              <w:rPr>
                <w:rFonts w:cstheme="minorHAnsi"/>
                <w:sz w:val="16"/>
                <w:szCs w:val="16"/>
              </w:rPr>
            </w:pPr>
            <w:r w:rsidRPr="001541B9">
              <w:rPr>
                <w:rFonts w:cstheme="minorHAnsi"/>
                <w:sz w:val="16"/>
                <w:szCs w:val="16"/>
              </w:rPr>
              <w:t>270557</w:t>
            </w:r>
          </w:p>
        </w:tc>
        <w:tc>
          <w:tcPr>
            <w:tcW w:w="859" w:type="dxa"/>
          </w:tcPr>
          <w:p w14:paraId="76E135CC" w14:textId="77777777" w:rsidR="00605CCC" w:rsidRPr="001541B9" w:rsidRDefault="00605CCC" w:rsidP="00A05B3F">
            <w:pPr>
              <w:rPr>
                <w:rFonts w:cstheme="minorHAnsi"/>
                <w:sz w:val="16"/>
                <w:szCs w:val="16"/>
              </w:rPr>
            </w:pPr>
            <w:r w:rsidRPr="001541B9">
              <w:rPr>
                <w:rFonts w:cstheme="minorHAnsi"/>
                <w:sz w:val="16"/>
                <w:szCs w:val="16"/>
              </w:rPr>
              <w:t>229440</w:t>
            </w:r>
          </w:p>
        </w:tc>
        <w:tc>
          <w:tcPr>
            <w:tcW w:w="833" w:type="dxa"/>
          </w:tcPr>
          <w:p w14:paraId="38D9D3E9" w14:textId="77777777" w:rsidR="00605CCC" w:rsidRPr="001541B9" w:rsidRDefault="00605CCC" w:rsidP="00A05B3F">
            <w:pPr>
              <w:rPr>
                <w:rFonts w:cstheme="minorHAnsi"/>
                <w:sz w:val="16"/>
                <w:szCs w:val="16"/>
              </w:rPr>
            </w:pPr>
            <w:r w:rsidRPr="001541B9">
              <w:rPr>
                <w:rFonts w:cstheme="minorHAnsi"/>
                <w:sz w:val="16"/>
                <w:szCs w:val="16"/>
              </w:rPr>
              <w:t>ENV</w:t>
            </w:r>
          </w:p>
        </w:tc>
        <w:tc>
          <w:tcPr>
            <w:tcW w:w="865" w:type="dxa"/>
          </w:tcPr>
          <w:p w14:paraId="17A374C7" w14:textId="77777777" w:rsidR="00605CCC" w:rsidRPr="001541B9" w:rsidRDefault="00605CCC" w:rsidP="00A05B3F">
            <w:pPr>
              <w:rPr>
                <w:rFonts w:cstheme="minorHAnsi"/>
                <w:sz w:val="16"/>
                <w:szCs w:val="16"/>
              </w:rPr>
            </w:pPr>
            <w:r w:rsidRPr="001541B9">
              <w:rPr>
                <w:rFonts w:cstheme="minorHAnsi"/>
                <w:sz w:val="16"/>
                <w:szCs w:val="16"/>
              </w:rPr>
              <w:t>765.830</w:t>
            </w:r>
          </w:p>
        </w:tc>
      </w:tr>
      <w:tr w:rsidR="00C542FC" w:rsidRPr="001541B9" w14:paraId="0C431991" w14:textId="77777777" w:rsidTr="00C542FC">
        <w:tc>
          <w:tcPr>
            <w:tcW w:w="558" w:type="dxa"/>
          </w:tcPr>
          <w:p w14:paraId="131DC7AE" w14:textId="77777777" w:rsidR="00605CCC" w:rsidRPr="001541B9" w:rsidRDefault="00605CCC" w:rsidP="00A05B3F">
            <w:pPr>
              <w:jc w:val="center"/>
              <w:rPr>
                <w:rFonts w:cstheme="minorHAnsi"/>
                <w:sz w:val="16"/>
                <w:szCs w:val="16"/>
              </w:rPr>
            </w:pPr>
            <w:r w:rsidRPr="001541B9">
              <w:rPr>
                <w:rFonts w:cstheme="minorHAnsi"/>
                <w:sz w:val="16"/>
                <w:szCs w:val="16"/>
              </w:rPr>
              <w:t>3</w:t>
            </w:r>
          </w:p>
          <w:p w14:paraId="78820E3D" w14:textId="77777777" w:rsidR="00605CCC" w:rsidRPr="001541B9" w:rsidRDefault="00605CCC" w:rsidP="00A05B3F">
            <w:pPr>
              <w:jc w:val="center"/>
              <w:rPr>
                <w:rFonts w:cstheme="minorHAnsi"/>
                <w:sz w:val="16"/>
                <w:szCs w:val="16"/>
              </w:rPr>
            </w:pPr>
          </w:p>
          <w:p w14:paraId="3069248F" w14:textId="77777777" w:rsidR="00605CCC" w:rsidRPr="001541B9" w:rsidRDefault="00605CCC" w:rsidP="00A05B3F">
            <w:pPr>
              <w:jc w:val="center"/>
              <w:rPr>
                <w:rFonts w:cstheme="minorHAnsi"/>
                <w:sz w:val="16"/>
                <w:szCs w:val="16"/>
              </w:rPr>
            </w:pPr>
          </w:p>
        </w:tc>
        <w:tc>
          <w:tcPr>
            <w:tcW w:w="4403" w:type="dxa"/>
          </w:tcPr>
          <w:p w14:paraId="4CAC5917" w14:textId="77777777" w:rsidR="00605CCC" w:rsidRPr="001541B9" w:rsidRDefault="00605CCC" w:rsidP="00A05B3F">
            <w:pPr>
              <w:rPr>
                <w:rFonts w:cstheme="minorHAnsi"/>
                <w:sz w:val="16"/>
                <w:szCs w:val="16"/>
              </w:rPr>
            </w:pPr>
            <w:r w:rsidRPr="001541B9">
              <w:rPr>
                <w:rFonts w:cstheme="minorHAnsi"/>
                <w:sz w:val="16"/>
                <w:szCs w:val="16"/>
              </w:rPr>
              <w:t>TOXINA BOTULINICA TIPO A 500 UI SOLUCAO INJETAVEL FRASCO-AMPOLA</w:t>
            </w:r>
          </w:p>
        </w:tc>
        <w:tc>
          <w:tcPr>
            <w:tcW w:w="709" w:type="dxa"/>
          </w:tcPr>
          <w:p w14:paraId="0AE2AAB7" w14:textId="77777777" w:rsidR="00605CCC" w:rsidRPr="001541B9" w:rsidRDefault="00605CCC" w:rsidP="00A05B3F">
            <w:pPr>
              <w:rPr>
                <w:rFonts w:cstheme="minorHAnsi"/>
                <w:sz w:val="16"/>
                <w:szCs w:val="16"/>
              </w:rPr>
            </w:pPr>
            <w:r w:rsidRPr="001541B9">
              <w:rPr>
                <w:rFonts w:cstheme="minorHAnsi"/>
                <w:sz w:val="16"/>
                <w:szCs w:val="16"/>
              </w:rPr>
              <w:t>11090022</w:t>
            </w:r>
          </w:p>
        </w:tc>
        <w:tc>
          <w:tcPr>
            <w:tcW w:w="845" w:type="dxa"/>
          </w:tcPr>
          <w:p w14:paraId="34BBDC6A" w14:textId="77777777" w:rsidR="00605CCC" w:rsidRPr="001541B9" w:rsidRDefault="00605CCC" w:rsidP="00A05B3F">
            <w:pPr>
              <w:rPr>
                <w:rFonts w:cstheme="minorHAnsi"/>
                <w:sz w:val="16"/>
                <w:szCs w:val="16"/>
              </w:rPr>
            </w:pPr>
            <w:r w:rsidRPr="001541B9">
              <w:rPr>
                <w:rFonts w:cstheme="minorHAnsi"/>
                <w:sz w:val="16"/>
                <w:szCs w:val="16"/>
              </w:rPr>
              <w:t>292373</w:t>
            </w:r>
          </w:p>
        </w:tc>
        <w:tc>
          <w:tcPr>
            <w:tcW w:w="859" w:type="dxa"/>
          </w:tcPr>
          <w:p w14:paraId="26038F3F" w14:textId="77777777" w:rsidR="00605CCC" w:rsidRPr="001541B9" w:rsidRDefault="00605CCC" w:rsidP="00A05B3F">
            <w:pPr>
              <w:rPr>
                <w:rFonts w:cstheme="minorHAnsi"/>
                <w:sz w:val="16"/>
                <w:szCs w:val="16"/>
              </w:rPr>
            </w:pPr>
            <w:r w:rsidRPr="001541B9">
              <w:rPr>
                <w:rFonts w:cstheme="minorHAnsi"/>
                <w:sz w:val="16"/>
                <w:szCs w:val="16"/>
              </w:rPr>
              <w:t>1109260</w:t>
            </w:r>
          </w:p>
        </w:tc>
        <w:tc>
          <w:tcPr>
            <w:tcW w:w="833" w:type="dxa"/>
          </w:tcPr>
          <w:p w14:paraId="719B3B53" w14:textId="77777777" w:rsidR="00605CCC" w:rsidRPr="001541B9" w:rsidRDefault="00605CCC" w:rsidP="00A05B3F">
            <w:pPr>
              <w:rPr>
                <w:rFonts w:cstheme="minorHAnsi"/>
                <w:sz w:val="16"/>
                <w:szCs w:val="16"/>
              </w:rPr>
            </w:pPr>
            <w:r w:rsidRPr="001541B9">
              <w:rPr>
                <w:rFonts w:cstheme="minorHAnsi"/>
                <w:sz w:val="16"/>
                <w:szCs w:val="16"/>
              </w:rPr>
              <w:t>FA</w:t>
            </w:r>
          </w:p>
        </w:tc>
        <w:tc>
          <w:tcPr>
            <w:tcW w:w="865" w:type="dxa"/>
          </w:tcPr>
          <w:p w14:paraId="6B3FDE61" w14:textId="77777777" w:rsidR="00605CCC" w:rsidRPr="001541B9" w:rsidRDefault="00605CCC" w:rsidP="00A05B3F">
            <w:pPr>
              <w:rPr>
                <w:rFonts w:cstheme="minorHAnsi"/>
                <w:sz w:val="16"/>
                <w:szCs w:val="16"/>
              </w:rPr>
            </w:pPr>
            <w:r w:rsidRPr="001541B9">
              <w:rPr>
                <w:rFonts w:cstheme="minorHAnsi"/>
                <w:sz w:val="16"/>
                <w:szCs w:val="16"/>
              </w:rPr>
              <w:t xml:space="preserve">     80</w:t>
            </w:r>
          </w:p>
        </w:tc>
      </w:tr>
      <w:tr w:rsidR="00C542FC" w:rsidRPr="001541B9" w14:paraId="1034EA47" w14:textId="77777777" w:rsidTr="00C542FC">
        <w:tc>
          <w:tcPr>
            <w:tcW w:w="558" w:type="dxa"/>
            <w:tcBorders>
              <w:bottom w:val="single" w:sz="4" w:space="0" w:color="auto"/>
            </w:tcBorders>
          </w:tcPr>
          <w:p w14:paraId="05387991" w14:textId="77777777" w:rsidR="00605CCC" w:rsidRPr="001541B9" w:rsidRDefault="00605CCC" w:rsidP="00A05B3F">
            <w:pPr>
              <w:jc w:val="center"/>
              <w:rPr>
                <w:rFonts w:cstheme="minorHAnsi"/>
                <w:sz w:val="16"/>
                <w:szCs w:val="16"/>
              </w:rPr>
            </w:pPr>
            <w:r w:rsidRPr="001541B9">
              <w:rPr>
                <w:rFonts w:cstheme="minorHAnsi"/>
                <w:sz w:val="16"/>
                <w:szCs w:val="16"/>
              </w:rPr>
              <w:t>4</w:t>
            </w:r>
          </w:p>
          <w:p w14:paraId="629C5164" w14:textId="77777777" w:rsidR="00605CCC" w:rsidRPr="001541B9" w:rsidRDefault="00605CCC" w:rsidP="00A05B3F">
            <w:pPr>
              <w:jc w:val="center"/>
              <w:rPr>
                <w:rFonts w:cstheme="minorHAnsi"/>
                <w:sz w:val="16"/>
                <w:szCs w:val="16"/>
              </w:rPr>
            </w:pPr>
          </w:p>
          <w:p w14:paraId="21EB5F7E" w14:textId="77777777" w:rsidR="00605CCC" w:rsidRPr="001541B9" w:rsidRDefault="00605CCC" w:rsidP="00A05B3F">
            <w:pPr>
              <w:jc w:val="center"/>
              <w:rPr>
                <w:rFonts w:cstheme="minorHAnsi"/>
                <w:sz w:val="16"/>
                <w:szCs w:val="16"/>
              </w:rPr>
            </w:pPr>
          </w:p>
        </w:tc>
        <w:tc>
          <w:tcPr>
            <w:tcW w:w="4403" w:type="dxa"/>
            <w:tcBorders>
              <w:bottom w:val="single" w:sz="4" w:space="0" w:color="auto"/>
            </w:tcBorders>
          </w:tcPr>
          <w:p w14:paraId="5DBB2968" w14:textId="77777777" w:rsidR="00605CCC" w:rsidRPr="001541B9" w:rsidRDefault="00605CCC" w:rsidP="00A05B3F">
            <w:pPr>
              <w:rPr>
                <w:rFonts w:cstheme="minorHAnsi"/>
                <w:sz w:val="16"/>
                <w:szCs w:val="16"/>
              </w:rPr>
            </w:pPr>
            <w:r w:rsidRPr="001541B9">
              <w:rPr>
                <w:rFonts w:cstheme="minorHAnsi"/>
                <w:sz w:val="16"/>
                <w:szCs w:val="16"/>
              </w:rPr>
              <w:t>IMIQUIMODE 5 % CREME SACHE 250 MG</w:t>
            </w:r>
          </w:p>
        </w:tc>
        <w:tc>
          <w:tcPr>
            <w:tcW w:w="709" w:type="dxa"/>
            <w:tcBorders>
              <w:bottom w:val="single" w:sz="4" w:space="0" w:color="auto"/>
            </w:tcBorders>
          </w:tcPr>
          <w:p w14:paraId="7030634E" w14:textId="77777777" w:rsidR="00605CCC" w:rsidRPr="001541B9" w:rsidRDefault="00605CCC" w:rsidP="00A05B3F">
            <w:pPr>
              <w:rPr>
                <w:rFonts w:cstheme="minorHAnsi"/>
                <w:sz w:val="16"/>
                <w:szCs w:val="16"/>
              </w:rPr>
            </w:pPr>
            <w:r w:rsidRPr="001541B9">
              <w:rPr>
                <w:rFonts w:cstheme="minorHAnsi"/>
                <w:sz w:val="16"/>
                <w:szCs w:val="16"/>
              </w:rPr>
              <w:t>11040015</w:t>
            </w:r>
          </w:p>
        </w:tc>
        <w:tc>
          <w:tcPr>
            <w:tcW w:w="845" w:type="dxa"/>
            <w:tcBorders>
              <w:bottom w:val="single" w:sz="4" w:space="0" w:color="auto"/>
            </w:tcBorders>
          </w:tcPr>
          <w:p w14:paraId="0B5E9017" w14:textId="77777777" w:rsidR="00605CCC" w:rsidRPr="001541B9" w:rsidRDefault="00605CCC" w:rsidP="00A05B3F">
            <w:pPr>
              <w:rPr>
                <w:rFonts w:cstheme="minorHAnsi"/>
                <w:sz w:val="16"/>
                <w:szCs w:val="16"/>
              </w:rPr>
            </w:pPr>
            <w:r w:rsidRPr="001541B9">
              <w:rPr>
                <w:rFonts w:cstheme="minorHAnsi"/>
                <w:sz w:val="16"/>
                <w:szCs w:val="16"/>
              </w:rPr>
              <w:t>350613</w:t>
            </w:r>
          </w:p>
        </w:tc>
        <w:tc>
          <w:tcPr>
            <w:tcW w:w="859" w:type="dxa"/>
            <w:tcBorders>
              <w:bottom w:val="single" w:sz="4" w:space="0" w:color="auto"/>
            </w:tcBorders>
          </w:tcPr>
          <w:p w14:paraId="45CA736F" w14:textId="77777777" w:rsidR="00605CCC" w:rsidRPr="001541B9" w:rsidRDefault="00605CCC" w:rsidP="00A05B3F">
            <w:pPr>
              <w:rPr>
                <w:rFonts w:cstheme="minorHAnsi"/>
                <w:sz w:val="16"/>
                <w:szCs w:val="16"/>
              </w:rPr>
            </w:pPr>
            <w:r w:rsidRPr="001541B9">
              <w:rPr>
                <w:rFonts w:cstheme="minorHAnsi"/>
                <w:sz w:val="16"/>
                <w:szCs w:val="16"/>
              </w:rPr>
              <w:t>1720384</w:t>
            </w:r>
          </w:p>
        </w:tc>
        <w:tc>
          <w:tcPr>
            <w:tcW w:w="833" w:type="dxa"/>
            <w:tcBorders>
              <w:bottom w:val="single" w:sz="4" w:space="0" w:color="auto"/>
            </w:tcBorders>
          </w:tcPr>
          <w:p w14:paraId="02BB4231" w14:textId="77777777" w:rsidR="00605CCC" w:rsidRPr="001541B9" w:rsidRDefault="00605CCC" w:rsidP="00A05B3F">
            <w:pPr>
              <w:rPr>
                <w:rFonts w:cstheme="minorHAnsi"/>
                <w:sz w:val="16"/>
                <w:szCs w:val="16"/>
              </w:rPr>
            </w:pPr>
            <w:r w:rsidRPr="001541B9">
              <w:rPr>
                <w:rFonts w:cstheme="minorHAnsi"/>
                <w:sz w:val="16"/>
                <w:szCs w:val="16"/>
              </w:rPr>
              <w:t>SACHE</w:t>
            </w:r>
          </w:p>
        </w:tc>
        <w:tc>
          <w:tcPr>
            <w:tcW w:w="865" w:type="dxa"/>
            <w:tcBorders>
              <w:bottom w:val="single" w:sz="4" w:space="0" w:color="auto"/>
            </w:tcBorders>
          </w:tcPr>
          <w:p w14:paraId="64E7159C" w14:textId="20550ECE" w:rsidR="00605CCC" w:rsidRPr="001541B9" w:rsidRDefault="00FF4A2B" w:rsidP="00A05B3F">
            <w:pPr>
              <w:rPr>
                <w:rFonts w:cstheme="minorHAnsi"/>
                <w:sz w:val="16"/>
                <w:szCs w:val="16"/>
              </w:rPr>
            </w:pPr>
            <w:r>
              <w:rPr>
                <w:rFonts w:cstheme="minorHAnsi"/>
                <w:sz w:val="16"/>
                <w:szCs w:val="16"/>
              </w:rPr>
              <w:t>14.400</w:t>
            </w:r>
          </w:p>
        </w:tc>
      </w:tr>
      <w:tr w:rsidR="00C542FC" w:rsidRPr="001541B9" w14:paraId="549060BA" w14:textId="77777777" w:rsidTr="00C542FC">
        <w:tc>
          <w:tcPr>
            <w:tcW w:w="558" w:type="dxa"/>
            <w:tcBorders>
              <w:bottom w:val="single" w:sz="4" w:space="0" w:color="auto"/>
            </w:tcBorders>
          </w:tcPr>
          <w:p w14:paraId="590C5FC9" w14:textId="77777777" w:rsidR="00605CCC" w:rsidRPr="001541B9" w:rsidRDefault="00605CCC" w:rsidP="00A05B3F">
            <w:pPr>
              <w:jc w:val="center"/>
              <w:rPr>
                <w:rFonts w:cstheme="minorHAnsi"/>
                <w:sz w:val="16"/>
                <w:szCs w:val="16"/>
              </w:rPr>
            </w:pPr>
            <w:r w:rsidRPr="001541B9">
              <w:rPr>
                <w:rFonts w:cstheme="minorHAnsi"/>
                <w:sz w:val="16"/>
                <w:szCs w:val="16"/>
              </w:rPr>
              <w:t>5</w:t>
            </w:r>
          </w:p>
          <w:p w14:paraId="4AC3927D" w14:textId="77777777" w:rsidR="00605CCC" w:rsidRPr="001541B9" w:rsidRDefault="00605CCC" w:rsidP="00A05B3F">
            <w:pPr>
              <w:jc w:val="center"/>
              <w:rPr>
                <w:rFonts w:cstheme="minorHAnsi"/>
                <w:sz w:val="16"/>
                <w:szCs w:val="16"/>
              </w:rPr>
            </w:pPr>
          </w:p>
          <w:p w14:paraId="4BD79189" w14:textId="77777777" w:rsidR="00605CCC" w:rsidRPr="001541B9" w:rsidRDefault="00605CCC" w:rsidP="00A05B3F">
            <w:pPr>
              <w:jc w:val="center"/>
              <w:rPr>
                <w:rFonts w:cstheme="minorHAnsi"/>
                <w:sz w:val="16"/>
                <w:szCs w:val="16"/>
              </w:rPr>
            </w:pPr>
          </w:p>
        </w:tc>
        <w:tc>
          <w:tcPr>
            <w:tcW w:w="4403" w:type="dxa"/>
            <w:tcBorders>
              <w:bottom w:val="single" w:sz="4" w:space="0" w:color="auto"/>
            </w:tcBorders>
          </w:tcPr>
          <w:p w14:paraId="27F72397" w14:textId="0D6AA26E" w:rsidR="00605CCC" w:rsidRPr="001541B9" w:rsidRDefault="00FF4A2B" w:rsidP="00A05B3F">
            <w:pPr>
              <w:rPr>
                <w:rFonts w:cstheme="minorHAnsi"/>
                <w:sz w:val="16"/>
                <w:szCs w:val="16"/>
              </w:rPr>
            </w:pPr>
            <w:r w:rsidRPr="001541B9">
              <w:rPr>
                <w:rFonts w:cstheme="minorHAnsi"/>
                <w:sz w:val="16"/>
                <w:szCs w:val="16"/>
              </w:rPr>
              <w:t>LANOLINA HPA ANIDRA MODIFICADA BISNAGA DE 5 G A 7G 100% PURA, LIVRE DE BHT, PRODUTO DE INGREDIENTE ÚNICO</w:t>
            </w:r>
          </w:p>
        </w:tc>
        <w:tc>
          <w:tcPr>
            <w:tcW w:w="709" w:type="dxa"/>
            <w:tcBorders>
              <w:bottom w:val="single" w:sz="4" w:space="0" w:color="auto"/>
            </w:tcBorders>
          </w:tcPr>
          <w:p w14:paraId="4F1D2422" w14:textId="77777777" w:rsidR="00605CCC" w:rsidRPr="001541B9" w:rsidRDefault="00605CCC" w:rsidP="00A05B3F">
            <w:pPr>
              <w:rPr>
                <w:rFonts w:cstheme="minorHAnsi"/>
                <w:sz w:val="16"/>
                <w:szCs w:val="16"/>
              </w:rPr>
            </w:pPr>
            <w:r w:rsidRPr="001541B9">
              <w:rPr>
                <w:rFonts w:cstheme="minorHAnsi"/>
                <w:sz w:val="16"/>
                <w:szCs w:val="16"/>
              </w:rPr>
              <w:t>11040033</w:t>
            </w:r>
          </w:p>
        </w:tc>
        <w:tc>
          <w:tcPr>
            <w:tcW w:w="845" w:type="dxa"/>
            <w:tcBorders>
              <w:bottom w:val="single" w:sz="4" w:space="0" w:color="auto"/>
            </w:tcBorders>
          </w:tcPr>
          <w:p w14:paraId="2C0002BF" w14:textId="77777777" w:rsidR="00605CCC" w:rsidRPr="001541B9" w:rsidRDefault="00605CCC" w:rsidP="00A05B3F">
            <w:pPr>
              <w:rPr>
                <w:rFonts w:cstheme="minorHAnsi"/>
                <w:sz w:val="16"/>
                <w:szCs w:val="16"/>
              </w:rPr>
            </w:pPr>
            <w:r w:rsidRPr="001541B9">
              <w:rPr>
                <w:rFonts w:cstheme="minorHAnsi"/>
                <w:sz w:val="16"/>
                <w:szCs w:val="16"/>
              </w:rPr>
              <w:t>621997</w:t>
            </w:r>
          </w:p>
        </w:tc>
        <w:tc>
          <w:tcPr>
            <w:tcW w:w="859" w:type="dxa"/>
            <w:tcBorders>
              <w:bottom w:val="single" w:sz="4" w:space="0" w:color="auto"/>
            </w:tcBorders>
          </w:tcPr>
          <w:p w14:paraId="17761D6D" w14:textId="77777777" w:rsidR="00605CCC" w:rsidRPr="001541B9" w:rsidRDefault="00605CCC" w:rsidP="00A05B3F">
            <w:pPr>
              <w:rPr>
                <w:rFonts w:cstheme="minorHAnsi"/>
                <w:sz w:val="16"/>
                <w:szCs w:val="16"/>
              </w:rPr>
            </w:pPr>
            <w:r w:rsidRPr="001541B9">
              <w:rPr>
                <w:rFonts w:cstheme="minorHAnsi"/>
                <w:sz w:val="16"/>
                <w:szCs w:val="16"/>
              </w:rPr>
              <w:t>4699190</w:t>
            </w:r>
          </w:p>
        </w:tc>
        <w:tc>
          <w:tcPr>
            <w:tcW w:w="833" w:type="dxa"/>
            <w:tcBorders>
              <w:bottom w:val="single" w:sz="4" w:space="0" w:color="auto"/>
            </w:tcBorders>
          </w:tcPr>
          <w:p w14:paraId="29538F61" w14:textId="77777777" w:rsidR="00605CCC" w:rsidRPr="001541B9" w:rsidRDefault="00605CCC" w:rsidP="00A05B3F">
            <w:pPr>
              <w:rPr>
                <w:rFonts w:cstheme="minorHAnsi"/>
                <w:sz w:val="16"/>
                <w:szCs w:val="16"/>
              </w:rPr>
            </w:pPr>
            <w:r w:rsidRPr="001541B9">
              <w:rPr>
                <w:rFonts w:cstheme="minorHAnsi"/>
                <w:sz w:val="16"/>
                <w:szCs w:val="16"/>
              </w:rPr>
              <w:t>BG</w:t>
            </w:r>
          </w:p>
        </w:tc>
        <w:tc>
          <w:tcPr>
            <w:tcW w:w="865" w:type="dxa"/>
            <w:tcBorders>
              <w:bottom w:val="single" w:sz="4" w:space="0" w:color="auto"/>
            </w:tcBorders>
          </w:tcPr>
          <w:p w14:paraId="05B0393C" w14:textId="77777777" w:rsidR="00605CCC" w:rsidRPr="001541B9" w:rsidRDefault="00605CCC" w:rsidP="00A05B3F">
            <w:pPr>
              <w:rPr>
                <w:rFonts w:cstheme="minorHAnsi"/>
                <w:sz w:val="16"/>
                <w:szCs w:val="16"/>
              </w:rPr>
            </w:pPr>
            <w:r w:rsidRPr="001541B9">
              <w:rPr>
                <w:rFonts w:cstheme="minorHAnsi"/>
                <w:sz w:val="16"/>
                <w:szCs w:val="16"/>
              </w:rPr>
              <w:t xml:space="preserve">    370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23AC3CD5" w:rsidR="002011D5"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1A684A2" w14:textId="77777777" w:rsidR="00BA29E1" w:rsidRPr="002F6B4B" w:rsidRDefault="00BA29E1" w:rsidP="002011D5">
      <w:pPr>
        <w:pStyle w:val="PargrafodaLista"/>
        <w:ind w:left="765"/>
        <w:jc w:val="both"/>
        <w:rPr>
          <w:rFonts w:cstheme="minorHAnsi"/>
          <w:b/>
          <w:color w:val="0070C0"/>
          <w:sz w:val="20"/>
          <w:szCs w:val="20"/>
          <w:u w:val="single"/>
        </w:rPr>
      </w:pPr>
    </w:p>
    <w:p w14:paraId="209D64FB" w14:textId="5774A527" w:rsidR="002011D5" w:rsidRDefault="002011D5" w:rsidP="002011D5">
      <w:pPr>
        <w:jc w:val="center"/>
        <w:rPr>
          <w:rFonts w:asciiTheme="majorHAnsi" w:hAnsiTheme="majorHAnsi" w:cstheme="majorHAnsi"/>
          <w:b/>
          <w:sz w:val="19"/>
          <w:szCs w:val="19"/>
        </w:rPr>
      </w:pPr>
    </w:p>
    <w:p w14:paraId="72D4C40D" w14:textId="77777777" w:rsidR="002745CF" w:rsidRDefault="002745CF" w:rsidP="008225D3">
      <w:pPr>
        <w:rPr>
          <w:rFonts w:cstheme="minorHAnsi"/>
          <w:sz w:val="20"/>
          <w:szCs w:val="20"/>
        </w:rPr>
      </w:pPr>
      <w:r>
        <w:rPr>
          <w:rFonts w:cstheme="minorHAnsi"/>
          <w:sz w:val="20"/>
          <w:szCs w:val="20"/>
        </w:rPr>
        <w:t>Rosa Angela Ferreira</w:t>
      </w:r>
    </w:p>
    <w:p w14:paraId="0389D596" w14:textId="4C568909" w:rsidR="009554D0" w:rsidRDefault="002745CF" w:rsidP="008225D3">
      <w:pPr>
        <w:rPr>
          <w:rFonts w:cstheme="minorHAnsi"/>
          <w:sz w:val="20"/>
          <w:szCs w:val="20"/>
        </w:rPr>
      </w:pPr>
      <w:r w:rsidRPr="002745CF">
        <w:rPr>
          <w:rFonts w:cstheme="minorHAnsi"/>
          <w:sz w:val="20"/>
          <w:szCs w:val="20"/>
        </w:rPr>
        <w:t>Equipe de apoio</w:t>
      </w:r>
    </w:p>
    <w:p w14:paraId="2ED3F424" w14:textId="77777777" w:rsidR="00BA29E1" w:rsidRPr="002745CF" w:rsidRDefault="00BA29E1" w:rsidP="008225D3">
      <w:pPr>
        <w:rPr>
          <w:rFonts w:cstheme="minorHAnsi"/>
          <w:sz w:val="20"/>
          <w:szCs w:val="20"/>
        </w:rPr>
      </w:pPr>
    </w:p>
    <w:p w14:paraId="7FC7BC6A" w14:textId="77777777" w:rsidR="002745CF" w:rsidRDefault="002745CF" w:rsidP="002745CF">
      <w:pPr>
        <w:rPr>
          <w:rFonts w:cstheme="minorHAnsi"/>
          <w:sz w:val="20"/>
          <w:szCs w:val="20"/>
        </w:rPr>
      </w:pPr>
      <w:r>
        <w:rPr>
          <w:rFonts w:cstheme="minorHAnsi"/>
          <w:sz w:val="20"/>
          <w:szCs w:val="20"/>
        </w:rPr>
        <w:t>Maristela Barros de Sousa</w:t>
      </w:r>
    </w:p>
    <w:p w14:paraId="6713AAA3" w14:textId="1449C2B3" w:rsidR="002745CF" w:rsidRDefault="002745CF" w:rsidP="002745CF">
      <w:pPr>
        <w:rPr>
          <w:rFonts w:cstheme="minorHAnsi"/>
          <w:sz w:val="20"/>
          <w:szCs w:val="20"/>
        </w:rPr>
      </w:pPr>
      <w:r w:rsidRPr="002745CF">
        <w:rPr>
          <w:rFonts w:cstheme="minorHAnsi"/>
          <w:sz w:val="20"/>
          <w:szCs w:val="20"/>
        </w:rPr>
        <w:t>Equipe de apoio</w:t>
      </w:r>
    </w:p>
    <w:p w14:paraId="6CBF1AA7" w14:textId="77777777" w:rsidR="00BA29E1" w:rsidRPr="002745CF" w:rsidRDefault="00BA29E1" w:rsidP="002745CF">
      <w:pPr>
        <w:rPr>
          <w:rFonts w:cstheme="minorHAnsi"/>
          <w:sz w:val="20"/>
          <w:szCs w:val="20"/>
        </w:rPr>
      </w:pPr>
    </w:p>
    <w:p w14:paraId="0D6175CE" w14:textId="77777777" w:rsidR="002745CF" w:rsidRDefault="002745CF" w:rsidP="008225D3">
      <w:pPr>
        <w:rPr>
          <w:rFonts w:cstheme="minorHAnsi"/>
          <w:sz w:val="20"/>
          <w:szCs w:val="20"/>
        </w:rPr>
      </w:pPr>
      <w:r>
        <w:rPr>
          <w:rFonts w:cstheme="minorHAnsi"/>
          <w:sz w:val="20"/>
          <w:szCs w:val="20"/>
        </w:rPr>
        <w:t>Jussara Porto Pereira</w:t>
      </w:r>
    </w:p>
    <w:p w14:paraId="349F55FF" w14:textId="7A6E5966" w:rsidR="002745CF" w:rsidRDefault="002745CF" w:rsidP="008225D3">
      <w:pPr>
        <w:rPr>
          <w:rFonts w:cstheme="minorHAnsi"/>
          <w:sz w:val="20"/>
          <w:szCs w:val="20"/>
        </w:rPr>
      </w:pPr>
      <w:r w:rsidRPr="002745CF">
        <w:rPr>
          <w:rFonts w:cstheme="minorHAnsi"/>
          <w:sz w:val="20"/>
          <w:szCs w:val="20"/>
        </w:rPr>
        <w:t>Agente de contratação</w:t>
      </w:r>
    </w:p>
    <w:p w14:paraId="76688B13" w14:textId="77777777" w:rsidR="00BA29E1" w:rsidRPr="002745CF" w:rsidRDefault="00BA29E1" w:rsidP="008225D3">
      <w:pPr>
        <w:rPr>
          <w:rFonts w:cstheme="minorHAnsi"/>
          <w:sz w:val="20"/>
          <w:szCs w:val="20"/>
        </w:rPr>
      </w:pPr>
    </w:p>
    <w:p w14:paraId="5D60916C" w14:textId="5D1475EF" w:rsidR="002745CF" w:rsidRDefault="002745CF" w:rsidP="008225D3">
      <w:pPr>
        <w:rPr>
          <w:rFonts w:cstheme="minorHAnsi"/>
          <w:sz w:val="20"/>
          <w:szCs w:val="20"/>
        </w:rPr>
      </w:pPr>
      <w:r>
        <w:rPr>
          <w:rFonts w:cstheme="minorHAnsi"/>
          <w:sz w:val="20"/>
          <w:szCs w:val="20"/>
        </w:rPr>
        <w:t>Patrícia Nunes dos Santos</w:t>
      </w:r>
    </w:p>
    <w:p w14:paraId="25C93C48" w14:textId="7B332E58" w:rsidR="002745CF" w:rsidRDefault="002745CF" w:rsidP="008225D3">
      <w:pPr>
        <w:rPr>
          <w:rFonts w:asciiTheme="majorHAnsi" w:hAnsiTheme="majorHAnsi" w:cstheme="majorHAnsi"/>
          <w:sz w:val="20"/>
          <w:szCs w:val="20"/>
          <w:highlight w:val="yellow"/>
        </w:rPr>
      </w:pPr>
      <w:r w:rsidRPr="002745CF">
        <w:rPr>
          <w:rFonts w:cstheme="minorHAnsi"/>
          <w:sz w:val="20"/>
          <w:szCs w:val="20"/>
        </w:rPr>
        <w:t>Líder II</w:t>
      </w:r>
    </w:p>
    <w:p w14:paraId="6C1ED4F3" w14:textId="75DC56D9" w:rsidR="002745CF" w:rsidRDefault="002745CF" w:rsidP="008225D3">
      <w:pPr>
        <w:rPr>
          <w:rFonts w:asciiTheme="majorHAnsi" w:hAnsiTheme="majorHAnsi" w:cstheme="majorHAnsi"/>
          <w:sz w:val="20"/>
          <w:szCs w:val="20"/>
          <w:highlight w:val="yellow"/>
        </w:rPr>
      </w:pPr>
    </w:p>
    <w:p w14:paraId="29D015EE" w14:textId="2D9ED942" w:rsidR="00FE6EE7" w:rsidRPr="00FE6EE7" w:rsidRDefault="00FE6EE7" w:rsidP="00FE6EE7">
      <w:pPr>
        <w:rPr>
          <w:sz w:val="20"/>
          <w:szCs w:val="20"/>
          <w:highlight w:val="yellow"/>
          <w:lang w:eastAsia="pt-BR"/>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1BC5AACE" w14:textId="1D3A1C0D" w:rsidR="00BA20EA" w:rsidRDefault="00BA20EA" w:rsidP="00FE6EE7">
      <w:pPr>
        <w:rPr>
          <w:rFonts w:asciiTheme="majorHAnsi" w:hAnsiTheme="majorHAnsi" w:cstheme="majorHAnsi"/>
          <w:b/>
          <w:sz w:val="19"/>
          <w:szCs w:val="19"/>
        </w:rPr>
      </w:pPr>
    </w:p>
    <w:p w14:paraId="5952E814" w14:textId="77777777" w:rsidR="00BA29E1" w:rsidRPr="002011D5" w:rsidRDefault="00BA29E1"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0F60CC9"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D755A3" w:rsidRPr="00BA29E1">
        <w:rPr>
          <w:rFonts w:eastAsia="Calibri" w:cstheme="minorHAnsi"/>
          <w:sz w:val="20"/>
          <w:szCs w:val="20"/>
        </w:rPr>
        <w:t>145.00024675/2024-01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BA29E1">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58"/>
        <w:gridCol w:w="4251"/>
        <w:gridCol w:w="865"/>
        <w:gridCol w:w="844"/>
        <w:gridCol w:w="859"/>
        <w:gridCol w:w="830"/>
        <w:gridCol w:w="865"/>
      </w:tblGrid>
      <w:tr w:rsidR="002745CF" w:rsidRPr="001541B9" w14:paraId="73A95FE3" w14:textId="77777777" w:rsidTr="00A05B3F">
        <w:tc>
          <w:tcPr>
            <w:tcW w:w="558" w:type="dxa"/>
          </w:tcPr>
          <w:p w14:paraId="15785A3A" w14:textId="77777777" w:rsidR="002745CF" w:rsidRPr="001541B9" w:rsidRDefault="002745CF" w:rsidP="00A05B3F">
            <w:pPr>
              <w:jc w:val="center"/>
              <w:rPr>
                <w:rFonts w:cstheme="minorHAnsi"/>
                <w:b/>
                <w:sz w:val="16"/>
                <w:szCs w:val="16"/>
                <w:u w:val="single"/>
              </w:rPr>
            </w:pPr>
            <w:r w:rsidRPr="001541B9">
              <w:rPr>
                <w:rFonts w:cstheme="minorHAnsi"/>
                <w:b/>
                <w:sz w:val="16"/>
                <w:szCs w:val="16"/>
                <w:u w:val="single"/>
              </w:rPr>
              <w:t>ITEM</w:t>
            </w:r>
          </w:p>
        </w:tc>
        <w:tc>
          <w:tcPr>
            <w:tcW w:w="4403" w:type="dxa"/>
          </w:tcPr>
          <w:p w14:paraId="452A2023" w14:textId="77777777" w:rsidR="002745CF" w:rsidRPr="001541B9" w:rsidRDefault="002745CF" w:rsidP="00A05B3F">
            <w:pPr>
              <w:jc w:val="center"/>
              <w:rPr>
                <w:rFonts w:cstheme="minorHAnsi"/>
                <w:b/>
                <w:sz w:val="16"/>
                <w:szCs w:val="16"/>
                <w:u w:val="single"/>
              </w:rPr>
            </w:pPr>
            <w:r w:rsidRPr="001541B9">
              <w:rPr>
                <w:rFonts w:cstheme="minorHAnsi"/>
                <w:b/>
                <w:sz w:val="16"/>
                <w:szCs w:val="16"/>
                <w:u w:val="single"/>
              </w:rPr>
              <w:t>ESPECIFICAÇÃO</w:t>
            </w:r>
          </w:p>
        </w:tc>
        <w:tc>
          <w:tcPr>
            <w:tcW w:w="709" w:type="dxa"/>
          </w:tcPr>
          <w:p w14:paraId="7C1FB9F9" w14:textId="77777777" w:rsidR="002745CF" w:rsidRPr="001541B9" w:rsidRDefault="002745CF" w:rsidP="00A05B3F">
            <w:pPr>
              <w:jc w:val="center"/>
              <w:rPr>
                <w:rFonts w:cstheme="minorHAnsi"/>
                <w:b/>
                <w:sz w:val="16"/>
                <w:szCs w:val="16"/>
                <w:u w:val="single"/>
              </w:rPr>
            </w:pPr>
            <w:r w:rsidRPr="001541B9">
              <w:rPr>
                <w:rFonts w:cstheme="minorHAnsi"/>
                <w:b/>
                <w:sz w:val="16"/>
                <w:szCs w:val="16"/>
                <w:u w:val="single"/>
              </w:rPr>
              <w:t>CÓD HC</w:t>
            </w:r>
          </w:p>
        </w:tc>
        <w:tc>
          <w:tcPr>
            <w:tcW w:w="845" w:type="dxa"/>
          </w:tcPr>
          <w:p w14:paraId="682E8ECC" w14:textId="77777777" w:rsidR="002745CF" w:rsidRPr="001541B9" w:rsidRDefault="002745CF" w:rsidP="00A05B3F">
            <w:pPr>
              <w:jc w:val="center"/>
              <w:rPr>
                <w:rFonts w:cstheme="minorHAnsi"/>
                <w:b/>
                <w:sz w:val="16"/>
                <w:szCs w:val="16"/>
                <w:u w:val="single"/>
              </w:rPr>
            </w:pPr>
            <w:r w:rsidRPr="001541B9">
              <w:rPr>
                <w:rFonts w:cstheme="minorHAnsi"/>
                <w:b/>
                <w:sz w:val="16"/>
                <w:szCs w:val="16"/>
                <w:u w:val="single"/>
              </w:rPr>
              <w:t>CADMAT</w:t>
            </w:r>
          </w:p>
        </w:tc>
        <w:tc>
          <w:tcPr>
            <w:tcW w:w="859" w:type="dxa"/>
          </w:tcPr>
          <w:p w14:paraId="5D29265D" w14:textId="77777777" w:rsidR="002745CF" w:rsidRPr="001541B9" w:rsidRDefault="002745CF" w:rsidP="00A05B3F">
            <w:pPr>
              <w:jc w:val="center"/>
              <w:rPr>
                <w:rFonts w:cstheme="minorHAnsi"/>
                <w:b/>
                <w:sz w:val="16"/>
                <w:szCs w:val="16"/>
                <w:u w:val="single"/>
              </w:rPr>
            </w:pPr>
            <w:r w:rsidRPr="001541B9">
              <w:rPr>
                <w:rFonts w:cstheme="minorHAnsi"/>
                <w:b/>
                <w:sz w:val="16"/>
                <w:szCs w:val="16"/>
                <w:u w:val="single"/>
              </w:rPr>
              <w:t>SIAFÍSICO</w:t>
            </w:r>
          </w:p>
        </w:tc>
        <w:tc>
          <w:tcPr>
            <w:tcW w:w="833" w:type="dxa"/>
          </w:tcPr>
          <w:p w14:paraId="0EB19A1A" w14:textId="77777777" w:rsidR="002745CF" w:rsidRPr="001541B9" w:rsidRDefault="002745CF" w:rsidP="00A05B3F">
            <w:pPr>
              <w:jc w:val="center"/>
              <w:rPr>
                <w:rFonts w:cstheme="minorHAnsi"/>
                <w:b/>
                <w:sz w:val="16"/>
                <w:szCs w:val="16"/>
                <w:u w:val="single"/>
              </w:rPr>
            </w:pPr>
            <w:r w:rsidRPr="001541B9">
              <w:rPr>
                <w:rFonts w:cstheme="minorHAnsi"/>
                <w:b/>
                <w:sz w:val="16"/>
                <w:szCs w:val="16"/>
                <w:u w:val="single"/>
              </w:rPr>
              <w:t>UNID. DE MEDIDA</w:t>
            </w:r>
          </w:p>
        </w:tc>
        <w:tc>
          <w:tcPr>
            <w:tcW w:w="865" w:type="dxa"/>
          </w:tcPr>
          <w:p w14:paraId="4E718287" w14:textId="77777777" w:rsidR="002745CF" w:rsidRPr="001541B9" w:rsidRDefault="002745CF" w:rsidP="00A05B3F">
            <w:pPr>
              <w:jc w:val="center"/>
              <w:rPr>
                <w:rFonts w:cstheme="minorHAnsi"/>
                <w:b/>
                <w:sz w:val="16"/>
                <w:szCs w:val="16"/>
                <w:u w:val="single"/>
              </w:rPr>
            </w:pPr>
            <w:r w:rsidRPr="001541B9">
              <w:rPr>
                <w:rFonts w:cstheme="minorHAnsi"/>
                <w:b/>
                <w:sz w:val="16"/>
                <w:szCs w:val="16"/>
                <w:u w:val="single"/>
              </w:rPr>
              <w:t>QUANT.</w:t>
            </w:r>
          </w:p>
        </w:tc>
      </w:tr>
      <w:tr w:rsidR="002745CF" w:rsidRPr="001541B9" w14:paraId="5297FCAA" w14:textId="77777777" w:rsidTr="00A05B3F">
        <w:tc>
          <w:tcPr>
            <w:tcW w:w="558" w:type="dxa"/>
          </w:tcPr>
          <w:p w14:paraId="43D0886B" w14:textId="77777777" w:rsidR="002745CF" w:rsidRPr="001541B9" w:rsidRDefault="002745CF" w:rsidP="00A05B3F">
            <w:pPr>
              <w:jc w:val="center"/>
              <w:rPr>
                <w:rFonts w:cstheme="minorHAnsi"/>
                <w:sz w:val="16"/>
                <w:szCs w:val="16"/>
              </w:rPr>
            </w:pPr>
            <w:r w:rsidRPr="001541B9">
              <w:rPr>
                <w:rFonts w:cstheme="minorHAnsi"/>
                <w:sz w:val="16"/>
                <w:szCs w:val="16"/>
              </w:rPr>
              <w:t>1</w:t>
            </w:r>
          </w:p>
          <w:p w14:paraId="320E3B93" w14:textId="77777777" w:rsidR="002745CF" w:rsidRPr="001541B9" w:rsidRDefault="002745CF" w:rsidP="00A05B3F">
            <w:pPr>
              <w:jc w:val="center"/>
              <w:rPr>
                <w:rFonts w:cstheme="minorHAnsi"/>
                <w:sz w:val="16"/>
                <w:szCs w:val="16"/>
              </w:rPr>
            </w:pPr>
          </w:p>
          <w:p w14:paraId="671053E9" w14:textId="77777777" w:rsidR="002745CF" w:rsidRPr="001541B9" w:rsidRDefault="002745CF" w:rsidP="00A05B3F">
            <w:pPr>
              <w:jc w:val="center"/>
              <w:rPr>
                <w:rFonts w:cstheme="minorHAnsi"/>
                <w:sz w:val="16"/>
                <w:szCs w:val="16"/>
              </w:rPr>
            </w:pPr>
          </w:p>
        </w:tc>
        <w:tc>
          <w:tcPr>
            <w:tcW w:w="4403" w:type="dxa"/>
          </w:tcPr>
          <w:p w14:paraId="787005DB" w14:textId="77777777" w:rsidR="002745CF" w:rsidRPr="001541B9" w:rsidRDefault="002745CF" w:rsidP="00A05B3F">
            <w:pPr>
              <w:rPr>
                <w:rFonts w:cstheme="minorHAnsi"/>
                <w:sz w:val="16"/>
                <w:szCs w:val="16"/>
              </w:rPr>
            </w:pPr>
            <w:r w:rsidRPr="001541B9">
              <w:rPr>
                <w:rFonts w:cstheme="minorHAnsi"/>
                <w:sz w:val="16"/>
                <w:szCs w:val="16"/>
              </w:rPr>
              <w:t>HIDRALAZINA (CLORIDRATO) 25 MG COMPRIMIDO REVESTIDO</w:t>
            </w:r>
          </w:p>
        </w:tc>
        <w:tc>
          <w:tcPr>
            <w:tcW w:w="709" w:type="dxa"/>
          </w:tcPr>
          <w:p w14:paraId="7C9D9831" w14:textId="77777777" w:rsidR="002745CF" w:rsidRPr="001541B9" w:rsidRDefault="002745CF" w:rsidP="00A05B3F">
            <w:pPr>
              <w:rPr>
                <w:rFonts w:cstheme="minorHAnsi"/>
                <w:sz w:val="16"/>
                <w:szCs w:val="16"/>
              </w:rPr>
            </w:pPr>
            <w:r w:rsidRPr="001541B9">
              <w:rPr>
                <w:rFonts w:cstheme="minorHAnsi"/>
                <w:sz w:val="16"/>
                <w:szCs w:val="16"/>
              </w:rPr>
              <w:t>11030082</w:t>
            </w:r>
          </w:p>
        </w:tc>
        <w:tc>
          <w:tcPr>
            <w:tcW w:w="845" w:type="dxa"/>
          </w:tcPr>
          <w:p w14:paraId="44E496E6" w14:textId="77777777" w:rsidR="002745CF" w:rsidRPr="001541B9" w:rsidRDefault="002745CF" w:rsidP="00A05B3F">
            <w:pPr>
              <w:rPr>
                <w:rFonts w:cstheme="minorHAnsi"/>
                <w:sz w:val="16"/>
                <w:szCs w:val="16"/>
              </w:rPr>
            </w:pPr>
            <w:r w:rsidRPr="001541B9">
              <w:rPr>
                <w:rFonts w:cstheme="minorHAnsi"/>
                <w:sz w:val="16"/>
                <w:szCs w:val="16"/>
              </w:rPr>
              <w:t>268111</w:t>
            </w:r>
          </w:p>
        </w:tc>
        <w:tc>
          <w:tcPr>
            <w:tcW w:w="859" w:type="dxa"/>
          </w:tcPr>
          <w:p w14:paraId="107DBC37" w14:textId="77777777" w:rsidR="002745CF" w:rsidRPr="001541B9" w:rsidRDefault="002745CF" w:rsidP="00A05B3F">
            <w:pPr>
              <w:rPr>
                <w:rFonts w:cstheme="minorHAnsi"/>
                <w:sz w:val="16"/>
                <w:szCs w:val="16"/>
              </w:rPr>
            </w:pPr>
            <w:r w:rsidRPr="001541B9">
              <w:rPr>
                <w:rFonts w:cstheme="minorHAnsi"/>
                <w:sz w:val="16"/>
                <w:szCs w:val="16"/>
              </w:rPr>
              <w:t>197440</w:t>
            </w:r>
          </w:p>
        </w:tc>
        <w:tc>
          <w:tcPr>
            <w:tcW w:w="833" w:type="dxa"/>
          </w:tcPr>
          <w:p w14:paraId="42AA4879" w14:textId="77777777" w:rsidR="002745CF" w:rsidRPr="001541B9" w:rsidRDefault="002745CF" w:rsidP="00A05B3F">
            <w:pPr>
              <w:rPr>
                <w:rFonts w:cstheme="minorHAnsi"/>
                <w:sz w:val="16"/>
                <w:szCs w:val="16"/>
              </w:rPr>
            </w:pPr>
            <w:r w:rsidRPr="001541B9">
              <w:rPr>
                <w:rFonts w:cstheme="minorHAnsi"/>
                <w:sz w:val="16"/>
                <w:szCs w:val="16"/>
              </w:rPr>
              <w:t>COM</w:t>
            </w:r>
          </w:p>
        </w:tc>
        <w:tc>
          <w:tcPr>
            <w:tcW w:w="865" w:type="dxa"/>
          </w:tcPr>
          <w:p w14:paraId="19AB102B" w14:textId="77777777" w:rsidR="002745CF" w:rsidRPr="001541B9" w:rsidRDefault="002745CF" w:rsidP="00A05B3F">
            <w:pPr>
              <w:rPr>
                <w:rFonts w:cstheme="minorHAnsi"/>
                <w:sz w:val="16"/>
                <w:szCs w:val="16"/>
              </w:rPr>
            </w:pPr>
            <w:r w:rsidRPr="001541B9">
              <w:rPr>
                <w:rFonts w:cstheme="minorHAnsi"/>
                <w:sz w:val="16"/>
                <w:szCs w:val="16"/>
              </w:rPr>
              <w:t>1.429.258</w:t>
            </w:r>
          </w:p>
        </w:tc>
      </w:tr>
      <w:tr w:rsidR="002745CF" w:rsidRPr="001541B9" w14:paraId="5E504B31" w14:textId="77777777" w:rsidTr="00A05B3F">
        <w:tc>
          <w:tcPr>
            <w:tcW w:w="558" w:type="dxa"/>
          </w:tcPr>
          <w:p w14:paraId="2BC4E4B2" w14:textId="77777777" w:rsidR="002745CF" w:rsidRPr="001541B9" w:rsidRDefault="002745CF" w:rsidP="00A05B3F">
            <w:pPr>
              <w:jc w:val="center"/>
              <w:rPr>
                <w:rFonts w:cstheme="minorHAnsi"/>
                <w:sz w:val="16"/>
                <w:szCs w:val="16"/>
              </w:rPr>
            </w:pPr>
            <w:r w:rsidRPr="001541B9">
              <w:rPr>
                <w:rFonts w:cstheme="minorHAnsi"/>
                <w:sz w:val="16"/>
                <w:szCs w:val="16"/>
              </w:rPr>
              <w:t>2</w:t>
            </w:r>
          </w:p>
          <w:p w14:paraId="3B863976" w14:textId="77777777" w:rsidR="002745CF" w:rsidRPr="001541B9" w:rsidRDefault="002745CF" w:rsidP="00A05B3F">
            <w:pPr>
              <w:jc w:val="center"/>
              <w:rPr>
                <w:rFonts w:cstheme="minorHAnsi"/>
                <w:sz w:val="16"/>
                <w:szCs w:val="16"/>
              </w:rPr>
            </w:pPr>
          </w:p>
          <w:p w14:paraId="27573192" w14:textId="77777777" w:rsidR="002745CF" w:rsidRPr="001541B9" w:rsidRDefault="002745CF" w:rsidP="00A05B3F">
            <w:pPr>
              <w:jc w:val="center"/>
              <w:rPr>
                <w:rFonts w:cstheme="minorHAnsi"/>
                <w:sz w:val="16"/>
                <w:szCs w:val="16"/>
              </w:rPr>
            </w:pPr>
          </w:p>
        </w:tc>
        <w:tc>
          <w:tcPr>
            <w:tcW w:w="4403" w:type="dxa"/>
          </w:tcPr>
          <w:p w14:paraId="57156F60" w14:textId="77777777" w:rsidR="002745CF" w:rsidRPr="001541B9" w:rsidRDefault="002745CF" w:rsidP="00A05B3F">
            <w:pPr>
              <w:rPr>
                <w:rFonts w:cstheme="minorHAnsi"/>
                <w:sz w:val="16"/>
                <w:szCs w:val="16"/>
              </w:rPr>
            </w:pPr>
            <w:r w:rsidRPr="001541B9">
              <w:rPr>
                <w:rFonts w:cstheme="minorHAnsi"/>
                <w:sz w:val="16"/>
                <w:szCs w:val="16"/>
              </w:rPr>
              <w:t>ACETILCISTEINA PO PARA SOLUCAO ORAL 200 MG/5 G ENVELOPE 5 G</w:t>
            </w:r>
          </w:p>
        </w:tc>
        <w:tc>
          <w:tcPr>
            <w:tcW w:w="709" w:type="dxa"/>
          </w:tcPr>
          <w:p w14:paraId="6C5E9EB3" w14:textId="77777777" w:rsidR="002745CF" w:rsidRPr="001541B9" w:rsidRDefault="002745CF" w:rsidP="00A05B3F">
            <w:pPr>
              <w:rPr>
                <w:rFonts w:cstheme="minorHAnsi"/>
                <w:sz w:val="16"/>
                <w:szCs w:val="16"/>
              </w:rPr>
            </w:pPr>
            <w:r w:rsidRPr="001541B9">
              <w:rPr>
                <w:rFonts w:cstheme="minorHAnsi"/>
                <w:sz w:val="16"/>
                <w:szCs w:val="16"/>
              </w:rPr>
              <w:t>11120014</w:t>
            </w:r>
          </w:p>
        </w:tc>
        <w:tc>
          <w:tcPr>
            <w:tcW w:w="845" w:type="dxa"/>
          </w:tcPr>
          <w:p w14:paraId="04FB174B" w14:textId="77777777" w:rsidR="002745CF" w:rsidRPr="001541B9" w:rsidRDefault="002745CF" w:rsidP="00A05B3F">
            <w:pPr>
              <w:rPr>
                <w:rFonts w:cstheme="minorHAnsi"/>
                <w:sz w:val="16"/>
                <w:szCs w:val="16"/>
              </w:rPr>
            </w:pPr>
            <w:r w:rsidRPr="001541B9">
              <w:rPr>
                <w:rFonts w:cstheme="minorHAnsi"/>
                <w:sz w:val="16"/>
                <w:szCs w:val="16"/>
              </w:rPr>
              <w:t>270557</w:t>
            </w:r>
          </w:p>
        </w:tc>
        <w:tc>
          <w:tcPr>
            <w:tcW w:w="859" w:type="dxa"/>
          </w:tcPr>
          <w:p w14:paraId="2FB938D7" w14:textId="77777777" w:rsidR="002745CF" w:rsidRPr="001541B9" w:rsidRDefault="002745CF" w:rsidP="00A05B3F">
            <w:pPr>
              <w:rPr>
                <w:rFonts w:cstheme="minorHAnsi"/>
                <w:sz w:val="16"/>
                <w:szCs w:val="16"/>
              </w:rPr>
            </w:pPr>
            <w:r w:rsidRPr="001541B9">
              <w:rPr>
                <w:rFonts w:cstheme="minorHAnsi"/>
                <w:sz w:val="16"/>
                <w:szCs w:val="16"/>
              </w:rPr>
              <w:t>229440</w:t>
            </w:r>
          </w:p>
        </w:tc>
        <w:tc>
          <w:tcPr>
            <w:tcW w:w="833" w:type="dxa"/>
          </w:tcPr>
          <w:p w14:paraId="6FC66A77" w14:textId="77777777" w:rsidR="002745CF" w:rsidRPr="001541B9" w:rsidRDefault="002745CF" w:rsidP="00A05B3F">
            <w:pPr>
              <w:rPr>
                <w:rFonts w:cstheme="minorHAnsi"/>
                <w:sz w:val="16"/>
                <w:szCs w:val="16"/>
              </w:rPr>
            </w:pPr>
            <w:r w:rsidRPr="001541B9">
              <w:rPr>
                <w:rFonts w:cstheme="minorHAnsi"/>
                <w:sz w:val="16"/>
                <w:szCs w:val="16"/>
              </w:rPr>
              <w:t>ENV</w:t>
            </w:r>
          </w:p>
        </w:tc>
        <w:tc>
          <w:tcPr>
            <w:tcW w:w="865" w:type="dxa"/>
          </w:tcPr>
          <w:p w14:paraId="29EF59AF" w14:textId="77777777" w:rsidR="002745CF" w:rsidRPr="001541B9" w:rsidRDefault="002745CF" w:rsidP="00A05B3F">
            <w:pPr>
              <w:rPr>
                <w:rFonts w:cstheme="minorHAnsi"/>
                <w:sz w:val="16"/>
                <w:szCs w:val="16"/>
              </w:rPr>
            </w:pPr>
            <w:r w:rsidRPr="001541B9">
              <w:rPr>
                <w:rFonts w:cstheme="minorHAnsi"/>
                <w:sz w:val="16"/>
                <w:szCs w:val="16"/>
              </w:rPr>
              <w:t>765.830</w:t>
            </w:r>
          </w:p>
        </w:tc>
      </w:tr>
      <w:tr w:rsidR="002745CF" w:rsidRPr="001541B9" w14:paraId="031542F2" w14:textId="77777777" w:rsidTr="00A05B3F">
        <w:tc>
          <w:tcPr>
            <w:tcW w:w="558" w:type="dxa"/>
          </w:tcPr>
          <w:p w14:paraId="49616E9E" w14:textId="77777777" w:rsidR="002745CF" w:rsidRPr="001541B9" w:rsidRDefault="002745CF" w:rsidP="00A05B3F">
            <w:pPr>
              <w:jc w:val="center"/>
              <w:rPr>
                <w:rFonts w:cstheme="minorHAnsi"/>
                <w:sz w:val="16"/>
                <w:szCs w:val="16"/>
              </w:rPr>
            </w:pPr>
            <w:r w:rsidRPr="001541B9">
              <w:rPr>
                <w:rFonts w:cstheme="minorHAnsi"/>
                <w:sz w:val="16"/>
                <w:szCs w:val="16"/>
              </w:rPr>
              <w:t>3</w:t>
            </w:r>
          </w:p>
          <w:p w14:paraId="39DD78BE" w14:textId="77777777" w:rsidR="002745CF" w:rsidRPr="001541B9" w:rsidRDefault="002745CF" w:rsidP="00A05B3F">
            <w:pPr>
              <w:jc w:val="center"/>
              <w:rPr>
                <w:rFonts w:cstheme="minorHAnsi"/>
                <w:sz w:val="16"/>
                <w:szCs w:val="16"/>
              </w:rPr>
            </w:pPr>
          </w:p>
          <w:p w14:paraId="006DE699" w14:textId="77777777" w:rsidR="002745CF" w:rsidRPr="001541B9" w:rsidRDefault="002745CF" w:rsidP="00A05B3F">
            <w:pPr>
              <w:jc w:val="center"/>
              <w:rPr>
                <w:rFonts w:cstheme="minorHAnsi"/>
                <w:sz w:val="16"/>
                <w:szCs w:val="16"/>
              </w:rPr>
            </w:pPr>
          </w:p>
        </w:tc>
        <w:tc>
          <w:tcPr>
            <w:tcW w:w="4403" w:type="dxa"/>
          </w:tcPr>
          <w:p w14:paraId="13341955" w14:textId="77777777" w:rsidR="002745CF" w:rsidRPr="001541B9" w:rsidRDefault="002745CF" w:rsidP="00A05B3F">
            <w:pPr>
              <w:rPr>
                <w:rFonts w:cstheme="minorHAnsi"/>
                <w:sz w:val="16"/>
                <w:szCs w:val="16"/>
              </w:rPr>
            </w:pPr>
            <w:r w:rsidRPr="001541B9">
              <w:rPr>
                <w:rFonts w:cstheme="minorHAnsi"/>
                <w:sz w:val="16"/>
                <w:szCs w:val="16"/>
              </w:rPr>
              <w:t>TOXINA BOTULINICA TIPO A 500 UI SOLUCAO INJETAVEL FRASCO-AMPOLA</w:t>
            </w:r>
          </w:p>
        </w:tc>
        <w:tc>
          <w:tcPr>
            <w:tcW w:w="709" w:type="dxa"/>
          </w:tcPr>
          <w:p w14:paraId="50BC89A0" w14:textId="77777777" w:rsidR="002745CF" w:rsidRPr="001541B9" w:rsidRDefault="002745CF" w:rsidP="00A05B3F">
            <w:pPr>
              <w:rPr>
                <w:rFonts w:cstheme="minorHAnsi"/>
                <w:sz w:val="16"/>
                <w:szCs w:val="16"/>
              </w:rPr>
            </w:pPr>
            <w:r w:rsidRPr="001541B9">
              <w:rPr>
                <w:rFonts w:cstheme="minorHAnsi"/>
                <w:sz w:val="16"/>
                <w:szCs w:val="16"/>
              </w:rPr>
              <w:t>11090022</w:t>
            </w:r>
          </w:p>
        </w:tc>
        <w:tc>
          <w:tcPr>
            <w:tcW w:w="845" w:type="dxa"/>
          </w:tcPr>
          <w:p w14:paraId="6BF8A9DC" w14:textId="77777777" w:rsidR="002745CF" w:rsidRPr="001541B9" w:rsidRDefault="002745CF" w:rsidP="00A05B3F">
            <w:pPr>
              <w:rPr>
                <w:rFonts w:cstheme="minorHAnsi"/>
                <w:sz w:val="16"/>
                <w:szCs w:val="16"/>
              </w:rPr>
            </w:pPr>
            <w:r w:rsidRPr="001541B9">
              <w:rPr>
                <w:rFonts w:cstheme="minorHAnsi"/>
                <w:sz w:val="16"/>
                <w:szCs w:val="16"/>
              </w:rPr>
              <w:t>292373</w:t>
            </w:r>
          </w:p>
        </w:tc>
        <w:tc>
          <w:tcPr>
            <w:tcW w:w="859" w:type="dxa"/>
          </w:tcPr>
          <w:p w14:paraId="3D994047" w14:textId="77777777" w:rsidR="002745CF" w:rsidRPr="001541B9" w:rsidRDefault="002745CF" w:rsidP="00A05B3F">
            <w:pPr>
              <w:rPr>
                <w:rFonts w:cstheme="minorHAnsi"/>
                <w:sz w:val="16"/>
                <w:szCs w:val="16"/>
              </w:rPr>
            </w:pPr>
            <w:r w:rsidRPr="001541B9">
              <w:rPr>
                <w:rFonts w:cstheme="minorHAnsi"/>
                <w:sz w:val="16"/>
                <w:szCs w:val="16"/>
              </w:rPr>
              <w:t>1109260</w:t>
            </w:r>
          </w:p>
        </w:tc>
        <w:tc>
          <w:tcPr>
            <w:tcW w:w="833" w:type="dxa"/>
          </w:tcPr>
          <w:p w14:paraId="3B43B83D" w14:textId="77777777" w:rsidR="002745CF" w:rsidRPr="001541B9" w:rsidRDefault="002745CF" w:rsidP="00A05B3F">
            <w:pPr>
              <w:rPr>
                <w:rFonts w:cstheme="minorHAnsi"/>
                <w:sz w:val="16"/>
                <w:szCs w:val="16"/>
              </w:rPr>
            </w:pPr>
            <w:r w:rsidRPr="001541B9">
              <w:rPr>
                <w:rFonts w:cstheme="minorHAnsi"/>
                <w:sz w:val="16"/>
                <w:szCs w:val="16"/>
              </w:rPr>
              <w:t>FA</w:t>
            </w:r>
          </w:p>
        </w:tc>
        <w:tc>
          <w:tcPr>
            <w:tcW w:w="865" w:type="dxa"/>
          </w:tcPr>
          <w:p w14:paraId="2FFFCAD6" w14:textId="77777777" w:rsidR="002745CF" w:rsidRPr="001541B9" w:rsidRDefault="002745CF" w:rsidP="00A05B3F">
            <w:pPr>
              <w:rPr>
                <w:rFonts w:cstheme="minorHAnsi"/>
                <w:sz w:val="16"/>
                <w:szCs w:val="16"/>
              </w:rPr>
            </w:pPr>
            <w:r w:rsidRPr="001541B9">
              <w:rPr>
                <w:rFonts w:cstheme="minorHAnsi"/>
                <w:sz w:val="16"/>
                <w:szCs w:val="16"/>
              </w:rPr>
              <w:t xml:space="preserve">     80</w:t>
            </w:r>
          </w:p>
        </w:tc>
      </w:tr>
      <w:tr w:rsidR="002745CF" w:rsidRPr="001541B9" w14:paraId="3FD65FD9" w14:textId="77777777" w:rsidTr="00A05B3F">
        <w:tc>
          <w:tcPr>
            <w:tcW w:w="558" w:type="dxa"/>
            <w:tcBorders>
              <w:bottom w:val="single" w:sz="4" w:space="0" w:color="auto"/>
            </w:tcBorders>
          </w:tcPr>
          <w:p w14:paraId="61B5F12A" w14:textId="77777777" w:rsidR="002745CF" w:rsidRPr="001541B9" w:rsidRDefault="002745CF" w:rsidP="00A05B3F">
            <w:pPr>
              <w:jc w:val="center"/>
              <w:rPr>
                <w:rFonts w:cstheme="minorHAnsi"/>
                <w:sz w:val="16"/>
                <w:szCs w:val="16"/>
              </w:rPr>
            </w:pPr>
            <w:r w:rsidRPr="001541B9">
              <w:rPr>
                <w:rFonts w:cstheme="minorHAnsi"/>
                <w:sz w:val="16"/>
                <w:szCs w:val="16"/>
              </w:rPr>
              <w:t>4</w:t>
            </w:r>
          </w:p>
          <w:p w14:paraId="1BF1BB65" w14:textId="77777777" w:rsidR="002745CF" w:rsidRPr="001541B9" w:rsidRDefault="002745CF" w:rsidP="00A05B3F">
            <w:pPr>
              <w:jc w:val="center"/>
              <w:rPr>
                <w:rFonts w:cstheme="minorHAnsi"/>
                <w:sz w:val="16"/>
                <w:szCs w:val="16"/>
              </w:rPr>
            </w:pPr>
          </w:p>
          <w:p w14:paraId="23AEC1B9" w14:textId="77777777" w:rsidR="002745CF" w:rsidRPr="001541B9" w:rsidRDefault="002745CF" w:rsidP="00A05B3F">
            <w:pPr>
              <w:jc w:val="center"/>
              <w:rPr>
                <w:rFonts w:cstheme="minorHAnsi"/>
                <w:sz w:val="16"/>
                <w:szCs w:val="16"/>
              </w:rPr>
            </w:pPr>
          </w:p>
        </w:tc>
        <w:tc>
          <w:tcPr>
            <w:tcW w:w="4403" w:type="dxa"/>
            <w:tcBorders>
              <w:bottom w:val="single" w:sz="4" w:space="0" w:color="auto"/>
            </w:tcBorders>
          </w:tcPr>
          <w:p w14:paraId="024A9A3F" w14:textId="77777777" w:rsidR="002745CF" w:rsidRPr="001541B9" w:rsidRDefault="002745CF" w:rsidP="00A05B3F">
            <w:pPr>
              <w:rPr>
                <w:rFonts w:cstheme="minorHAnsi"/>
                <w:sz w:val="16"/>
                <w:szCs w:val="16"/>
              </w:rPr>
            </w:pPr>
            <w:r w:rsidRPr="001541B9">
              <w:rPr>
                <w:rFonts w:cstheme="minorHAnsi"/>
                <w:sz w:val="16"/>
                <w:szCs w:val="16"/>
              </w:rPr>
              <w:t>IMIQUIMODE 5 % CREME SACHE 250 MG</w:t>
            </w:r>
          </w:p>
        </w:tc>
        <w:tc>
          <w:tcPr>
            <w:tcW w:w="709" w:type="dxa"/>
            <w:tcBorders>
              <w:bottom w:val="single" w:sz="4" w:space="0" w:color="auto"/>
            </w:tcBorders>
          </w:tcPr>
          <w:p w14:paraId="030C13AB" w14:textId="77777777" w:rsidR="002745CF" w:rsidRPr="001541B9" w:rsidRDefault="002745CF" w:rsidP="00A05B3F">
            <w:pPr>
              <w:rPr>
                <w:rFonts w:cstheme="minorHAnsi"/>
                <w:sz w:val="16"/>
                <w:szCs w:val="16"/>
              </w:rPr>
            </w:pPr>
            <w:r w:rsidRPr="001541B9">
              <w:rPr>
                <w:rFonts w:cstheme="minorHAnsi"/>
                <w:sz w:val="16"/>
                <w:szCs w:val="16"/>
              </w:rPr>
              <w:t>11040015</w:t>
            </w:r>
          </w:p>
        </w:tc>
        <w:tc>
          <w:tcPr>
            <w:tcW w:w="845" w:type="dxa"/>
            <w:tcBorders>
              <w:bottom w:val="single" w:sz="4" w:space="0" w:color="auto"/>
            </w:tcBorders>
          </w:tcPr>
          <w:p w14:paraId="015B441F" w14:textId="77777777" w:rsidR="002745CF" w:rsidRPr="001541B9" w:rsidRDefault="002745CF" w:rsidP="00A05B3F">
            <w:pPr>
              <w:rPr>
                <w:rFonts w:cstheme="minorHAnsi"/>
                <w:sz w:val="16"/>
                <w:szCs w:val="16"/>
              </w:rPr>
            </w:pPr>
            <w:r w:rsidRPr="001541B9">
              <w:rPr>
                <w:rFonts w:cstheme="minorHAnsi"/>
                <w:sz w:val="16"/>
                <w:szCs w:val="16"/>
              </w:rPr>
              <w:t>350613</w:t>
            </w:r>
          </w:p>
        </w:tc>
        <w:tc>
          <w:tcPr>
            <w:tcW w:w="859" w:type="dxa"/>
            <w:tcBorders>
              <w:bottom w:val="single" w:sz="4" w:space="0" w:color="auto"/>
            </w:tcBorders>
          </w:tcPr>
          <w:p w14:paraId="2550F7D4" w14:textId="77777777" w:rsidR="002745CF" w:rsidRPr="001541B9" w:rsidRDefault="002745CF" w:rsidP="00A05B3F">
            <w:pPr>
              <w:rPr>
                <w:rFonts w:cstheme="minorHAnsi"/>
                <w:sz w:val="16"/>
                <w:szCs w:val="16"/>
              </w:rPr>
            </w:pPr>
            <w:r w:rsidRPr="001541B9">
              <w:rPr>
                <w:rFonts w:cstheme="minorHAnsi"/>
                <w:sz w:val="16"/>
                <w:szCs w:val="16"/>
              </w:rPr>
              <w:t>1720384</w:t>
            </w:r>
          </w:p>
        </w:tc>
        <w:tc>
          <w:tcPr>
            <w:tcW w:w="833" w:type="dxa"/>
            <w:tcBorders>
              <w:bottom w:val="single" w:sz="4" w:space="0" w:color="auto"/>
            </w:tcBorders>
          </w:tcPr>
          <w:p w14:paraId="2E40566D" w14:textId="77777777" w:rsidR="002745CF" w:rsidRPr="001541B9" w:rsidRDefault="002745CF" w:rsidP="00A05B3F">
            <w:pPr>
              <w:rPr>
                <w:rFonts w:cstheme="minorHAnsi"/>
                <w:sz w:val="16"/>
                <w:szCs w:val="16"/>
              </w:rPr>
            </w:pPr>
            <w:r w:rsidRPr="001541B9">
              <w:rPr>
                <w:rFonts w:cstheme="minorHAnsi"/>
                <w:sz w:val="16"/>
                <w:szCs w:val="16"/>
              </w:rPr>
              <w:t>SACHE</w:t>
            </w:r>
          </w:p>
        </w:tc>
        <w:tc>
          <w:tcPr>
            <w:tcW w:w="865" w:type="dxa"/>
            <w:tcBorders>
              <w:bottom w:val="single" w:sz="4" w:space="0" w:color="auto"/>
            </w:tcBorders>
          </w:tcPr>
          <w:p w14:paraId="754053A9" w14:textId="7B8BEF22" w:rsidR="002745CF" w:rsidRPr="001541B9" w:rsidRDefault="00FF4A2B" w:rsidP="00A05B3F">
            <w:pPr>
              <w:rPr>
                <w:rFonts w:cstheme="minorHAnsi"/>
                <w:sz w:val="16"/>
                <w:szCs w:val="16"/>
              </w:rPr>
            </w:pPr>
            <w:r>
              <w:rPr>
                <w:rFonts w:cstheme="minorHAnsi"/>
                <w:sz w:val="16"/>
                <w:szCs w:val="16"/>
              </w:rPr>
              <w:t>14.400</w:t>
            </w:r>
          </w:p>
        </w:tc>
      </w:tr>
      <w:tr w:rsidR="002745CF" w:rsidRPr="001541B9" w14:paraId="64040880" w14:textId="77777777" w:rsidTr="00A05B3F">
        <w:tc>
          <w:tcPr>
            <w:tcW w:w="558" w:type="dxa"/>
            <w:tcBorders>
              <w:bottom w:val="single" w:sz="4" w:space="0" w:color="auto"/>
            </w:tcBorders>
          </w:tcPr>
          <w:p w14:paraId="1E27DF93" w14:textId="77777777" w:rsidR="002745CF" w:rsidRPr="001541B9" w:rsidRDefault="002745CF" w:rsidP="00A05B3F">
            <w:pPr>
              <w:jc w:val="center"/>
              <w:rPr>
                <w:rFonts w:cstheme="minorHAnsi"/>
                <w:sz w:val="16"/>
                <w:szCs w:val="16"/>
              </w:rPr>
            </w:pPr>
            <w:r w:rsidRPr="001541B9">
              <w:rPr>
                <w:rFonts w:cstheme="minorHAnsi"/>
                <w:sz w:val="16"/>
                <w:szCs w:val="16"/>
              </w:rPr>
              <w:t>5</w:t>
            </w:r>
          </w:p>
          <w:p w14:paraId="7AB8D8C6" w14:textId="77777777" w:rsidR="002745CF" w:rsidRPr="001541B9" w:rsidRDefault="002745CF" w:rsidP="00A05B3F">
            <w:pPr>
              <w:jc w:val="center"/>
              <w:rPr>
                <w:rFonts w:cstheme="minorHAnsi"/>
                <w:sz w:val="16"/>
                <w:szCs w:val="16"/>
              </w:rPr>
            </w:pPr>
          </w:p>
          <w:p w14:paraId="206123FC" w14:textId="77777777" w:rsidR="002745CF" w:rsidRPr="001541B9" w:rsidRDefault="002745CF" w:rsidP="00A05B3F">
            <w:pPr>
              <w:jc w:val="center"/>
              <w:rPr>
                <w:rFonts w:cstheme="minorHAnsi"/>
                <w:sz w:val="16"/>
                <w:szCs w:val="16"/>
              </w:rPr>
            </w:pPr>
          </w:p>
        </w:tc>
        <w:tc>
          <w:tcPr>
            <w:tcW w:w="4403" w:type="dxa"/>
            <w:tcBorders>
              <w:bottom w:val="single" w:sz="4" w:space="0" w:color="auto"/>
            </w:tcBorders>
          </w:tcPr>
          <w:p w14:paraId="49AE3E5B" w14:textId="26FD13BA" w:rsidR="002745CF" w:rsidRPr="001541B9" w:rsidRDefault="00FF4A2B" w:rsidP="00A05B3F">
            <w:pPr>
              <w:rPr>
                <w:rFonts w:cstheme="minorHAnsi"/>
                <w:sz w:val="16"/>
                <w:szCs w:val="16"/>
              </w:rPr>
            </w:pPr>
            <w:r w:rsidRPr="001541B9">
              <w:rPr>
                <w:rFonts w:cstheme="minorHAnsi"/>
                <w:sz w:val="16"/>
                <w:szCs w:val="16"/>
              </w:rPr>
              <w:t>LANOLINA HPA ANIDRA MODIFICADA BISNAGA DE 5 G A 7G 100% PURA, LIVRE DE BHT, PRODUTO DE INGREDIENTE ÚNICO</w:t>
            </w:r>
          </w:p>
        </w:tc>
        <w:tc>
          <w:tcPr>
            <w:tcW w:w="709" w:type="dxa"/>
            <w:tcBorders>
              <w:bottom w:val="single" w:sz="4" w:space="0" w:color="auto"/>
            </w:tcBorders>
          </w:tcPr>
          <w:p w14:paraId="3C9B11A9" w14:textId="77777777" w:rsidR="002745CF" w:rsidRPr="001541B9" w:rsidRDefault="002745CF" w:rsidP="00A05B3F">
            <w:pPr>
              <w:rPr>
                <w:rFonts w:cstheme="minorHAnsi"/>
                <w:sz w:val="16"/>
                <w:szCs w:val="16"/>
              </w:rPr>
            </w:pPr>
            <w:r w:rsidRPr="001541B9">
              <w:rPr>
                <w:rFonts w:cstheme="minorHAnsi"/>
                <w:sz w:val="16"/>
                <w:szCs w:val="16"/>
              </w:rPr>
              <w:t>11040033</w:t>
            </w:r>
          </w:p>
        </w:tc>
        <w:tc>
          <w:tcPr>
            <w:tcW w:w="845" w:type="dxa"/>
            <w:tcBorders>
              <w:bottom w:val="single" w:sz="4" w:space="0" w:color="auto"/>
            </w:tcBorders>
          </w:tcPr>
          <w:p w14:paraId="240149C0" w14:textId="77777777" w:rsidR="002745CF" w:rsidRPr="001541B9" w:rsidRDefault="002745CF" w:rsidP="00A05B3F">
            <w:pPr>
              <w:rPr>
                <w:rFonts w:cstheme="minorHAnsi"/>
                <w:sz w:val="16"/>
                <w:szCs w:val="16"/>
              </w:rPr>
            </w:pPr>
            <w:r w:rsidRPr="001541B9">
              <w:rPr>
                <w:rFonts w:cstheme="minorHAnsi"/>
                <w:sz w:val="16"/>
                <w:szCs w:val="16"/>
              </w:rPr>
              <w:t>621997</w:t>
            </w:r>
          </w:p>
        </w:tc>
        <w:tc>
          <w:tcPr>
            <w:tcW w:w="859" w:type="dxa"/>
            <w:tcBorders>
              <w:bottom w:val="single" w:sz="4" w:space="0" w:color="auto"/>
            </w:tcBorders>
          </w:tcPr>
          <w:p w14:paraId="60771DEB" w14:textId="77777777" w:rsidR="002745CF" w:rsidRPr="001541B9" w:rsidRDefault="002745CF" w:rsidP="00A05B3F">
            <w:pPr>
              <w:rPr>
                <w:rFonts w:cstheme="minorHAnsi"/>
                <w:sz w:val="16"/>
                <w:szCs w:val="16"/>
              </w:rPr>
            </w:pPr>
            <w:r w:rsidRPr="001541B9">
              <w:rPr>
                <w:rFonts w:cstheme="minorHAnsi"/>
                <w:sz w:val="16"/>
                <w:szCs w:val="16"/>
              </w:rPr>
              <w:t>4699190</w:t>
            </w:r>
          </w:p>
        </w:tc>
        <w:tc>
          <w:tcPr>
            <w:tcW w:w="833" w:type="dxa"/>
            <w:tcBorders>
              <w:bottom w:val="single" w:sz="4" w:space="0" w:color="auto"/>
            </w:tcBorders>
          </w:tcPr>
          <w:p w14:paraId="54C3B209" w14:textId="77777777" w:rsidR="002745CF" w:rsidRPr="001541B9" w:rsidRDefault="002745CF" w:rsidP="00A05B3F">
            <w:pPr>
              <w:rPr>
                <w:rFonts w:cstheme="minorHAnsi"/>
                <w:sz w:val="16"/>
                <w:szCs w:val="16"/>
              </w:rPr>
            </w:pPr>
            <w:r w:rsidRPr="001541B9">
              <w:rPr>
                <w:rFonts w:cstheme="minorHAnsi"/>
                <w:sz w:val="16"/>
                <w:szCs w:val="16"/>
              </w:rPr>
              <w:t>BG</w:t>
            </w:r>
          </w:p>
        </w:tc>
        <w:tc>
          <w:tcPr>
            <w:tcW w:w="865" w:type="dxa"/>
            <w:tcBorders>
              <w:bottom w:val="single" w:sz="4" w:space="0" w:color="auto"/>
            </w:tcBorders>
          </w:tcPr>
          <w:p w14:paraId="7291F229" w14:textId="77777777" w:rsidR="002745CF" w:rsidRPr="001541B9" w:rsidRDefault="002745CF" w:rsidP="00A05B3F">
            <w:pPr>
              <w:rPr>
                <w:rFonts w:cstheme="minorHAnsi"/>
                <w:sz w:val="16"/>
                <w:szCs w:val="16"/>
              </w:rPr>
            </w:pPr>
            <w:r w:rsidRPr="001541B9">
              <w:rPr>
                <w:rFonts w:cstheme="minorHAnsi"/>
                <w:sz w:val="16"/>
                <w:szCs w:val="16"/>
              </w:rPr>
              <w:t xml:space="preserve">    370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749FE4DF"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D755A3">
        <w:rPr>
          <w:rFonts w:cstheme="minorHAnsi"/>
          <w:sz w:val="20"/>
          <w:szCs w:val="20"/>
        </w:rPr>
        <w:t>145.00024675/2024-01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13CF5F7A"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D755A3">
        <w:rPr>
          <w:rFonts w:cstheme="minorHAnsi"/>
          <w:sz w:val="20"/>
          <w:szCs w:val="20"/>
        </w:rPr>
        <w:t>145.00024675/2024-01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5C9E1A6F"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3663815A" w14:textId="77777777" w:rsidR="00BA29E1" w:rsidRDefault="00BA29E1" w:rsidP="00FE6EE7">
      <w:pPr>
        <w:rPr>
          <w:lang w:eastAsia="pt-BR"/>
        </w:rPr>
      </w:pPr>
    </w:p>
    <w:p w14:paraId="43D43776" w14:textId="77777777" w:rsidR="00BA29E1" w:rsidRDefault="00BA29E1" w:rsidP="00FE6EE7">
      <w:pPr>
        <w:rPr>
          <w:lang w:eastAsia="pt-BR"/>
        </w:rPr>
      </w:pPr>
    </w:p>
    <w:p w14:paraId="0F656C84" w14:textId="22662633" w:rsidR="00FE6EE7" w:rsidRPr="00BA29E1" w:rsidRDefault="00FE6EE7" w:rsidP="00FE6EE7">
      <w:pPr>
        <w:rPr>
          <w:sz w:val="20"/>
          <w:szCs w:val="20"/>
          <w:lang w:eastAsia="pt-BR"/>
        </w:rPr>
      </w:pPr>
      <w:r w:rsidRPr="00BA29E1">
        <w:rPr>
          <w:sz w:val="20"/>
          <w:szCs w:val="20"/>
          <w:lang w:eastAsia="pt-BR"/>
        </w:rPr>
        <w:t>Rosa Angela Ferreira</w:t>
      </w:r>
    </w:p>
    <w:p w14:paraId="4100BF72" w14:textId="77777777" w:rsidR="00FE6EE7" w:rsidRPr="00BA29E1" w:rsidRDefault="00FE6EE7" w:rsidP="00FE6EE7">
      <w:pPr>
        <w:rPr>
          <w:sz w:val="20"/>
          <w:szCs w:val="20"/>
          <w:lang w:eastAsia="pt-BR"/>
        </w:rPr>
      </w:pPr>
      <w:r w:rsidRPr="00BA29E1">
        <w:rPr>
          <w:sz w:val="20"/>
          <w:szCs w:val="20"/>
          <w:lang w:eastAsia="pt-BR"/>
        </w:rPr>
        <w:t>Equipe Técnica</w:t>
      </w:r>
    </w:p>
    <w:p w14:paraId="35B15610" w14:textId="77777777" w:rsidR="00FE6EE7" w:rsidRPr="00BA29E1" w:rsidRDefault="00FE6EE7" w:rsidP="00FE6EE7">
      <w:pPr>
        <w:rPr>
          <w:sz w:val="20"/>
          <w:szCs w:val="20"/>
          <w:lang w:eastAsia="pt-BR"/>
        </w:rPr>
      </w:pPr>
    </w:p>
    <w:p w14:paraId="6F3F64B3" w14:textId="77777777" w:rsidR="00FE6EE7" w:rsidRPr="00BA29E1" w:rsidRDefault="00FE6EE7" w:rsidP="00FE6EE7">
      <w:pPr>
        <w:rPr>
          <w:sz w:val="20"/>
          <w:szCs w:val="20"/>
          <w:lang w:eastAsia="pt-BR"/>
        </w:rPr>
      </w:pPr>
      <w:r w:rsidRPr="00BA29E1">
        <w:rPr>
          <w:sz w:val="20"/>
          <w:szCs w:val="20"/>
          <w:lang w:eastAsia="pt-BR"/>
        </w:rPr>
        <w:t>Maristela Barros de Sousa</w:t>
      </w:r>
    </w:p>
    <w:p w14:paraId="6E070C67" w14:textId="77777777" w:rsidR="00FE6EE7" w:rsidRPr="00FE6EE7" w:rsidRDefault="00FE6EE7" w:rsidP="00FE6EE7">
      <w:pPr>
        <w:rPr>
          <w:sz w:val="20"/>
          <w:szCs w:val="20"/>
          <w:highlight w:val="yellow"/>
          <w:lang w:eastAsia="pt-BR"/>
        </w:rPr>
      </w:pPr>
      <w:r w:rsidRPr="00BA29E1">
        <w:rPr>
          <w:sz w:val="20"/>
          <w:szCs w:val="20"/>
          <w:lang w:eastAsia="pt-BR"/>
        </w:rPr>
        <w:t>Equipe Técnica</w:t>
      </w:r>
    </w:p>
    <w:p w14:paraId="1F73C27B" w14:textId="77777777" w:rsidR="00FE6EE7" w:rsidRPr="00FE6EE7" w:rsidRDefault="00FE6EE7" w:rsidP="00FE6EE7">
      <w:pPr>
        <w:rPr>
          <w:sz w:val="20"/>
          <w:szCs w:val="20"/>
          <w:highlight w:val="yellow"/>
          <w:lang w:eastAsia="pt-BR"/>
        </w:rPr>
      </w:pPr>
    </w:p>
    <w:p w14:paraId="36F8B44A" w14:textId="77777777" w:rsidR="00FE6EE7" w:rsidRPr="00BA29E1" w:rsidRDefault="00FE6EE7" w:rsidP="00FE6EE7">
      <w:pPr>
        <w:rPr>
          <w:sz w:val="20"/>
          <w:szCs w:val="20"/>
          <w:lang w:eastAsia="pt-BR"/>
        </w:rPr>
      </w:pPr>
      <w:r w:rsidRPr="00BA29E1">
        <w:rPr>
          <w:sz w:val="20"/>
          <w:szCs w:val="20"/>
          <w:lang w:eastAsia="pt-BR"/>
        </w:rPr>
        <w:t>Jussara Porto Pereira</w:t>
      </w:r>
    </w:p>
    <w:p w14:paraId="7E2938EC" w14:textId="77777777" w:rsidR="00FE6EE7" w:rsidRPr="00BA29E1" w:rsidRDefault="00FE6EE7" w:rsidP="00FE6EE7">
      <w:pPr>
        <w:rPr>
          <w:sz w:val="20"/>
          <w:szCs w:val="20"/>
          <w:lang w:eastAsia="pt-BR"/>
        </w:rPr>
      </w:pPr>
      <w:r w:rsidRPr="00BA29E1">
        <w:rPr>
          <w:sz w:val="20"/>
          <w:szCs w:val="20"/>
          <w:lang w:eastAsia="pt-BR"/>
        </w:rPr>
        <w:t>Agente de Contratação</w:t>
      </w:r>
    </w:p>
    <w:p w14:paraId="0E799EDD" w14:textId="77777777" w:rsidR="00FE6EE7" w:rsidRPr="00BA29E1" w:rsidRDefault="00FE6EE7" w:rsidP="00FE6EE7">
      <w:pPr>
        <w:rPr>
          <w:sz w:val="20"/>
          <w:szCs w:val="20"/>
          <w:lang w:eastAsia="pt-BR"/>
        </w:rPr>
      </w:pPr>
    </w:p>
    <w:p w14:paraId="6AD031C4" w14:textId="77777777" w:rsidR="00FE6EE7" w:rsidRPr="00BA29E1" w:rsidRDefault="00FE6EE7" w:rsidP="00FE6EE7">
      <w:pPr>
        <w:rPr>
          <w:sz w:val="20"/>
          <w:szCs w:val="20"/>
          <w:lang w:eastAsia="pt-BR"/>
        </w:rPr>
      </w:pPr>
      <w:r w:rsidRPr="00BA29E1">
        <w:rPr>
          <w:sz w:val="20"/>
          <w:szCs w:val="20"/>
          <w:lang w:eastAsia="pt-BR"/>
        </w:rPr>
        <w:t>Patricia Nunes dos Santos</w:t>
      </w:r>
    </w:p>
    <w:p w14:paraId="50120FDB" w14:textId="77777777" w:rsidR="00FE6EE7" w:rsidRPr="00BA29E1" w:rsidRDefault="00FE6EE7" w:rsidP="00FE6EE7">
      <w:pPr>
        <w:rPr>
          <w:sz w:val="20"/>
          <w:szCs w:val="20"/>
          <w:lang w:eastAsia="pt-BR"/>
        </w:rPr>
      </w:pPr>
      <w:r w:rsidRPr="00BA29E1">
        <w:rPr>
          <w:sz w:val="20"/>
          <w:szCs w:val="20"/>
          <w:lang w:eastAsia="pt-BR"/>
        </w:rPr>
        <w:t>Agente de Contratação</w:t>
      </w:r>
    </w:p>
    <w:p w14:paraId="5FF734E0" w14:textId="77777777" w:rsidR="00FE6EE7" w:rsidRPr="00BA29E1" w:rsidRDefault="00FE6EE7" w:rsidP="00FE6EE7">
      <w:pPr>
        <w:rPr>
          <w:sz w:val="20"/>
          <w:szCs w:val="20"/>
          <w:lang w:eastAsia="pt-BR"/>
        </w:rPr>
      </w:pPr>
    </w:p>
    <w:p w14:paraId="29B459EE" w14:textId="77777777" w:rsidR="00FE6EE7" w:rsidRPr="00BA29E1" w:rsidRDefault="00FE6EE7" w:rsidP="00FE6EE7">
      <w:pPr>
        <w:rPr>
          <w:sz w:val="20"/>
          <w:szCs w:val="20"/>
          <w:lang w:eastAsia="pt-BR"/>
        </w:rPr>
      </w:pPr>
      <w:r w:rsidRPr="00BA29E1">
        <w:rPr>
          <w:sz w:val="20"/>
          <w:szCs w:val="20"/>
          <w:lang w:eastAsia="pt-BR"/>
        </w:rPr>
        <w:t>Claudia Teixeira Cesena</w:t>
      </w:r>
    </w:p>
    <w:p w14:paraId="06EAD02A" w14:textId="77777777" w:rsidR="00FE6EE7" w:rsidRPr="00BA29E1" w:rsidRDefault="00FE6EE7" w:rsidP="00FE6EE7">
      <w:pPr>
        <w:rPr>
          <w:sz w:val="20"/>
          <w:szCs w:val="20"/>
          <w:lang w:eastAsia="pt-BR"/>
        </w:rPr>
      </w:pPr>
      <w:r w:rsidRPr="00BA29E1">
        <w:rPr>
          <w:sz w:val="20"/>
          <w:szCs w:val="20"/>
          <w:lang w:eastAsia="pt-BR"/>
        </w:rPr>
        <w:t>Agente de Contratação</w:t>
      </w:r>
    </w:p>
    <w:p w14:paraId="7940806B" w14:textId="77777777" w:rsidR="00FE6EE7" w:rsidRPr="00BA29E1" w:rsidRDefault="00FE6EE7" w:rsidP="00FE6EE7">
      <w:pPr>
        <w:rPr>
          <w:sz w:val="20"/>
          <w:szCs w:val="20"/>
          <w:lang w:eastAsia="pt-BR"/>
        </w:rPr>
      </w:pPr>
    </w:p>
    <w:p w14:paraId="3A8B8CAC" w14:textId="77777777" w:rsidR="00FE6EE7" w:rsidRPr="00BA29E1" w:rsidRDefault="00FE6EE7" w:rsidP="00FE6EE7">
      <w:pPr>
        <w:rPr>
          <w:sz w:val="20"/>
          <w:szCs w:val="20"/>
          <w:lang w:eastAsia="pt-BR"/>
        </w:rPr>
      </w:pPr>
      <w:r w:rsidRPr="00BA29E1">
        <w:rPr>
          <w:sz w:val="20"/>
          <w:szCs w:val="20"/>
          <w:lang w:eastAsia="pt-BR"/>
        </w:rPr>
        <w:t>Darlene Cruz Moura</w:t>
      </w:r>
    </w:p>
    <w:p w14:paraId="09674451" w14:textId="16A06972" w:rsidR="00F560F2" w:rsidRDefault="00FE6EE7" w:rsidP="00FE6EE7">
      <w:pPr>
        <w:rPr>
          <w:lang w:eastAsia="pt-BR"/>
        </w:rPr>
      </w:pPr>
      <w:r w:rsidRPr="00BA29E1">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8947369"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D755A3" w:rsidRPr="00BA29E1">
        <w:rPr>
          <w:rFonts w:cstheme="minorHAnsi"/>
          <w:b/>
          <w:color w:val="000000" w:themeColor="text1"/>
          <w:sz w:val="20"/>
          <w:szCs w:val="20"/>
        </w:rPr>
        <w:t>145.00024675/2024-01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751E8AB6" w14:textId="77777777" w:rsidR="00D35565"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w:t>
      </w:r>
    </w:p>
    <w:p w14:paraId="539B350F" w14:textId="2FBC676C"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61BB48A9"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D755A3" w:rsidRPr="00BA29E1">
        <w:rPr>
          <w:rFonts w:eastAsia="Arial" w:cstheme="minorHAnsi"/>
          <w:sz w:val="20"/>
          <w:szCs w:val="20"/>
        </w:rPr>
        <w:t>145.00024675/2024-01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BA29E1">
        <w:rPr>
          <w:rFonts w:eastAsia="Arial" w:cstheme="minorHAnsi"/>
          <w:sz w:val="20"/>
          <w:szCs w:val="20"/>
        </w:rPr>
        <w:t>..........</w:t>
      </w:r>
      <w:r w:rsidRPr="00BA29E1">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BA29E1" w:rsidRDefault="00681240" w:rsidP="002D0DF5">
            <w:pPr>
              <w:widowControl w:val="0"/>
              <w:spacing w:before="120" w:line="312" w:lineRule="auto"/>
              <w:jc w:val="center"/>
              <w:rPr>
                <w:rFonts w:eastAsia="Arial" w:cstheme="minorHAnsi"/>
                <w:b/>
                <w:bCs/>
                <w:color w:val="000000"/>
                <w:sz w:val="20"/>
                <w:szCs w:val="20"/>
              </w:rPr>
            </w:pPr>
            <w:r w:rsidRPr="00BA29E1">
              <w:rPr>
                <w:rFonts w:eastAsia="Arial" w:cstheme="minorHAnsi"/>
                <w:b/>
                <w:bCs/>
                <w:color w:val="000000" w:themeColor="text1"/>
                <w:sz w:val="20"/>
                <w:szCs w:val="20"/>
              </w:rPr>
              <w:t>ITEM</w:t>
            </w:r>
          </w:p>
          <w:p w14:paraId="219361F1" w14:textId="77777777" w:rsidR="00681240" w:rsidRPr="00BA29E1"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BA29E1" w:rsidRDefault="00681240" w:rsidP="002D0DF5">
            <w:pPr>
              <w:widowControl w:val="0"/>
              <w:spacing w:before="120" w:line="312" w:lineRule="auto"/>
              <w:jc w:val="center"/>
              <w:rPr>
                <w:rFonts w:eastAsia="Arial" w:cstheme="minorHAnsi"/>
                <w:color w:val="000000"/>
                <w:sz w:val="20"/>
                <w:szCs w:val="20"/>
              </w:rPr>
            </w:pPr>
            <w:r w:rsidRPr="00BA29E1">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BA29E1" w:rsidRDefault="00681240" w:rsidP="002D0DF5">
            <w:pPr>
              <w:widowControl w:val="0"/>
              <w:spacing w:before="120" w:line="312" w:lineRule="auto"/>
              <w:jc w:val="center"/>
              <w:rPr>
                <w:rFonts w:eastAsia="Arial" w:cstheme="minorHAnsi"/>
                <w:color w:val="000000"/>
                <w:sz w:val="20"/>
                <w:szCs w:val="20"/>
              </w:rPr>
            </w:pPr>
            <w:r w:rsidRPr="00BA29E1">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BA29E1" w:rsidRDefault="00681240" w:rsidP="002D0DF5">
            <w:pPr>
              <w:widowControl w:val="0"/>
              <w:spacing w:before="120" w:line="312" w:lineRule="auto"/>
              <w:jc w:val="center"/>
              <w:rPr>
                <w:rFonts w:eastAsia="Arial" w:cstheme="minorHAnsi"/>
                <w:color w:val="000000"/>
                <w:sz w:val="20"/>
                <w:szCs w:val="20"/>
              </w:rPr>
            </w:pPr>
            <w:r w:rsidRPr="00BA29E1">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BA29E1" w:rsidRDefault="00681240" w:rsidP="002D0DF5">
            <w:pPr>
              <w:widowControl w:val="0"/>
              <w:spacing w:before="120" w:line="312" w:lineRule="auto"/>
              <w:jc w:val="center"/>
              <w:rPr>
                <w:rFonts w:eastAsia="Arial" w:cstheme="minorHAnsi"/>
                <w:b/>
                <w:bCs/>
                <w:sz w:val="20"/>
                <w:szCs w:val="20"/>
              </w:rPr>
            </w:pPr>
            <w:r w:rsidRPr="00BA29E1">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BA29E1" w:rsidRDefault="00681240" w:rsidP="002D0DF5">
            <w:pPr>
              <w:widowControl w:val="0"/>
              <w:spacing w:before="120" w:line="312" w:lineRule="auto"/>
              <w:jc w:val="center"/>
              <w:rPr>
                <w:rFonts w:eastAsia="Arial" w:cstheme="minorHAnsi"/>
                <w:b/>
                <w:bCs/>
                <w:sz w:val="20"/>
                <w:szCs w:val="20"/>
              </w:rPr>
            </w:pPr>
            <w:r w:rsidRPr="00BA29E1">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BA29E1" w:rsidRDefault="00681240" w:rsidP="002D0DF5">
            <w:pPr>
              <w:widowControl w:val="0"/>
              <w:spacing w:before="120" w:line="312" w:lineRule="auto"/>
              <w:jc w:val="center"/>
              <w:rPr>
                <w:rFonts w:eastAsia="Arial" w:cstheme="minorHAnsi"/>
                <w:b/>
                <w:bCs/>
                <w:sz w:val="20"/>
                <w:szCs w:val="20"/>
              </w:rPr>
            </w:pPr>
            <w:r w:rsidRPr="00BA29E1">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BA29E1" w:rsidRDefault="00681240" w:rsidP="002D0DF5">
            <w:pPr>
              <w:widowControl w:val="0"/>
              <w:spacing w:before="120" w:line="312" w:lineRule="auto"/>
              <w:jc w:val="center"/>
              <w:rPr>
                <w:rFonts w:eastAsia="Arial" w:cstheme="minorHAnsi"/>
                <w:b/>
                <w:bCs/>
                <w:color w:val="000000"/>
                <w:sz w:val="20"/>
                <w:szCs w:val="20"/>
              </w:rPr>
            </w:pPr>
            <w:r w:rsidRPr="00BA29E1">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BA29E1" w:rsidRDefault="00F65388" w:rsidP="002D0DF5">
            <w:pPr>
              <w:widowControl w:val="0"/>
              <w:spacing w:before="120" w:line="312" w:lineRule="auto"/>
              <w:rPr>
                <w:rFonts w:eastAsia="Arial" w:cstheme="minorHAnsi"/>
                <w:color w:val="000000"/>
                <w:sz w:val="20"/>
                <w:szCs w:val="20"/>
              </w:rPr>
            </w:pPr>
            <w:r w:rsidRPr="00BA29E1">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BA29E1" w:rsidRDefault="00F65388" w:rsidP="002D0DF5">
            <w:pPr>
              <w:widowControl w:val="0"/>
              <w:spacing w:before="120" w:line="312" w:lineRule="auto"/>
              <w:rPr>
                <w:rFonts w:eastAsia="Arial" w:cstheme="minorHAnsi"/>
                <w:color w:val="000000"/>
                <w:sz w:val="20"/>
                <w:szCs w:val="20"/>
              </w:rPr>
            </w:pPr>
            <w:r w:rsidRPr="00BA29E1">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BA29E1" w:rsidRDefault="00F65388" w:rsidP="002D0DF5">
            <w:pPr>
              <w:widowControl w:val="0"/>
              <w:spacing w:before="120" w:line="312" w:lineRule="auto"/>
              <w:rPr>
                <w:rFonts w:eastAsia="Arial" w:cstheme="minorHAnsi"/>
                <w:color w:val="000000"/>
                <w:sz w:val="20"/>
                <w:szCs w:val="20"/>
              </w:rPr>
            </w:pPr>
            <w:r w:rsidRPr="00BA29E1">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BA29E1" w:rsidRDefault="00681240" w:rsidP="002D0DF5">
            <w:pPr>
              <w:widowControl w:val="0"/>
              <w:spacing w:before="120" w:line="312" w:lineRule="auto"/>
              <w:rPr>
                <w:rFonts w:eastAsia="Arial" w:cstheme="minorHAnsi"/>
                <w:color w:val="000000"/>
                <w:sz w:val="20"/>
                <w:szCs w:val="20"/>
              </w:rPr>
            </w:pPr>
            <w:r w:rsidRPr="00BA29E1">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BA29E1" w:rsidRDefault="00681240" w:rsidP="002D0DF5">
            <w:pPr>
              <w:widowControl w:val="0"/>
              <w:spacing w:before="120" w:line="312" w:lineRule="auto"/>
              <w:rPr>
                <w:rFonts w:eastAsia="Arial" w:cstheme="minorHAnsi"/>
                <w:color w:val="000000"/>
                <w:sz w:val="20"/>
                <w:szCs w:val="20"/>
              </w:rPr>
            </w:pPr>
            <w:r w:rsidRPr="00BA29E1">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BA29E1" w:rsidRDefault="00E6564F" w:rsidP="002D0DF5">
            <w:pPr>
              <w:widowControl w:val="0"/>
              <w:spacing w:before="120" w:line="312" w:lineRule="auto"/>
              <w:rPr>
                <w:rFonts w:eastAsia="Arial" w:cstheme="minorHAnsi"/>
                <w:color w:val="000000"/>
                <w:sz w:val="20"/>
                <w:szCs w:val="20"/>
              </w:rPr>
            </w:pPr>
            <w:r w:rsidRPr="00BA29E1">
              <w:rPr>
                <w:rFonts w:eastAsia="Arial" w:cstheme="minorHAnsi"/>
                <w:color w:val="000000"/>
                <w:sz w:val="20"/>
                <w:szCs w:val="20"/>
              </w:rPr>
              <w:t>R$..................</w:t>
            </w:r>
            <w:r w:rsidR="00681240" w:rsidRPr="00BA29E1">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F285EAD"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D755A3" w:rsidRPr="004A3CD5">
        <w:rPr>
          <w:rStyle w:val="Forte"/>
          <w:rFonts w:asciiTheme="minorHAnsi" w:hAnsiTheme="minorHAnsi" w:cstheme="minorHAnsi"/>
          <w:sz w:val="20"/>
          <w:szCs w:val="20"/>
        </w:rPr>
        <w:t>145.00024675/2024-01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635963D6"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D755A3" w:rsidRPr="004A3CD5">
        <w:rPr>
          <w:rStyle w:val="Forte"/>
          <w:rFonts w:asciiTheme="minorHAnsi" w:hAnsiTheme="minorHAnsi" w:cstheme="minorHAnsi"/>
          <w:sz w:val="20"/>
          <w:szCs w:val="20"/>
        </w:rPr>
        <w:t>145.00024675/2024-01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5542D11"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D755A3" w:rsidRPr="004A3CD5">
        <w:rPr>
          <w:rFonts w:asciiTheme="minorHAnsi" w:hAnsiTheme="minorHAnsi" w:cstheme="minorHAnsi"/>
          <w:b/>
          <w:sz w:val="20"/>
          <w:szCs w:val="20"/>
        </w:rPr>
        <w:t>HIDRALAZINA (CLORIDRATO) 25 MG COMPRIMIDO REVESTIDO, ACETILCISTEINA PO PARA SOLUCAO ORAL 200 MG/5 G ENVELOPE 5 G, TOXINA BOTULINICA 500 UI SOLUÇÃO INJETAVEL FRASCO-AMPOLA, IMIQUIMODE 5 % CREME SACHE 250 MG, LANOLINA HPA ANIDRA MODIFICADA BISNAGA</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5A866FE3" w14:textId="2919DC39" w:rsidR="001F3004" w:rsidRPr="004A3CD5" w:rsidRDefault="001F3004" w:rsidP="004A3CD5">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35565" w:rsidRDefault="00D35565" w:rsidP="00CD63E8">
      <w:pPr>
        <w:spacing w:after="0" w:line="240" w:lineRule="auto"/>
      </w:pPr>
      <w:r>
        <w:separator/>
      </w:r>
    </w:p>
  </w:endnote>
  <w:endnote w:type="continuationSeparator" w:id="0">
    <w:p w14:paraId="006F6C37" w14:textId="77777777" w:rsidR="00D35565" w:rsidRDefault="00D35565"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35565" w:rsidRDefault="00D35565" w:rsidP="00CD63E8">
      <w:pPr>
        <w:spacing w:after="0" w:line="240" w:lineRule="auto"/>
      </w:pPr>
      <w:r>
        <w:separator/>
      </w:r>
    </w:p>
  </w:footnote>
  <w:footnote w:type="continuationSeparator" w:id="0">
    <w:p w14:paraId="4BD0FC99" w14:textId="77777777" w:rsidR="00D35565" w:rsidRDefault="00D35565"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367D7"/>
    <w:rsid w:val="00260C93"/>
    <w:rsid w:val="002745CF"/>
    <w:rsid w:val="002A1767"/>
    <w:rsid w:val="002A7022"/>
    <w:rsid w:val="002B0C88"/>
    <w:rsid w:val="002D0DF5"/>
    <w:rsid w:val="002D74C3"/>
    <w:rsid w:val="002F6B4B"/>
    <w:rsid w:val="0032344A"/>
    <w:rsid w:val="00355887"/>
    <w:rsid w:val="00361B8A"/>
    <w:rsid w:val="00365395"/>
    <w:rsid w:val="00374FAB"/>
    <w:rsid w:val="003969E0"/>
    <w:rsid w:val="00396C2B"/>
    <w:rsid w:val="003A1EAF"/>
    <w:rsid w:val="0042324E"/>
    <w:rsid w:val="00430052"/>
    <w:rsid w:val="00445E97"/>
    <w:rsid w:val="00446ADE"/>
    <w:rsid w:val="00452AAC"/>
    <w:rsid w:val="00462BAA"/>
    <w:rsid w:val="00462FB9"/>
    <w:rsid w:val="00463E06"/>
    <w:rsid w:val="00466B52"/>
    <w:rsid w:val="00470E86"/>
    <w:rsid w:val="00492108"/>
    <w:rsid w:val="004A3CD5"/>
    <w:rsid w:val="004D76DA"/>
    <w:rsid w:val="004F4D78"/>
    <w:rsid w:val="005178D2"/>
    <w:rsid w:val="00532A12"/>
    <w:rsid w:val="00553308"/>
    <w:rsid w:val="005A4EC6"/>
    <w:rsid w:val="005B6DBF"/>
    <w:rsid w:val="005D6244"/>
    <w:rsid w:val="006037D3"/>
    <w:rsid w:val="00605CCC"/>
    <w:rsid w:val="00607807"/>
    <w:rsid w:val="00616DDD"/>
    <w:rsid w:val="00640EB7"/>
    <w:rsid w:val="00666E73"/>
    <w:rsid w:val="006721E0"/>
    <w:rsid w:val="00676B5F"/>
    <w:rsid w:val="00681240"/>
    <w:rsid w:val="00685CB5"/>
    <w:rsid w:val="006A12FD"/>
    <w:rsid w:val="006B7CE5"/>
    <w:rsid w:val="006D10C1"/>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7549F"/>
    <w:rsid w:val="00892DCD"/>
    <w:rsid w:val="008F772C"/>
    <w:rsid w:val="00952EAF"/>
    <w:rsid w:val="0095532A"/>
    <w:rsid w:val="009554D0"/>
    <w:rsid w:val="00960BA6"/>
    <w:rsid w:val="00972E49"/>
    <w:rsid w:val="009765FF"/>
    <w:rsid w:val="00981C90"/>
    <w:rsid w:val="009950AE"/>
    <w:rsid w:val="0099770A"/>
    <w:rsid w:val="009A0F12"/>
    <w:rsid w:val="009E47D2"/>
    <w:rsid w:val="009F66F7"/>
    <w:rsid w:val="00A17884"/>
    <w:rsid w:val="00A4142D"/>
    <w:rsid w:val="00A45D56"/>
    <w:rsid w:val="00A70D2C"/>
    <w:rsid w:val="00A9533C"/>
    <w:rsid w:val="00AA7247"/>
    <w:rsid w:val="00AA7BF6"/>
    <w:rsid w:val="00AB0EE3"/>
    <w:rsid w:val="00AF64CB"/>
    <w:rsid w:val="00B06FDB"/>
    <w:rsid w:val="00B204E5"/>
    <w:rsid w:val="00B41AF1"/>
    <w:rsid w:val="00B57A18"/>
    <w:rsid w:val="00B60558"/>
    <w:rsid w:val="00B650C8"/>
    <w:rsid w:val="00B72727"/>
    <w:rsid w:val="00B81255"/>
    <w:rsid w:val="00B92DC5"/>
    <w:rsid w:val="00BA20EA"/>
    <w:rsid w:val="00BA29E1"/>
    <w:rsid w:val="00BF7550"/>
    <w:rsid w:val="00C542FC"/>
    <w:rsid w:val="00C54544"/>
    <w:rsid w:val="00C57DEC"/>
    <w:rsid w:val="00C93AE9"/>
    <w:rsid w:val="00C94946"/>
    <w:rsid w:val="00CA6262"/>
    <w:rsid w:val="00CB349E"/>
    <w:rsid w:val="00CC5E57"/>
    <w:rsid w:val="00CD63E8"/>
    <w:rsid w:val="00D220FB"/>
    <w:rsid w:val="00D253AB"/>
    <w:rsid w:val="00D33EC2"/>
    <w:rsid w:val="00D35565"/>
    <w:rsid w:val="00D41945"/>
    <w:rsid w:val="00D55207"/>
    <w:rsid w:val="00D7074A"/>
    <w:rsid w:val="00D72DAA"/>
    <w:rsid w:val="00D753CA"/>
    <w:rsid w:val="00D755A3"/>
    <w:rsid w:val="00D75B5B"/>
    <w:rsid w:val="00D970F1"/>
    <w:rsid w:val="00DA45B9"/>
    <w:rsid w:val="00DC57CB"/>
    <w:rsid w:val="00DE7F88"/>
    <w:rsid w:val="00DE7FDE"/>
    <w:rsid w:val="00DF53D4"/>
    <w:rsid w:val="00E354F4"/>
    <w:rsid w:val="00E418E5"/>
    <w:rsid w:val="00E62F76"/>
    <w:rsid w:val="00E6564F"/>
    <w:rsid w:val="00E71A17"/>
    <w:rsid w:val="00E757C8"/>
    <w:rsid w:val="00EA3054"/>
    <w:rsid w:val="00ED25B5"/>
    <w:rsid w:val="00F1141F"/>
    <w:rsid w:val="00F148D6"/>
    <w:rsid w:val="00F36E01"/>
    <w:rsid w:val="00F43360"/>
    <w:rsid w:val="00F560F2"/>
    <w:rsid w:val="00F63D54"/>
    <w:rsid w:val="00F65388"/>
    <w:rsid w:val="00F70424"/>
    <w:rsid w:val="00F70A08"/>
    <w:rsid w:val="00F72003"/>
    <w:rsid w:val="00F74221"/>
    <w:rsid w:val="00F75CEC"/>
    <w:rsid w:val="00F7693E"/>
    <w:rsid w:val="00F8324E"/>
    <w:rsid w:val="00F85525"/>
    <w:rsid w:val="00FB61BA"/>
    <w:rsid w:val="00FE6EE7"/>
    <w:rsid w:val="00FF4A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60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E084-C58F-45F9-A0E4-4289CC01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63</Pages>
  <Words>33479</Words>
  <Characters>180789</Characters>
  <Application>Microsoft Office Word</Application>
  <DocSecurity>0</DocSecurity>
  <Lines>1506</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20</cp:revision>
  <dcterms:created xsi:type="dcterms:W3CDTF">2024-11-25T17:44:00Z</dcterms:created>
  <dcterms:modified xsi:type="dcterms:W3CDTF">2024-11-29T15:43:00Z</dcterms:modified>
</cp:coreProperties>
</file>