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3776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3202EAB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2062ED15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255F07A2">
      <w:pPr>
        <w:spacing w:after="120" w:line="276" w:lineRule="auto"/>
        <w:ind w:firstLine="567"/>
        <w:jc w:val="both"/>
        <w:rPr>
          <w:rFonts w:ascii="Calibri" w:hAnsi="Calibri" w:eastAsia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eastAsia="Calibri"/>
          <w:b/>
          <w:bCs/>
          <w:sz w:val="22"/>
          <w:szCs w:val="22"/>
        </w:rPr>
        <w:t xml:space="preserve">MEDICAMENTOS PARA 12 MESES, SOLICITAÇÃO DE AQUISIÇÃO DE MEDICAMENTOS PARA USO HOSPITALAR/HMNSE – SAC 046/24 – REGISTRO DE PREÇOS </w:t>
      </w:r>
    </w:p>
    <w:p w14:paraId="55C3F1AE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eastAsia="Calibri"/>
          <w:bCs/>
          <w:sz w:val="22"/>
          <w:szCs w:val="22"/>
        </w:rPr>
        <w:t xml:space="preserve">Desta </w:t>
      </w:r>
      <w:r>
        <w:rPr>
          <w:rFonts w:ascii="Calibri" w:hAnsi="Calibri" w:cs="Arial"/>
          <w:sz w:val="22"/>
          <w:szCs w:val="22"/>
        </w:rPr>
        <w:t>forma, por intermédio da Secretaria Municipal de Saúde, vimos solicitar a aquisição/contratação do objeto abaixo:</w:t>
      </w:r>
    </w:p>
    <w:p w14:paraId="68AFC0A0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79260721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PARA 12 MESES DE CONSUMO –USO HOSPITALAR – SAC 046/24 - REGISTRO DE PREÇOS</w:t>
      </w:r>
    </w:p>
    <w:p w14:paraId="17D74030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1085F99E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10 dias (DEZ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 xml:space="preserve"> DIAS ÚTEIS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5C457B6F">
      <w:pPr>
        <w:pStyle w:val="44"/>
        <w:ind w:firstLine="567"/>
        <w:rPr>
          <w:rFonts w:cs="Arial"/>
          <w:b/>
        </w:rPr>
      </w:pPr>
      <w:r>
        <w:rPr>
          <w:rFonts w:cs="Arial"/>
          <w:b/>
        </w:rPr>
        <w:t>4. CRITÉRIO DE JULGAMENTO</w:t>
      </w:r>
    </w:p>
    <w:p w14:paraId="359F9EB4">
      <w:pPr>
        <w:pStyle w:val="44"/>
        <w:ind w:firstLine="567"/>
        <w:rPr>
          <w:rFonts w:cs="Arial"/>
          <w:b/>
        </w:rPr>
      </w:pPr>
    </w:p>
    <w:p w14:paraId="0148A2AE">
      <w:pPr>
        <w:pStyle w:val="44"/>
        <w:ind w:firstLine="567"/>
        <w:rPr>
          <w:rFonts w:cs="Arial"/>
          <w:u w:val="single"/>
        </w:rPr>
      </w:pPr>
      <w:r>
        <w:rPr>
          <w:rFonts w:cs="Arial"/>
          <w:u w:val="single"/>
        </w:rPr>
        <w:t>Menor preço por item</w:t>
      </w:r>
    </w:p>
    <w:p w14:paraId="73DDD094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1C931888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5. MODO E LOCAL DO FORNECIMENTO:</w:t>
      </w:r>
    </w:p>
    <w:p w14:paraId="4CDC6D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5.1. A entrega dos insumos e/ou execução dos serviços serão efetuadas:</w:t>
      </w:r>
    </w:p>
    <w:p w14:paraId="0DDD17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21874F6E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5.2. Prazo e validade da proposta:</w:t>
      </w:r>
    </w:p>
    <w:p w14:paraId="36D890A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15548ADC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5.3. Descrição detalhada do produto e ou serviço:</w:t>
      </w:r>
    </w:p>
    <w:p w14:paraId="5E9BC65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253" w:type="dxa"/>
        <w:jc w:val="center"/>
        <w:shd w:val="clear" w:color="auto" w:fill="F1F1F1" w:themeFill="background2" w:themeFillShade="F2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7"/>
        <w:gridCol w:w="6607"/>
        <w:gridCol w:w="1701"/>
        <w:gridCol w:w="1418"/>
      </w:tblGrid>
      <w:tr w14:paraId="576CA2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7D9D9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4C1EB2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0B489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Unidade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F0651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</w:tr>
      <w:tr w14:paraId="60A610F8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6A66FB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957F9B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ACETILCISTEINA 600mg.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6A3FE0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ENVELOPE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E29710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2C41B2E1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238766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3537C0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ACIDO EPSILON AMINOCAPROICO 50MG/ML - 20ML - AMPOLA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1EBE2C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264503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29244B58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C590A6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908E66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ACIDO TRANEXAMICO 250 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36B31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6F2C9F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2AD67476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1B1C23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B2F39E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ALBUMINA HUMANA FRASCO C/50 ML. 20%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BD5214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0CCBB7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3E735191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DBAFDF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22FC9B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ALTEPLASE 50MG (TIPO ACTILYSE)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4FECA3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69B7F3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96</w:t>
            </w:r>
          </w:p>
        </w:tc>
      </w:tr>
      <w:tr w14:paraId="022C50DE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D52195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2BA64C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AMPICILINA 1 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8BD782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71CAA2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  <w:tr w14:paraId="3BACC177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821B7F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C58C4D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AMPICILINA 500 MG.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4656E6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9C3DFB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036CC8E6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B36194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CC3672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ATRACURIUM 10MG/ML - FRASCO/AMPOLA 2,5ML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BF65BC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D304C7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  <w:tr w14:paraId="3444BC07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81A7F5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04A82B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AZITROMICINA 500 MG INJETAVEL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4E7518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B060F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321E11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CB6BFE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207F1D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AZTREONAM 1g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5C5CDF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B55738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308287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DF4362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01C1D0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BISACODIL 5mg.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06963A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A89E9A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</w:t>
            </w:r>
          </w:p>
        </w:tc>
      </w:tr>
      <w:tr w14:paraId="399B7F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B98FC1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D903E8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BROMETO DE N-BUTILESCOPOLAMINA 10MG + DIPIRONA 250MG - COMPRIMIDOS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994412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FFED68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7893C3E1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3848D5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59FE72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BROMETO DE N-BUTILESCOPOLAMINA 4MG/ML + DIPIRONA 500MG/ML - AMPOLA 5 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A396D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DFD3A6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0F927D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C6F24C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18313E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BROMOPRIDA 5MG/ML - AMPOLA 2ML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8E49FB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554B6C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041059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0DAD1B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BC40C3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CEFALOTINA 1g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BA42FC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E8DA9A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0A45DB03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A4F4FC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9DB83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CEFEPIME 1g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AFEF0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9FA99F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408D17F2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8580F8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17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604398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CETOCONAZOL CREME 20g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4DF96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AA7F63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738C665C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3986AD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29C3DF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CETOPROFENO 100 MG (PO P/ DILUICAO E.V.) F/A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1DB217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6E87D8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111FA708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684547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19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4120E7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CETOPROFENO INJETAVEL 2 ML. 100 MG. IM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E36FC8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C9BB3C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16000</w:t>
            </w:r>
          </w:p>
        </w:tc>
      </w:tr>
      <w:tr w14:paraId="3E351B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62BF85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BD0DD4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CIPROFLOXACINO 200 MG/100 ML, CLORIDRATO DE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EE0B7D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F8D0C3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6D193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1DAD7D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2A436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CIPROFLOXACINO 400 MG/200 ML, CLORIDRATO DE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09E21A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E5931B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  <w:tr w14:paraId="5BB6597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4461D8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4C2764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CLARITROMICINA 500MG INJETÁVEL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3B2C57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77DC3E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3ED838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1BAF51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23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565F38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CLINDAMICINA 150MG/ML - 4ML AMPOLA 600MG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7CEFC6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8D8603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128EF6E6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E28C69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585FD9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CLOTRIMAZOL 30g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329A8E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BISNAGA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DA1968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497C7BB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42412B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25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E651C0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DAPTOMICINA 500MG - FRASCO/AMPOLA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521D12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407479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2CF502CF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E4F3EF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26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2CA404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DEXAMETASONA 4mg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4FEF31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6F0FA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56A91F34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4919D2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27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E4E7E9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DEXMEDETOMIDINA 100MCG/ML - 2ML - DEXMEDETOMIDINA 100mcg /mL - 2Ml (TIPO PRECEDEX)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930297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5E849E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</w:t>
            </w:r>
          </w:p>
        </w:tc>
      </w:tr>
      <w:tr w14:paraId="328CB4E0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D1620D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4DCFDA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DICLOFENACO DE SODIO 50mg.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241F83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C838F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2642E987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15052D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29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F6AEA5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DIMETICONA 40 MG.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08C83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B1A7B3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0AD6B7B4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A9144A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1DFE00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DIMETICONA 75MG/ML FRASCO 15ML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19DBEA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6A4373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64A300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88C665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31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547BA7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GLICERINA SUPOSITORIO ADULTO 2,92g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2FCD84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UNIDADE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E62DC2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610E3159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7DE5DB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32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382BA2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GANCICLOVIR 250MG SISTEMA FECHADO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E3487C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BOLSA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22134E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</w:t>
            </w:r>
          </w:p>
        </w:tc>
      </w:tr>
      <w:tr w14:paraId="796828D7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0239E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33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4B0D00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GLICOSE 25% AMP C/10 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C4DDF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388ED1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47170E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6B6E97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34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C35A53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GLICOSE 50% 10 ML.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E530D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C50964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18000</w:t>
            </w:r>
          </w:p>
        </w:tc>
      </w:tr>
      <w:tr w14:paraId="6ED89B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6489D5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35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1A7AC6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HIDRALAZINA 20 MG - 1 ML.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DA580A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26F1D3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0A4A20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921EB0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C58146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MIDAZOLAM 15 MG/3 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39F132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6B1859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16A36152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36129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37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CF275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MORFINA 10MG/ML -  1 ML (AMPOLA)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EAFE63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D675E6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  <w:tr w14:paraId="478ABD65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200B0F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38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1C5159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OMEPRAZOL 40 MG. ampola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1E53F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258A6A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38F57805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6EE0B2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39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623165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ONDANSETRONA, CLORIDRATO 8MG/4ML AMP 4ML - SOLUCAO INJETAVEL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7E0D5A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4DA2D3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4B220E2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3A91D6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40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BA73CE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PROPOFOL 10 MG/ML - 20ML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D54401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77DBC7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31A3A7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F4AAEB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41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20AD26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PROPOFOL 10 MG/ML - 50ML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AFAA1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599EBC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</w:t>
            </w:r>
          </w:p>
        </w:tc>
      </w:tr>
      <w:tr w14:paraId="2C879A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E7A66E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42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ABDABD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PANTOPRAZOL 40MG - FRASCO/AMPOLA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03476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FRASCO/AMPOLA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70358F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</w:t>
            </w:r>
          </w:p>
        </w:tc>
      </w:tr>
      <w:tr w14:paraId="1FBADDC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BC787B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43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703D11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TRAMADOL 50MG COMPRIMIDO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83D5A3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6D95E7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5A36967D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CE3B47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44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9C3180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TRAMADOL, CLORIDRATO DE 50 MG/ML - 1ML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ABCCF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9EA952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6B9E7A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5E46FD0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45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43ACA0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TRAMADOL 50mg/mL 2mL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B3A0A1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07E22A2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3000</w:t>
            </w:r>
          </w:p>
        </w:tc>
      </w:tr>
      <w:tr w14:paraId="228F8316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64759B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46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7BF02C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VASELINA 30G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2B31C8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FF27F9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38BB3510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E8EB73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47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DAE4BD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BUDESONIDA PARA NEBULIZACAO 0,25 MG/ML - 2 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E5D29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944FBC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</w:t>
            </w:r>
          </w:p>
        </w:tc>
      </w:tr>
      <w:tr w14:paraId="4A69FBEE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1DE465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B02968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CLORETO DE SODIO 20%  - AMPOLA 10ML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2C2A05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3294F4D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767734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4467954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49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79CB85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CLORETO DE POTASSIO 10%  - AMPOLA 10ML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E617FE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690527E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16000</w:t>
            </w:r>
          </w:p>
        </w:tc>
      </w:tr>
      <w:tr w14:paraId="4D1C83C6">
        <w:tblPrEx>
          <w:shd w:val="clear" w:color="auto" w:fill="F1F1F1" w:themeFill="background2" w:themeFillShade="F2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2835C49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50</w:t>
            </w:r>
          </w:p>
        </w:tc>
        <w:tc>
          <w:tcPr>
            <w:tcW w:w="6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1BD5DFC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CLORETO DE POTASSIO 19,1% - AMPOLA 10ML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DC6E4F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2" w:themeFillShade="F2"/>
            <w:vAlign w:val="center"/>
          </w:tcPr>
          <w:p w14:paraId="768B1B3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</w:tbl>
    <w:p w14:paraId="6E5359DB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5.4. Das Amostras:</w:t>
      </w:r>
    </w:p>
    <w:p w14:paraId="10623BC9">
      <w:pPr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Não é necessário envio de amostras para a presente solicitação.</w:t>
      </w:r>
    </w:p>
    <w:p w14:paraId="7C5B4FE7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0B9D912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DE PAGAMENTO:</w:t>
      </w:r>
    </w:p>
    <w:p w14:paraId="0D43C234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4629E8E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CONDIÇÕES DO RECEBIMENTO DO OBJETO:</w:t>
      </w:r>
    </w:p>
    <w:p w14:paraId="76B96E78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2FD5D669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3E0D70A7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4FDA9C0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 SANÇÕES PELO INADIMPLEMENTO:</w:t>
      </w:r>
    </w:p>
    <w:p w14:paraId="4CD8B920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5E184BC5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49B8FBAB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6319714E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793769B0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59DC98E5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6490A73A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2A8E5742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9. DA DOTAÇÃO ORÇAMENTARIA:</w:t>
      </w:r>
    </w:p>
    <w:p w14:paraId="33F05863">
      <w:pPr>
        <w:ind w:left="357" w:firstLine="2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61CDE6CC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4513D6A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10. OBRIGAÇOES DA CONTRATADA:</w:t>
      </w:r>
    </w:p>
    <w:p w14:paraId="57DF388F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Executar fielmente o contrato, de acordo com o presente documento – </w:t>
      </w:r>
      <w:r>
        <w:rPr>
          <w:rFonts w:cs="Arial"/>
          <w:b/>
          <w:color w:val="000000"/>
          <w:u w:val="single"/>
          <w:lang w:eastAsia="pt-BR"/>
        </w:rPr>
        <w:t>As validades dos medicamentos e insumos NÃO poderá ser inferior  à  12 (doze) meses de prazo,  no ato da entrega dos itens</w:t>
      </w:r>
      <w:r>
        <w:rPr>
          <w:rFonts w:cs="Arial"/>
          <w:color w:val="000000"/>
          <w:lang w:eastAsia="pt-BR"/>
        </w:rPr>
        <w:t>;</w:t>
      </w:r>
    </w:p>
    <w:p w14:paraId="2958C6FE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0D2269E7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6ED2B13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11. OBRIGAÇÕES DO CONTRATANTE:</w:t>
      </w:r>
    </w:p>
    <w:p w14:paraId="3FBA8CEC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10F3A80A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4AE5CC3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0D1DFC72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084A33B1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4049542D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7A1BD100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12. FISCALIZAÇÃO:</w:t>
      </w:r>
    </w:p>
    <w:p w14:paraId="1F685E7D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13A83638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35DA6FA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Forma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10800"/>
                            <a:gd name="A2" fmla="val 10800"/>
                            <a:gd name="A3" fmla="val 0"/>
                            <a:gd name="G0" fmla="+- 21600 0 0"/>
                            <a:gd name="G1" fmla="+- A2 0 0"/>
                            <a:gd name="G2" fmla="+- A1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xT" fmla="*/ 0 h 21600"/>
                          </a:gdLst>
                          <a:ahLst/>
                          <a:cxnLst/>
                          <a:rect l="G5" t="txT" r="G6" b="G8"/>
                          <a:pathLst>
                            <a:path w="21600" h="21600">
                              <a:moveTo>
                                <a:pt x="0" y="G3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Forma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FtLW1vQAAAA&#10;BQEAAA8AAAAAAAAAAQAgAAAAIgAAAGRycy9kb3ducmV2LnhtbFBLAQIUABQAAAAIAIdO4kDrjybJ&#10;CQMAAM8HAAAOAAAAAAAAAAEAIAAAAB8BAABkcnMvZTJvRG9jLnhtbFBLBQYAAAAABgAGAFkBAACa&#10;BgAAAAA=&#10;" path="m0,10800l5400,10800,5400,0,16200,0,16200,10800,21600,10800,10800,21600x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13. EXIGÊNCIA DE DOCUMENTAÇÃO OBRIGATÓRIA:</w:t>
      </w:r>
    </w:p>
    <w:p w14:paraId="0EB39DF0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3CFA733D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11CB24DE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523B05EC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2602865</wp:posOffset>
            </wp:positionH>
            <wp:positionV relativeFrom="margin">
              <wp:posOffset>6330315</wp:posOffset>
            </wp:positionV>
            <wp:extent cx="937260" cy="542925"/>
            <wp:effectExtent l="57150" t="38100" r="34290" b="28575"/>
            <wp:wrapSquare wrapText="bothSides"/>
            <wp:docPr id="1" name="Imagem 1" descr="Z:\Debora\Debora\ASS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Z:\Debora\Debora\ASS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</a:effectLst>
                    <a:scene3d>
                      <a:camera prst="orthographic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07526A62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067F773B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522CF87D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0999D50E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</w:t>
      </w:r>
    </w:p>
    <w:p w14:paraId="58DA813D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8CFC9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0DC63FD3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2F06D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35DA6527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0" t="0" r="0" b="0"/>
              <wp:wrapNone/>
              <wp:docPr id="3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685" cy="23685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wrap="none" anchor="ctr" anchorCtr="0" upright="1"/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coordsize="1924685,236855" o:allowincell="f" o:gfxdata="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cvxw2wAAAA4BAAAPAAAAAAAAAAEAIAAAACIAAABkcnMvZG93bnJldi54bWxQSwECFAAUAAAA&#10;CACHTuJA74UuuOsBAABABAAADgAAAAAAAAABACAAAAAqAQAAZHJzL2Uyb0RvYy54bWxQSwUGAAAA&#10;AAYABgBZAQAAhwUAAAAA&#10;" path="m0,0l-127,0,-127,-127,0,-127x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661DF">
    <w:pPr>
      <w:jc w:val="center"/>
      <w:rPr>
        <w:rFonts w:eastAsia="Calibri"/>
        <w:sz w:val="16"/>
      </w:rPr>
    </w:pPr>
  </w:p>
  <w:p w14:paraId="78A2F943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5086E5C1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37763E3E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74DE7E1F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22DECFE2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622857D7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9"/>
  <w:autoHyphenation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8"/>
    <w:rsid w:val="000264AE"/>
    <w:rsid w:val="00033407"/>
    <w:rsid w:val="00074AC6"/>
    <w:rsid w:val="000873E4"/>
    <w:rsid w:val="00097C68"/>
    <w:rsid w:val="000B39EB"/>
    <w:rsid w:val="000D4137"/>
    <w:rsid w:val="0011403E"/>
    <w:rsid w:val="0013148F"/>
    <w:rsid w:val="00131B9F"/>
    <w:rsid w:val="00155162"/>
    <w:rsid w:val="001E63C3"/>
    <w:rsid w:val="002019E6"/>
    <w:rsid w:val="00201A83"/>
    <w:rsid w:val="002349BD"/>
    <w:rsid w:val="00240E3A"/>
    <w:rsid w:val="00251CC3"/>
    <w:rsid w:val="002540BD"/>
    <w:rsid w:val="00365AC6"/>
    <w:rsid w:val="003C58A9"/>
    <w:rsid w:val="003F5ABC"/>
    <w:rsid w:val="00404AF8"/>
    <w:rsid w:val="004171E4"/>
    <w:rsid w:val="00425B45"/>
    <w:rsid w:val="0045013F"/>
    <w:rsid w:val="00455757"/>
    <w:rsid w:val="004B0F10"/>
    <w:rsid w:val="004B7487"/>
    <w:rsid w:val="005B1D92"/>
    <w:rsid w:val="005B51C2"/>
    <w:rsid w:val="005E35BF"/>
    <w:rsid w:val="00632AF5"/>
    <w:rsid w:val="00651BFB"/>
    <w:rsid w:val="00677B26"/>
    <w:rsid w:val="006E3A40"/>
    <w:rsid w:val="00727B4E"/>
    <w:rsid w:val="007A7D6E"/>
    <w:rsid w:val="007F5F04"/>
    <w:rsid w:val="00873A2A"/>
    <w:rsid w:val="008B7CAD"/>
    <w:rsid w:val="008C297A"/>
    <w:rsid w:val="00930947"/>
    <w:rsid w:val="0093411E"/>
    <w:rsid w:val="009D5184"/>
    <w:rsid w:val="009E09A8"/>
    <w:rsid w:val="00A02F63"/>
    <w:rsid w:val="00A24A01"/>
    <w:rsid w:val="00A75A38"/>
    <w:rsid w:val="00A9094B"/>
    <w:rsid w:val="00AB4BA2"/>
    <w:rsid w:val="00AD3427"/>
    <w:rsid w:val="00B000E7"/>
    <w:rsid w:val="00B22545"/>
    <w:rsid w:val="00B27AC2"/>
    <w:rsid w:val="00C13798"/>
    <w:rsid w:val="00C17660"/>
    <w:rsid w:val="00C32026"/>
    <w:rsid w:val="00C70892"/>
    <w:rsid w:val="00D87228"/>
    <w:rsid w:val="00DC5B42"/>
    <w:rsid w:val="00E02F32"/>
    <w:rsid w:val="00E113B1"/>
    <w:rsid w:val="00E73CA9"/>
    <w:rsid w:val="00EF420C"/>
    <w:rsid w:val="00F24B3E"/>
    <w:rsid w:val="00F76CA7"/>
    <w:rsid w:val="00F95662"/>
    <w:rsid w:val="00FB73A6"/>
    <w:rsid w:val="00FD3FAE"/>
    <w:rsid w:val="1D0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5</Pages>
  <Words>1142</Words>
  <Characters>6172</Characters>
  <Lines>51</Lines>
  <Paragraphs>14</Paragraphs>
  <TotalTime>8</TotalTime>
  <ScaleCrop>false</ScaleCrop>
  <LinksUpToDate>false</LinksUpToDate>
  <CharactersWithSpaces>7300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2024-03-27T19:58:00Z</dcterms:created>
  <dc:creator>ssagab03</dc:creator>
  <cp:lastModifiedBy>jessyca.ferreira</cp:lastModifiedBy>
  <cp:lastPrinted>2024-03-27T20:00:00Z</cp:lastPrinted>
  <dcterms:modified xsi:type="dcterms:W3CDTF">2025-02-27T11:19:04Z</dcterms:modified>
  <dc:title>SECRETARIA MUNICIPAL DE SAÚDE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113AE973D952411A8051CD84C8866DF8_13</vt:lpwstr>
  </property>
</Properties>
</file>