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DF951">
      <w:pPr>
        <w:spacing w:beforeAutospacing="1" w:afterAutospacing="1"/>
        <w:jc w:val="center"/>
        <w:outlineLvl w:val="2"/>
        <w:rPr>
          <w:rFonts w:ascii="Calibri" w:hAnsi="Calibri" w:cs="Arial"/>
          <w:sz w:val="22"/>
          <w:szCs w:val="22"/>
          <w:u w:val="single"/>
        </w:rPr>
      </w:pPr>
      <w:bookmarkStart w:id="0" w:name="_GoBack"/>
      <w:bookmarkEnd w:id="0"/>
      <w:r>
        <w:rPr>
          <w:rFonts w:ascii="Calibri" w:hAnsi="Calibri" w:cs="Arial"/>
          <w:b/>
          <w:sz w:val="22"/>
          <w:szCs w:val="22"/>
          <w:u w:val="single"/>
          <w:lang w:eastAsia="ar-SA"/>
        </w:rPr>
        <w:t>TERMO DE REFERÊNCIA</w:t>
      </w:r>
    </w:p>
    <w:p w14:paraId="4D9286A5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As especificações descritas neste documento têm como objetivo estabelecer as diretrizes para orientar as empresas interessadas no fornecimento/prestação de serviço para a Secretaria Municipal de Saúde/SMS/PMP, a fim de subsidiar a proposta apresentada.</w:t>
      </w:r>
    </w:p>
    <w:p w14:paraId="09444947">
      <w:pPr>
        <w:jc w:val="both"/>
        <w:rPr>
          <w:rFonts w:ascii="Calibri" w:hAnsi="Calibri" w:cs="Arial"/>
          <w:sz w:val="22"/>
          <w:szCs w:val="22"/>
        </w:rPr>
      </w:pPr>
    </w:p>
    <w:p w14:paraId="1BBBDA66">
      <w:pPr>
        <w:pStyle w:val="38"/>
        <w:numPr>
          <w:ilvl w:val="0"/>
          <w:numId w:val="1"/>
        </w:numPr>
        <w:spacing w:after="240" w:line="240" w:lineRule="auto"/>
        <w:ind w:left="924" w:hanging="357"/>
        <w:jc w:val="both"/>
        <w:rPr>
          <w:rFonts w:cs="Arial"/>
        </w:rPr>
      </w:pPr>
      <w:r>
        <w:rPr>
          <w:rFonts w:cs="Arial"/>
          <w:b/>
        </w:rPr>
        <w:t>JUSTIFICATIVA:</w:t>
      </w:r>
    </w:p>
    <w:p w14:paraId="10B637F9">
      <w:pPr>
        <w:spacing w:after="120" w:line="276" w:lineRule="auto"/>
        <w:ind w:firstLine="567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 Município, por intermédio da Secretaria Municipal de Saúde, cumprindo uma das prioridades do governo municipal através da SMS, tendo como necessidade a aquisição de </w:t>
      </w:r>
      <w:r>
        <w:rPr>
          <w:rFonts w:ascii="Calibri" w:hAnsi="Calibri" w:cs="Arial"/>
          <w:b/>
          <w:bCs/>
          <w:sz w:val="22"/>
          <w:szCs w:val="22"/>
        </w:rPr>
        <w:t>MEDICAMENTOS NÃO ADQUIRIDOS NO PROC.47935/23 (PE 026/24) PROC. 56836/23 (PE 030/24) PROC. 63105/23 (PE 31/24), USO HOSPITALAR E ATENÇÃO BASICA - 12 MESES DE CONSUMO – SAC 242/24 – REGISTRO DE PREÇOS</w:t>
      </w:r>
    </w:p>
    <w:p w14:paraId="398E18C9">
      <w:pPr>
        <w:spacing w:after="120" w:line="276" w:lineRule="auto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Desta forma, por intermédio da Secretaria Municipal de Saúde, vimos solicitar a aquisição/contratação do objeto abaixo:</w:t>
      </w:r>
    </w:p>
    <w:p w14:paraId="1B599BE2">
      <w:pPr>
        <w:spacing w:after="120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2. OBJETO:</w:t>
      </w:r>
    </w:p>
    <w:p w14:paraId="57BDDDCE">
      <w:pPr>
        <w:spacing w:after="120"/>
        <w:ind w:firstLine="567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MEDICAMENTOS DE USO HOSPITALAR E ATENÇÃO BASICA - 12 MESES DE CONSUMO – SAC 242/24 – REGISTRO DE PREÇOS</w:t>
      </w:r>
    </w:p>
    <w:p w14:paraId="29F30439">
      <w:pPr>
        <w:spacing w:after="120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3. PRAZOS:</w:t>
      </w:r>
    </w:p>
    <w:p w14:paraId="6AF5D71F">
      <w:pPr>
        <w:pStyle w:val="44"/>
        <w:widowControl/>
        <w:spacing w:after="120"/>
        <w:rPr>
          <w:rFonts w:ascii="Calibri" w:hAnsi="Calibri" w:eastAsia="Times New Roman" w:cs="Arial"/>
          <w:sz w:val="22"/>
          <w:szCs w:val="22"/>
        </w:rPr>
      </w:pPr>
      <w:r>
        <w:rPr>
          <w:rFonts w:ascii="Calibri" w:hAnsi="Calibri" w:eastAsia="Times New Roman" w:cs="Arial"/>
          <w:b/>
          <w:bCs/>
          <w:sz w:val="22"/>
          <w:szCs w:val="22"/>
        </w:rPr>
        <w:tab/>
      </w:r>
      <w:r>
        <w:rPr>
          <w:rFonts w:ascii="Calibri" w:hAnsi="Calibri" w:eastAsia="Times New Roman" w:cs="Arial"/>
          <w:bCs/>
          <w:sz w:val="22"/>
          <w:szCs w:val="22"/>
        </w:rPr>
        <w:t xml:space="preserve">O prazo de entrega ou execução dos serviços será de </w:t>
      </w:r>
      <w:r>
        <w:rPr>
          <w:rFonts w:ascii="Calibri" w:hAnsi="Calibri" w:eastAsia="Times New Roman" w:cs="Arial"/>
          <w:b/>
          <w:bCs/>
          <w:sz w:val="22"/>
          <w:szCs w:val="22"/>
        </w:rPr>
        <w:t>10 dias (DEZ</w:t>
      </w:r>
      <w:r>
        <w:rPr>
          <w:rFonts w:ascii="Calibri" w:hAnsi="Calibri" w:eastAsia="Times New Roman" w:cs="Arial"/>
          <w:b/>
          <w:spacing w:val="10"/>
          <w:sz w:val="22"/>
          <w:szCs w:val="22"/>
        </w:rPr>
        <w:t xml:space="preserve"> DIAS UTEIS)</w:t>
      </w:r>
      <w:r>
        <w:rPr>
          <w:rFonts w:ascii="Calibri" w:hAnsi="Calibri" w:eastAsia="Times New Roman" w:cs="Arial"/>
          <w:b/>
          <w:bCs/>
          <w:spacing w:val="10"/>
          <w:sz w:val="22"/>
          <w:szCs w:val="22"/>
        </w:rPr>
        <w:t>,</w:t>
      </w:r>
      <w:r>
        <w:rPr>
          <w:rFonts w:ascii="Calibri" w:hAnsi="Calibri" w:eastAsia="Times New Roman" w:cs="Arial"/>
          <w:b/>
          <w:bCs/>
          <w:color w:val="FF0000"/>
          <w:spacing w:val="10"/>
          <w:sz w:val="22"/>
          <w:szCs w:val="22"/>
        </w:rPr>
        <w:t xml:space="preserve"> </w:t>
      </w:r>
      <w:r>
        <w:rPr>
          <w:rFonts w:ascii="Calibri" w:hAnsi="Calibri" w:eastAsia="Times New Roman" w:cs="Arial"/>
          <w:bCs/>
          <w:sz w:val="22"/>
          <w:szCs w:val="22"/>
        </w:rPr>
        <w:t>conforme Termo de Contrato</w:t>
      </w:r>
      <w:r>
        <w:rPr>
          <w:rFonts w:ascii="Calibri" w:hAnsi="Calibri" w:eastAsia="Times New Roman" w:cs="Arial"/>
          <w:sz w:val="22"/>
          <w:szCs w:val="22"/>
        </w:rPr>
        <w:t>, a partir da sua assinatura ou do recebimento da Solicitação de Autorização de Fornecimento (SAF), acompanhada da(s) Nota(s) de Empenho(s) correspondente(s).</w:t>
      </w:r>
    </w:p>
    <w:p w14:paraId="744AA6FC">
      <w:pPr>
        <w:pStyle w:val="44"/>
        <w:ind w:firstLine="567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4. CRITÉRIO DE JULGAMENTO</w:t>
      </w:r>
    </w:p>
    <w:p w14:paraId="6EF512F2">
      <w:pPr>
        <w:pStyle w:val="44"/>
        <w:ind w:firstLine="567"/>
        <w:rPr>
          <w:rFonts w:ascii="Calibri" w:hAnsi="Calibri" w:cs="Calibri"/>
          <w:sz w:val="22"/>
          <w:u w:val="single"/>
        </w:rPr>
      </w:pPr>
      <w:r>
        <w:rPr>
          <w:rFonts w:ascii="Calibri" w:hAnsi="Calibri" w:cs="Calibri"/>
          <w:sz w:val="22"/>
          <w:u w:val="single"/>
        </w:rPr>
        <w:t>Menor preço por item</w:t>
      </w:r>
    </w:p>
    <w:p w14:paraId="4AE4C26D">
      <w:pPr>
        <w:pStyle w:val="44"/>
        <w:widowControl/>
        <w:spacing w:after="120"/>
        <w:rPr>
          <w:rFonts w:ascii="Calibri" w:hAnsi="Calibri" w:cs="Arial"/>
          <w:sz w:val="22"/>
          <w:szCs w:val="22"/>
        </w:rPr>
      </w:pPr>
    </w:p>
    <w:p w14:paraId="4503BAD2">
      <w:pPr>
        <w:pStyle w:val="38"/>
        <w:spacing w:after="120" w:line="240" w:lineRule="auto"/>
        <w:ind w:left="567"/>
        <w:jc w:val="both"/>
        <w:rPr>
          <w:rFonts w:cs="Arial"/>
        </w:rPr>
      </w:pPr>
      <w:r>
        <w:rPr>
          <w:rFonts w:cs="Arial"/>
          <w:b/>
        </w:rPr>
        <w:t>5. MODO E LOCAL DO FORNECIMENTO:</w:t>
      </w:r>
    </w:p>
    <w:p w14:paraId="3B22E15B">
      <w:pPr>
        <w:pStyle w:val="38"/>
        <w:spacing w:after="120" w:line="240" w:lineRule="auto"/>
        <w:ind w:left="567"/>
        <w:jc w:val="both"/>
        <w:rPr>
          <w:rFonts w:cs="Arial"/>
          <w:b/>
        </w:rPr>
      </w:pPr>
    </w:p>
    <w:p w14:paraId="442C3C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5.1. A entrega dos insumos e/ou execução dos serviços serão efetuadas:</w:t>
      </w:r>
    </w:p>
    <w:p w14:paraId="7017B9D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120"/>
        <w:ind w:left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A entrega ou execução dos serviços serão efetuadas à </w:t>
      </w:r>
      <w:r>
        <w:rPr>
          <w:rFonts w:ascii="Calibri" w:hAnsi="Calibri" w:cs="Arial"/>
          <w:sz w:val="22"/>
          <w:szCs w:val="22"/>
        </w:rPr>
        <w:t xml:space="preserve">Rua Quissamã, 1931 – Condomínio Industrial, 1931 Galpão 6B - Bairro: Quissamã - CEP: 25615- 531, de </w:t>
      </w:r>
      <w:r>
        <w:rPr>
          <w:rFonts w:ascii="Calibri" w:hAnsi="Calibri" w:cs="Arial"/>
          <w:sz w:val="22"/>
          <w:szCs w:val="22"/>
          <w:u w:val="single"/>
        </w:rPr>
        <w:t>Segunda à Sexta Feira de 8.00 as 16.00h</w:t>
      </w:r>
      <w:r>
        <w:rPr>
          <w:rFonts w:ascii="Calibri" w:hAnsi="Calibri" w:cs="Arial"/>
          <w:sz w:val="22"/>
          <w:szCs w:val="22"/>
        </w:rPr>
        <w:t xml:space="preserve">  - TEL. (24) 22216595</w:t>
      </w:r>
    </w:p>
    <w:p w14:paraId="5940E0BE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5.2. Prazo e validade da proposta:</w:t>
      </w:r>
    </w:p>
    <w:p w14:paraId="28FAB410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O prazo da proposta não poderá ser inferior a 60 (sessenta) dias.</w:t>
      </w:r>
    </w:p>
    <w:p w14:paraId="34DA97E4">
      <w:pPr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5.3. Descrição detalhada do produto e ou serviço:</w:t>
      </w:r>
    </w:p>
    <w:p w14:paraId="4101C3A5">
      <w:pPr>
        <w:jc w:val="both"/>
        <w:rPr>
          <w:rFonts w:ascii="Calibri" w:hAnsi="Calibri" w:cs="Arial"/>
          <w:b/>
          <w:bCs/>
          <w:sz w:val="22"/>
          <w:szCs w:val="22"/>
        </w:rPr>
      </w:pPr>
    </w:p>
    <w:tbl>
      <w:tblPr>
        <w:tblStyle w:val="3"/>
        <w:tblW w:w="10105" w:type="dxa"/>
        <w:jc w:val="center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589"/>
        <w:gridCol w:w="6410"/>
        <w:gridCol w:w="1732"/>
        <w:gridCol w:w="1374"/>
      </w:tblGrid>
      <w:tr w14:paraId="0674453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BBB652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Item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F24B60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Descrição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E6806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Unidade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7C1F22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Quantidade</w:t>
            </w:r>
          </w:p>
        </w:tc>
      </w:tr>
      <w:tr w14:paraId="5E4AFD9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58F6662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957818F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CLORIDRATO DE CETAMINA 50MG/ML - 10ML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D12417D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FRASCO/AMPOLA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0671987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</w:t>
            </w:r>
          </w:p>
        </w:tc>
      </w:tr>
      <w:tr w14:paraId="6DCAF12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DEFC134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1D3D3EF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AMINOFILINA 240 MG. AMP C/10 ML.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6767554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AMPOLA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97FFAF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600</w:t>
            </w:r>
          </w:p>
        </w:tc>
      </w:tr>
      <w:tr w14:paraId="635EEE2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D932E5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265246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CARVAO ATIVADO 25 GR. (MANIPULADO)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D328617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PACOTE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64F182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72</w:t>
            </w:r>
          </w:p>
        </w:tc>
      </w:tr>
      <w:tr w14:paraId="219E97D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BE43C44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DE8E994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CODEINA 30 MG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B558352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COMPRIMIDO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A9BAF3D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4400</w:t>
            </w:r>
          </w:p>
        </w:tc>
      </w:tr>
      <w:tr w14:paraId="39FDFA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C3312E7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5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E6909ED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METILERGOMETRINA 0,2MG/ML AMPOLA 1ML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EAE930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AMPOLA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A4C3E4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300</w:t>
            </w:r>
          </w:p>
        </w:tc>
      </w:tr>
      <w:tr w14:paraId="3190677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F7F7F4D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6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9438A6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TENECTEPLASE 40MG (TIPO METALYSE)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F21A50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AMPOLA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8C4D0EF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</w:t>
            </w:r>
          </w:p>
        </w:tc>
      </w:tr>
      <w:tr w14:paraId="5A043D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BDE502C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7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AB658D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PAPAINA A 2% (POTE C/200 g)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07AF410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POTE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7F2005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240</w:t>
            </w:r>
          </w:p>
        </w:tc>
      </w:tr>
      <w:tr w14:paraId="284B5E6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FC9C1DC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8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A1EF74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PAPAINA A 4% (POTE C/200 g)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10231D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POTE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C3F0263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360</w:t>
            </w:r>
          </w:p>
        </w:tc>
      </w:tr>
      <w:tr w14:paraId="1ADA022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E71F4A0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9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4C2A273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PAPAINA A 10% (POTE C/200 g)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9DEE73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POTE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759608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360</w:t>
            </w:r>
          </w:p>
        </w:tc>
      </w:tr>
      <w:tr w14:paraId="4B4FEF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89242F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10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E20475C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AMINOFILINA 100 MG.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75E8CC2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COMPRIMIDO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14ABD6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480</w:t>
            </w:r>
          </w:p>
        </w:tc>
      </w:tr>
      <w:tr w14:paraId="1B24B17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4B63D6F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11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E5FAF93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COLESTIRAMINA 4 GR.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7DF9BF4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ENVELOPE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86EBBBB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150</w:t>
            </w:r>
          </w:p>
        </w:tc>
      </w:tr>
      <w:tr w14:paraId="42AC99E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9B9662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8915917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DINITRATO DE ISOSSORBIDA 10 MG.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B13762F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COMPRIMIDO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4A9D712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1080</w:t>
            </w:r>
          </w:p>
        </w:tc>
      </w:tr>
      <w:tr w14:paraId="4D6B848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2989D30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13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3D320B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ETILEFRINA 10 MG/1ML - AMPOLA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59AE413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AMPOLA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22C6D5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240</w:t>
            </w:r>
          </w:p>
        </w:tc>
      </w:tr>
      <w:tr w14:paraId="0BE21C7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0C8651F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14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2DC1894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FOSFATO DE POTÁSSIO 2meq/mL - AMPOLA 10ML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0A78FB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AMPOLA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741A19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600</w:t>
            </w:r>
          </w:p>
        </w:tc>
      </w:tr>
      <w:tr w14:paraId="1033184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C69E00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15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4C5847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HALOPERIDOL GOTAS - FRASCO 30ML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8772A4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E9E0BA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240</w:t>
            </w:r>
          </w:p>
        </w:tc>
      </w:tr>
      <w:tr w14:paraId="61FF133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336742C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16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B136772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HIDROXIDO DE FERRO III 5 ML POLIMALTOSADO - IV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274416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AMPOLA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0FCEC3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600</w:t>
            </w:r>
          </w:p>
        </w:tc>
      </w:tr>
      <w:tr w14:paraId="4687210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190C38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17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9AAD64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INSULINA HUMANA 70/30 - FRASCO 10ML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9EA7A3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3607577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650</w:t>
            </w:r>
          </w:p>
        </w:tc>
      </w:tr>
      <w:tr w14:paraId="55C2257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90A2E3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18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69B70FC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MORFINA 30 MG, SULFATO DE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44A4332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COMPRIMIDO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000B23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720</w:t>
            </w:r>
          </w:p>
        </w:tc>
      </w:tr>
      <w:tr w14:paraId="3E1635F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4247AF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19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68DE75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PARACETAMOL + CODEINA 7,5 MG.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CF0C262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COMPRIMIDO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B5DF1E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1800</w:t>
            </w:r>
          </w:p>
        </w:tc>
      </w:tr>
      <w:tr w14:paraId="2C175DE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521E32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20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015455C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PENTOXIFILINA 5 ML.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B12B8C2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AMPOLA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846B840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600</w:t>
            </w:r>
          </w:p>
        </w:tc>
      </w:tr>
      <w:tr w14:paraId="6C462B4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77AE514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21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0B2E88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PROPILTIOURACIL 100 MG.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A8FB96B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COMPRIMIDO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6C91C0F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720</w:t>
            </w:r>
          </w:p>
        </w:tc>
      </w:tr>
      <w:tr w14:paraId="7848124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AF7866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22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4ED0DFD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SALBUTAMOL 2,5 MG/2,5 ML (TIPO AEROLIN NEBULES) FLACONETE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53E8F8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FLACONETE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C1622F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360</w:t>
            </w:r>
          </w:p>
        </w:tc>
      </w:tr>
      <w:tr w14:paraId="3988093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FF12E30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23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285DAE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SALBUTAMOL 2mg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42BA64F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COMPRIMIDO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9980F1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240</w:t>
            </w:r>
          </w:p>
        </w:tc>
      </w:tr>
      <w:tr w14:paraId="6116E5D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2D6B310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24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1A0411B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SULFADIAZINA 500 MG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BEE8FE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COMPRIMIDO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A13B51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1800</w:t>
            </w:r>
          </w:p>
        </w:tc>
      </w:tr>
      <w:tr w14:paraId="6AEA5D2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67CECE2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25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1986A4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TIOPENTAL SODICO 1g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F31E6E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8742634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80</w:t>
            </w:r>
          </w:p>
        </w:tc>
      </w:tr>
      <w:tr w14:paraId="0E50DB7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C0466D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26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FEA9057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NITROFURANTOINA 100 MG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4B0169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COMPRIMIDO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25FBFE0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8200</w:t>
            </w:r>
          </w:p>
        </w:tc>
      </w:tr>
      <w:tr w14:paraId="24B1845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F00AEC3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27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83D47B4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BICARBONATO DE SODIO 8,4% AMP. C/10 ML.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1F4AE9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AMPOLA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2D9B2E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3600</w:t>
            </w:r>
          </w:p>
        </w:tc>
      </w:tr>
      <w:tr w14:paraId="524F75D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92FB70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28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68D802D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DESLANOSIDO, 0,4 MG., AMP C/ 2 ml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D7B291F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AMPOLA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8E55DE2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600</w:t>
            </w:r>
          </w:p>
        </w:tc>
      </w:tr>
      <w:tr w14:paraId="6D56A1F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D69025D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29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08C7F47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ACETAZOLAMIDA 250 MG.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8FBAA4C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COMPRIMIDO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9C107D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1200</w:t>
            </w:r>
          </w:p>
        </w:tc>
      </w:tr>
      <w:tr w14:paraId="4658CBF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F9058EC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30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FB027A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CLORETO DE POTASSIO 6% - XAROPE - FRASCO 100ML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3ED39C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ECE95E2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500</w:t>
            </w:r>
          </w:p>
        </w:tc>
      </w:tr>
      <w:tr w14:paraId="74A0917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7961D9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31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4FA4003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PROTAMINA, CLORIDRATO DE - 1000UI/ML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F768D3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AMPOLA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214D79F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</w:t>
            </w:r>
          </w:p>
        </w:tc>
      </w:tr>
      <w:tr w14:paraId="2E02E6E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EF8ECC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32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EA16757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PROXIMETACAINA 0,5% (COLIRIO) - 5ML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106398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6DA412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60</w:t>
            </w:r>
          </w:p>
        </w:tc>
      </w:tr>
      <w:tr w14:paraId="2BD603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0606B6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33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E053F8F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PIRIMETAMINA 25mg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A64356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COMPRIMIDO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16286B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720</w:t>
            </w:r>
          </w:p>
        </w:tc>
      </w:tr>
      <w:tr w14:paraId="6F0DF10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C625E5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34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4C9FA02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MICAFUNGINA 100MG - FRASCO/AMPOLA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38906BB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FRASCO/AMPOLA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AD3EBE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500</w:t>
            </w:r>
          </w:p>
        </w:tc>
      </w:tr>
      <w:tr w14:paraId="58404B0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4E594C2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35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68894E4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ACETILCISTEINA 10% - AMPOLA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0C4D46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AMPOLA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A16657D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8400</w:t>
            </w:r>
          </w:p>
        </w:tc>
      </w:tr>
      <w:tr w14:paraId="5D84B84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58BCEA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36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F836E20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AMPICILINA 500 MG. (AMPOLA)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024A7D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FRASCO/AMPOLA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947409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1200</w:t>
            </w:r>
          </w:p>
        </w:tc>
      </w:tr>
      <w:tr w14:paraId="2C51808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79DFCC0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37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2F61AF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IMIPENEM+ CILASTATINA 500mg.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674EE3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FRASCO/AMPOLA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EE46DB4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12000</w:t>
            </w:r>
          </w:p>
        </w:tc>
      </w:tr>
      <w:tr w14:paraId="5F934F4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DBCE20F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38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2392E9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MICAFUNGINA 50MG - FRASCO/AMPOLA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6BC57B4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FRASCO/AMPOLA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27D64DD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240</w:t>
            </w:r>
          </w:p>
        </w:tc>
      </w:tr>
      <w:tr w14:paraId="4327E8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154F3D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39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31C516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ESPIRAMICINA 1,5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06BE0BF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COMPRIMIDO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599AA53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720</w:t>
            </w:r>
          </w:p>
        </w:tc>
      </w:tr>
      <w:tr w14:paraId="3F49520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D16FDDB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40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615AAC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COMPLEXO "B" 2 ML.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846583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AMPOLA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DB2CC03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12000</w:t>
            </w:r>
          </w:p>
        </w:tc>
      </w:tr>
      <w:tr w14:paraId="012F51D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ADBABB4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41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8571332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CICLOFOSFAMIDA 200MG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F885A47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FRASCO/AMPOLA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CFC2BF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60</w:t>
            </w:r>
          </w:p>
        </w:tc>
      </w:tr>
      <w:tr w14:paraId="7E9105B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F64486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42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53B5FD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PETIDINA 50MG/ML - 2ML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1D8326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AMPOLA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E1173B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300</w:t>
            </w:r>
          </w:p>
        </w:tc>
      </w:tr>
      <w:tr w14:paraId="413AB6C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C9511A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43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DD2005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CLORANFENICOL 1G - FRASCO/AMPOLAl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C64D670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FRASCO/AMPOLA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3835AA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200</w:t>
            </w:r>
          </w:p>
        </w:tc>
      </w:tr>
      <w:tr w14:paraId="5BE599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483BE67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44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D2C266C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VITAMINA C (ACIDO ASCORBICO) 500 MG/5 ML - AMPOLA 5ML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1CACF22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AMPOLA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C79134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6000</w:t>
            </w:r>
          </w:p>
        </w:tc>
      </w:tr>
      <w:tr w14:paraId="07F5153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23A117B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45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8BD5D1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ATROPINA 0,25 MG. AMP. C/1 ML., SULFATO DE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3A95182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AMPOLA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1A8E8BB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6000</w:t>
            </w:r>
          </w:p>
        </w:tc>
      </w:tr>
      <w:tr w14:paraId="700A5E8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03AC8AC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46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A316073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DAPSONA 100MG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34E002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COMPRIMIDO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269CDD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360</w:t>
            </w:r>
          </w:p>
        </w:tc>
      </w:tr>
      <w:tr w14:paraId="060FA3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8D8A44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47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A2305CC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DIPROPIONATO DE BECLOMETASONA 50 MCG - SPRAY NASAL - 200 DOSES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CA219F4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1CAA457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240</w:t>
            </w:r>
          </w:p>
        </w:tc>
      </w:tr>
      <w:tr w14:paraId="69FCD18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10BD59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48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E0E3E8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LEVODOPA 100 MG + CLORIDRATO DE BENSERAZIDA 25 MG DISPERSIVEL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38182C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COMPRIMIDO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A820B6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7200</w:t>
            </w:r>
          </w:p>
        </w:tc>
      </w:tr>
      <w:tr w14:paraId="4246F61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2FEF0CD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49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968AA43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INSULINA ASPART 100U/ML - 3 ML SUSPENSAO INJETAVEL EM SISTEMA DE APLICACAO DESCARTAVEL (FLEXPEN)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F589240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UNIDADE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3EF66C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1800</w:t>
            </w:r>
          </w:p>
        </w:tc>
      </w:tr>
    </w:tbl>
    <w:p w14:paraId="375B14A3">
      <w:pPr>
        <w:spacing w:before="1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5.4. Das Amostras:</w:t>
      </w:r>
    </w:p>
    <w:p w14:paraId="3C3393F9">
      <w:pPr>
        <w:spacing w:after="120" w:line="276" w:lineRule="auto"/>
        <w:ind w:firstLine="709"/>
        <w:rPr>
          <w:rFonts w:ascii="Calibri" w:hAnsi="Calibri"/>
          <w:bCs/>
          <w:sz w:val="22"/>
          <w:szCs w:val="24"/>
        </w:rPr>
      </w:pPr>
      <w:r>
        <w:rPr>
          <w:rFonts w:ascii="Calibri" w:hAnsi="Calibri"/>
          <w:b/>
          <w:bCs/>
          <w:sz w:val="22"/>
          <w:szCs w:val="24"/>
          <w:u w:val="single"/>
        </w:rPr>
        <w:t>Não é necessário envio de amostras para a presente solicitação.</w:t>
      </w:r>
    </w:p>
    <w:p w14:paraId="21C07A5F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6. CONDIÇÕES DE PAGAMENTO:</w:t>
      </w:r>
    </w:p>
    <w:p w14:paraId="702349DA">
      <w:pPr>
        <w:spacing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Os pagamentos serão efetuados em </w:t>
      </w:r>
      <w:r>
        <w:rPr>
          <w:rFonts w:ascii="Calibri" w:hAnsi="Calibri" w:cs="Arial"/>
          <w:b/>
          <w:bCs/>
          <w:sz w:val="22"/>
          <w:szCs w:val="22"/>
        </w:rPr>
        <w:t>30 (trinta) dias</w:t>
      </w:r>
      <w:r>
        <w:rPr>
          <w:rFonts w:ascii="Calibri" w:hAnsi="Calibri" w:cs="Arial"/>
          <w:sz w:val="22"/>
          <w:szCs w:val="22"/>
        </w:rPr>
        <w:t xml:space="preserve"> após o aceite definitivo do objeto, contados do adimplemento das obrigações contratuais.</w:t>
      </w:r>
    </w:p>
    <w:p w14:paraId="14D52B01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7. CONDIÇÕES DO RECEBIMENTO DO OBJETO:</w:t>
      </w:r>
    </w:p>
    <w:p w14:paraId="50DF941D">
      <w:pPr>
        <w:pStyle w:val="38"/>
        <w:numPr>
          <w:ilvl w:val="0"/>
          <w:numId w:val="2"/>
        </w:num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 O recebimento provisório do objeto do contrato será feito no ato da entrega dos insumos e/ou da prestação dos serviços.</w:t>
      </w:r>
    </w:p>
    <w:p w14:paraId="2C41F2B4">
      <w:pPr>
        <w:pStyle w:val="38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 xml:space="preserve"> O recebimento definitivo será efetuado por servidor (es) designado(s),</w:t>
      </w:r>
      <w:r>
        <w:rPr>
          <w:rFonts w:cs="Arial"/>
          <w:b/>
          <w:bCs/>
        </w:rPr>
        <w:t xml:space="preserve"> mediante ateste</w:t>
      </w:r>
      <w:r>
        <w:rPr>
          <w:rFonts w:cs="Arial"/>
        </w:rPr>
        <w:t>, conforme artigo 140 inciso I alínea “b” e inciso II alínea “b” da Lei 14.133/2021.</w:t>
      </w:r>
    </w:p>
    <w:p w14:paraId="7908B8E1">
      <w:pPr>
        <w:pStyle w:val="38"/>
        <w:spacing w:after="120" w:line="240" w:lineRule="auto"/>
        <w:ind w:left="714"/>
        <w:jc w:val="both"/>
        <w:rPr>
          <w:rFonts w:cs="Arial"/>
        </w:rPr>
      </w:pPr>
    </w:p>
    <w:p w14:paraId="5EA9999B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8. SANÇÕES PELO INADIMPLEMENTO:</w:t>
      </w:r>
    </w:p>
    <w:p w14:paraId="2B76B18B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Pelo inadimplemento total ou parcial na execução do objeto, o contratado sujeitar-se-á às seguintes sanções:</w:t>
      </w:r>
    </w:p>
    <w:p w14:paraId="0385D9FF">
      <w:pPr>
        <w:pStyle w:val="38"/>
        <w:numPr>
          <w:ilvl w:val="0"/>
          <w:numId w:val="3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Multa de 20% (vinte por cento) do valor global atualizado do objeto da contratação;</w:t>
      </w:r>
    </w:p>
    <w:p w14:paraId="4108BD77">
      <w:pPr>
        <w:pStyle w:val="38"/>
        <w:numPr>
          <w:ilvl w:val="0"/>
          <w:numId w:val="3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Suspensão temporária de participação em licitação e impedimento de contratar com a Administração pelo prazo de 02 (dois) anos;</w:t>
      </w:r>
    </w:p>
    <w:p w14:paraId="0759500E">
      <w:pPr>
        <w:pStyle w:val="38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>Declaração de inidoneidade para licitar ou contratar com a Administração Municipal direta e indireta, até que seja promovida a reabilitação do licitante perante a municipalidade.</w:t>
      </w:r>
    </w:p>
    <w:p w14:paraId="0860EA0D">
      <w:pPr>
        <w:pStyle w:val="38"/>
        <w:spacing w:after="120" w:line="240" w:lineRule="auto"/>
        <w:ind w:left="714"/>
        <w:jc w:val="both"/>
        <w:rPr>
          <w:rFonts w:cs="Arial"/>
        </w:rPr>
      </w:pPr>
    </w:p>
    <w:p w14:paraId="08FFBAB6">
      <w:pPr>
        <w:pStyle w:val="38"/>
        <w:spacing w:after="120" w:line="240" w:lineRule="auto"/>
        <w:ind w:left="0"/>
        <w:jc w:val="both"/>
        <w:rPr>
          <w:rFonts w:cs="Arial"/>
        </w:rPr>
      </w:pPr>
      <w:r>
        <w:rPr>
          <w:rFonts w:cs="Arial"/>
          <w:b/>
          <w:bCs/>
        </w:rPr>
        <w:t xml:space="preserve">        </w:t>
      </w:r>
      <w:r>
        <w:rPr>
          <w:rFonts w:cs="Arial"/>
        </w:rPr>
        <w:t>A aplicação da multa acima prevista não exime a Contratada de responder por perdas e danos causados à Municipalidade, por ação ou omissão, observado o que dispõem os artigos 402 a 405 do Código Civil Brasileiro.</w:t>
      </w:r>
    </w:p>
    <w:p w14:paraId="55AA7E41">
      <w:pPr>
        <w:pStyle w:val="38"/>
        <w:spacing w:after="120" w:line="240" w:lineRule="auto"/>
        <w:ind w:left="0"/>
        <w:jc w:val="both"/>
        <w:rPr>
          <w:rFonts w:cs="Arial"/>
        </w:rPr>
      </w:pPr>
    </w:p>
    <w:p w14:paraId="08BA6EEA">
      <w:pPr>
        <w:pStyle w:val="38"/>
        <w:spacing w:after="120" w:line="240" w:lineRule="auto"/>
        <w:ind w:left="0"/>
        <w:jc w:val="both"/>
        <w:rPr>
          <w:rFonts w:cs="Arial"/>
        </w:rPr>
      </w:pPr>
    </w:p>
    <w:p w14:paraId="733DBEAD">
      <w:pPr>
        <w:spacing w:after="12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9. DA DOTAÇÃO ORÇAMENTARIA:</w:t>
      </w:r>
    </w:p>
    <w:p w14:paraId="22C8F17B">
      <w:pPr>
        <w:ind w:left="357" w:firstLine="21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Conforme elemento de despesa informado pelo Departamento Financeiro da Secretaria Municipal de Saúde.</w:t>
      </w:r>
    </w:p>
    <w:p w14:paraId="11E4AE43">
      <w:pPr>
        <w:ind w:firstLine="567"/>
        <w:jc w:val="both"/>
        <w:rPr>
          <w:rFonts w:ascii="Calibri" w:hAnsi="Calibri" w:cs="Arial"/>
          <w:b/>
          <w:sz w:val="22"/>
          <w:szCs w:val="22"/>
        </w:rPr>
      </w:pPr>
    </w:p>
    <w:p w14:paraId="0CFE0B1F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10. OBRIGAÇOES DA CONTRATADA:</w:t>
      </w:r>
    </w:p>
    <w:p w14:paraId="08FD6262">
      <w:pPr>
        <w:pStyle w:val="38"/>
        <w:numPr>
          <w:ilvl w:val="0"/>
          <w:numId w:val="4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Executar fielmente o contrato, de acordo com o presente documento;</w:t>
      </w:r>
    </w:p>
    <w:p w14:paraId="7BB3ECF7">
      <w:pPr>
        <w:pStyle w:val="38"/>
        <w:numPr>
          <w:ilvl w:val="0"/>
          <w:numId w:val="4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Manter, durante todo o prazo de entrega/execução do objeto, todas as condições de habilitação e qualificação exigidas;</w:t>
      </w:r>
    </w:p>
    <w:p w14:paraId="4096B5BE">
      <w:pPr>
        <w:pStyle w:val="38"/>
        <w:numPr>
          <w:ilvl w:val="0"/>
          <w:numId w:val="4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Reparar, corrigir ou substituir, às suas expensas, no todo ou em parte, o objeto deste Termo de Referência, em que se verificarem vícios, defeitos ou incorreções resultantes do fornecimento/prestação do serviço.</w:t>
      </w:r>
    </w:p>
    <w:p w14:paraId="70C7172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11. OBRIGAÇÕES DO CONTRATANTE:</w:t>
      </w:r>
    </w:p>
    <w:p w14:paraId="20D05145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72CA81BB">
      <w:pPr>
        <w:pStyle w:val="38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Acompanhar e fiscalizar a execução do contrato por representante(s) especialmente designado(s), nos termos do art. 117 da Lei nº 14.133/2021;</w:t>
      </w:r>
    </w:p>
    <w:p w14:paraId="5DDFCF94">
      <w:pPr>
        <w:pStyle w:val="38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Rejeitar, no todo ou em parte, produto/serviço em desacordo com este Termo de Referência;</w:t>
      </w:r>
    </w:p>
    <w:p w14:paraId="6E2B494A">
      <w:pPr>
        <w:pStyle w:val="38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Realizar o pagamento ao contrato, na forma e no prazo pactuado;</w:t>
      </w:r>
    </w:p>
    <w:p w14:paraId="0DA784A3">
      <w:pPr>
        <w:pStyle w:val="38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 xml:space="preserve">Proporcionar todas as condições necessárias ao bom andamento da entrega/execução do objeto; </w:t>
      </w:r>
    </w:p>
    <w:p w14:paraId="6E98124A">
      <w:pPr>
        <w:pStyle w:val="38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Notificar, por escrito, à contratada, ocorrência de eventuais imperfeições no curso da entrega/execução do objeto, fixando prazo para a sua correção;</w:t>
      </w:r>
    </w:p>
    <w:p w14:paraId="5B02A01C">
      <w:pPr>
        <w:pStyle w:val="38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Notificar, por escrito, à contratada, a disposição de aplicação de eventuais penalidades, garantido o contraditório e a ampla defesa.</w:t>
      </w:r>
    </w:p>
    <w:p w14:paraId="0EC53C80">
      <w:pPr>
        <w:pStyle w:val="38"/>
        <w:spacing w:line="240" w:lineRule="auto"/>
        <w:jc w:val="both"/>
        <w:rPr>
          <w:rFonts w:cs="Arial"/>
        </w:rPr>
      </w:pPr>
    </w:p>
    <w:p w14:paraId="3FAEA44F">
      <w:pPr>
        <w:jc w:val="both"/>
        <w:rPr>
          <w:rFonts w:ascii="Calibri" w:hAnsi="Calibri" w:cs="Arial"/>
          <w:sz w:val="22"/>
          <w:szCs w:val="22"/>
        </w:rPr>
      </w:pPr>
      <w:r>
        <w:rPr>
          <w:rStyle w:val="34"/>
          <w:rFonts w:ascii="Calibri" w:hAnsi="Calibri" w:cs="Arial"/>
          <w:sz w:val="22"/>
          <w:szCs w:val="22"/>
          <w:u w:val="none"/>
        </w:rPr>
        <w:t>12. FISCALIZAÇÃO:</w:t>
      </w:r>
    </w:p>
    <w:p w14:paraId="29E2522D">
      <w:pPr>
        <w:jc w:val="both"/>
        <w:rPr>
          <w:rStyle w:val="34"/>
          <w:rFonts w:ascii="Calibri" w:hAnsi="Calibri" w:cs="Arial"/>
          <w:sz w:val="22"/>
          <w:szCs w:val="22"/>
          <w:u w:val="none"/>
        </w:rPr>
      </w:pPr>
    </w:p>
    <w:p w14:paraId="6A775C44">
      <w:pPr>
        <w:pStyle w:val="45"/>
        <w:shd w:val="clear" w:color="auto" w:fill="auto"/>
        <w:spacing w:after="283" w:line="240" w:lineRule="auto"/>
        <w:ind w:left="20" w:right="40" w:firstLine="68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 fiscalização do Contrato será exercida pela Contratante através de funcionário designado pela Secretaria de Saúde.</w:t>
      </w:r>
    </w:p>
    <w:p w14:paraId="001B8755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9525" r="22225" b="12700"/>
                <wp:wrapNone/>
                <wp:docPr id="1041893356" name="AutoShape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G0" fmla="+- 21600 0 0"/>
                            <a:gd name="G1" fmla="+- 10800 0 0"/>
                            <a:gd name="G2" fmla="+- 10800 0 0"/>
                            <a:gd name="G3" fmla="+- 21600 0 G2"/>
                            <a:gd name="G4" fmla="*/ 1 G1 2"/>
                            <a:gd name="G5" fmla="+- 10800 0 G4"/>
                            <a:gd name="G6" fmla="+- 10800 G4 0"/>
                            <a:gd name="G7" fmla="*/ G5 G2 10800"/>
                            <a:gd name="G8" fmla="+- G3 G7 0"/>
                            <a:gd name="T0" fmla="*/ G5 w 21600"/>
                            <a:gd name="T1" fmla="*/ 0 h 21600"/>
                            <a:gd name="T2" fmla="*/ G6 w 21600"/>
                            <a:gd name="T3" fmla="*/ G8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10800"/>
                              </a:moveTo>
                              <a:lnTo>
                                <a:pt x="5400" y="10800"/>
                              </a:lnTo>
                              <a:lnTo>
                                <a:pt x="5400" y="0"/>
                              </a:lnTo>
                              <a:lnTo>
                                <a:pt x="16200" y="0"/>
                              </a:lnTo>
                              <a:lnTo>
                                <a:pt x="16200" y="10800"/>
                              </a:lnTo>
                              <a:lnTo>
                                <a:pt x="21600" y="10800"/>
                              </a:lnTo>
                              <a:lnTo>
                                <a:pt x="108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100" style="position:absolute;left:0pt;margin-left:0pt;margin-top:0pt;height:50pt;width:50pt;visibility:hidden;z-index:251662336;mso-width-relative:page;mso-height-relative:page;" fillcolor="#FFFFFF" filled="t" stroked="t" coordsize="21600,21600" o:gfxdata="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" path="m0,10800l5400,10800,5400,0,16200,0,16200,10800,21600,10800,10800,21600xe">
                <v:path o:connectlocs="635000,317500;317500,635000;0,317500;317500,0" o:connectangles="0,82,164,247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ascii="Calibri" w:hAnsi="Calibri" w:cs="Arial"/>
          <w:b/>
          <w:color w:val="000000"/>
          <w:sz w:val="22"/>
          <w:szCs w:val="22"/>
        </w:rPr>
        <w:t>13. EXIGÊNCIA DE DOCUMENTAÇÃO OBRIGATÓRIA:</w:t>
      </w:r>
    </w:p>
    <w:p w14:paraId="3B236733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583AE685">
      <w:pPr>
        <w:ind w:firstLine="708"/>
        <w:jc w:val="both"/>
        <w:rPr>
          <w:rFonts w:ascii="Calibri" w:hAnsi="Calibri" w:eastAsia="Tahoma" w:cs="Arial"/>
          <w:sz w:val="22"/>
          <w:szCs w:val="22"/>
        </w:rPr>
      </w:pPr>
      <w:r>
        <w:rPr>
          <w:rFonts w:ascii="Calibri" w:hAnsi="Calibri" w:eastAsia="Tahoma" w:cs="Arial"/>
          <w:sz w:val="22"/>
          <w:szCs w:val="22"/>
        </w:rPr>
        <w:t>- Registro do Ministério da Saúde / ANVISA dos medicamentos solicitados.</w:t>
      </w:r>
    </w:p>
    <w:p w14:paraId="66AA601E">
      <w:pPr>
        <w:ind w:firstLine="708"/>
        <w:jc w:val="both"/>
        <w:rPr>
          <w:rFonts w:ascii="Calibri" w:hAnsi="Calibri" w:eastAsia="Tahoma" w:cs="Arial"/>
          <w:sz w:val="22"/>
          <w:szCs w:val="22"/>
        </w:rPr>
      </w:pPr>
    </w:p>
    <w:p w14:paraId="31365D01">
      <w:pPr>
        <w:ind w:left="708"/>
        <w:jc w:val="both"/>
        <w:rPr>
          <w:rFonts w:ascii="Calibri" w:hAnsi="Calibri" w:eastAsia="Tahoma" w:cs="Arial"/>
          <w:sz w:val="22"/>
          <w:szCs w:val="22"/>
        </w:rPr>
      </w:pPr>
      <w:r>
        <w:rPr>
          <w:rFonts w:ascii="Calibri" w:hAnsi="Calibri" w:eastAsia="Tahoma" w:cs="Arial"/>
          <w:sz w:val="22"/>
          <w:szCs w:val="22"/>
        </w:rPr>
        <w:t>- Certificado de Regularidade do Conselho de Farmácia – CRF – da empresa (distribuidor e/ou fabricante classificado).</w:t>
      </w:r>
    </w:p>
    <w:p w14:paraId="0D9ABDBE">
      <w:pPr>
        <w:ind w:left="708"/>
        <w:jc w:val="both"/>
        <w:rPr>
          <w:rFonts w:ascii="Calibri" w:hAnsi="Calibri" w:eastAsia="Tahoma" w:cs="Arial"/>
          <w:sz w:val="22"/>
          <w:szCs w:val="22"/>
        </w:rPr>
      </w:pPr>
      <w:r>
        <w:rPr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6472555</wp:posOffset>
            </wp:positionV>
            <wp:extent cx="1038225" cy="601345"/>
            <wp:effectExtent l="38100" t="57150" r="28575" b="27305"/>
            <wp:wrapSquare wrapText="bothSides"/>
            <wp:docPr id="1" name="Imagem 1" descr="Z:\Debora\Debora\ASS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Z:\Debora\Debora\ASS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bg1"/>
                      </a:glow>
                    </a:effectLst>
                    <a:scene3d>
                      <a:camera prst="orthographicFront"/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p w14:paraId="046DD55A">
      <w:pPr>
        <w:ind w:left="708"/>
        <w:jc w:val="both"/>
        <w:rPr>
          <w:rFonts w:ascii="Calibri" w:hAnsi="Calibri" w:eastAsia="Tahoma" w:cs="Arial"/>
          <w:sz w:val="22"/>
          <w:szCs w:val="22"/>
        </w:rPr>
      </w:pPr>
    </w:p>
    <w:p w14:paraId="049EA16F">
      <w:pPr>
        <w:ind w:left="708"/>
        <w:jc w:val="both"/>
        <w:rPr>
          <w:rFonts w:ascii="Calibri" w:hAnsi="Calibri" w:eastAsia="Tahoma" w:cs="Arial"/>
          <w:sz w:val="22"/>
          <w:szCs w:val="22"/>
        </w:rPr>
      </w:pPr>
    </w:p>
    <w:p w14:paraId="54A3DA97">
      <w:pPr>
        <w:ind w:left="708"/>
        <w:jc w:val="both"/>
        <w:rPr>
          <w:rFonts w:ascii="Calibri" w:hAnsi="Calibri" w:eastAsia="Tahoma" w:cs="Arial"/>
          <w:sz w:val="22"/>
          <w:szCs w:val="22"/>
        </w:rPr>
      </w:pPr>
    </w:p>
    <w:p w14:paraId="2D05C6B2">
      <w:pPr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_________________________________</w:t>
      </w:r>
    </w:p>
    <w:p w14:paraId="51A46D76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</w:rPr>
        <w:t>Responsável</w:t>
      </w:r>
    </w:p>
    <w:p w14:paraId="2C0816B1">
      <w:pPr>
        <w:jc w:val="center"/>
        <w:rPr>
          <w:rFonts w:ascii="Calibri" w:hAnsi="Calibri" w:cstheme="majorHAnsi"/>
          <w:sz w:val="22"/>
          <w:szCs w:val="22"/>
        </w:rPr>
      </w:pPr>
    </w:p>
    <w:p w14:paraId="4D5B6170">
      <w:pPr>
        <w:rPr>
          <w:rFonts w:ascii="Calibri" w:hAnsi="Calibri" w:cstheme="majorHAnsi"/>
          <w:b/>
          <w:sz w:val="22"/>
          <w:szCs w:val="22"/>
          <w:highlight w:val="yellow"/>
          <w:u w:val="single"/>
        </w:rPr>
      </w:pPr>
    </w:p>
    <w:sectPr>
      <w:headerReference r:id="rId3" w:type="default"/>
      <w:footerReference r:id="rId4" w:type="default"/>
      <w:pgSz w:w="11906" w:h="16838"/>
      <w:pgMar w:top="567" w:right="1134" w:bottom="567" w:left="1134" w:header="113" w:footer="227" w:gutter="0"/>
      <w:cols w:space="720" w:num="1"/>
      <w:formProt w:val="0"/>
      <w:docGrid w:linePitch="272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Bitstream Vera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C7551">
    <w:pPr>
      <w:pStyle w:val="32"/>
      <w:jc w:val="center"/>
      <w:rPr>
        <w:rFonts w:ascii="Arial" w:hAnsi="Arial" w:cs="Arial"/>
        <w:color w:val="000000"/>
        <w:sz w:val="22"/>
        <w:szCs w:val="22"/>
      </w:rPr>
    </w:pPr>
  </w:p>
  <w:p w14:paraId="368D7832">
    <w:pPr>
      <w:pStyle w:val="32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5588000</wp:posOffset>
          </wp:positionH>
          <wp:positionV relativeFrom="paragraph">
            <wp:posOffset>31750</wp:posOffset>
          </wp:positionV>
          <wp:extent cx="656590" cy="707390"/>
          <wp:effectExtent l="0" t="0" r="0" b="0"/>
          <wp:wrapSquare wrapText="bothSides"/>
          <wp:docPr id="8" name="Imagem 10" descr="LOGOTIPO VIOLENCIA SEXUAL CONTRA CRIANÇAS E ADOLESCEN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10" descr="LOGOTIPO VIOLENCIA SEXUAL CONTRA CRIANÇAS E ADOLESCENTE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590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2797175</wp:posOffset>
          </wp:positionH>
          <wp:positionV relativeFrom="paragraph">
            <wp:posOffset>635</wp:posOffset>
          </wp:positionV>
          <wp:extent cx="807720" cy="810895"/>
          <wp:effectExtent l="0" t="0" r="0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7720" cy="810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inline distT="0" distB="0" distL="0" distR="0">
          <wp:extent cx="771525" cy="809625"/>
          <wp:effectExtent l="0" t="0" r="0" b="0"/>
          <wp:docPr id="10" name="Imagem 7" descr="180 anos_DOU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7" descr="180 anos_DOURAD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152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48F2D9">
    <w:pPr>
      <w:pStyle w:val="32"/>
      <w:jc w:val="center"/>
      <w:rPr>
        <w:rFonts w:ascii="Cambria" w:hAnsi="Cambria" w:cs="Arial"/>
        <w:i/>
        <w:sz w:val="24"/>
        <w:lang w:val="en-US"/>
      </w:rPr>
    </w:pPr>
  </w:p>
  <w:p w14:paraId="4599631F">
    <w:pPr>
      <w:pStyle w:val="32"/>
      <w:rPr>
        <w:rFonts w:ascii="Cambria" w:hAnsi="Cambria" w:cs="Arial"/>
        <w:i/>
        <w:sz w:val="24"/>
        <w:lang w:val="en-US"/>
      </w:rPr>
    </w:pPr>
    <w:r>
      <w:rPr>
        <w:rFonts w:ascii="Cambria" w:hAnsi="Cambria" w:cs="Arial"/>
        <w:i/>
        <w:sz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column">
                <wp:posOffset>4491990</wp:posOffset>
              </wp:positionH>
              <wp:positionV relativeFrom="paragraph">
                <wp:posOffset>-1069975</wp:posOffset>
              </wp:positionV>
              <wp:extent cx="1924685" cy="236855"/>
              <wp:effectExtent l="1905" t="3175" r="0" b="0"/>
              <wp:wrapNone/>
              <wp:docPr id="1363711950" name="Form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24685" cy="236855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3" o:spid="_x0000_s1026" o:spt="100" style="position:absolute;left:0pt;margin-left:353.7pt;margin-top:-84.25pt;height:18.65pt;width:151.55pt;mso-wrap-style:none;z-index:251663360;v-text-anchor:middle;mso-width-relative:page;mso-height-relative:page;" filled="f" stroked="f" o:allowincell="f" o:gfxdata="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CI5Wnu2wAAAA4BAAAPAAAAAAAAAAEAIAAAACIAAABkcnMvZG93bnJldi54bWxQ&#10;SwECFAAUAAAACACHTuJAYTc1ANgCAAAPBwAADgAAAAAAAAABACAAAAAqAQAAZHJzL2Uyb0RvYy54&#10;bWxQSwUGAAAAAAYABgBZAQAAdAYAAAAA&#10;" path="m0,0l-127,0,-127,-127,0,-127xe">
              <v:path o:connectlocs="0,0;-244434,0;-244434,-30080;0,-30080" o:connectangles="0,0,0,0"/>
              <v:fill on="f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DF0F8">
    <w:pPr>
      <w:jc w:val="center"/>
      <w:rPr>
        <w:rFonts w:eastAsia="Calibri"/>
        <w:sz w:val="16"/>
      </w:rPr>
    </w:pPr>
  </w:p>
  <w:p w14:paraId="5C222ADD">
    <w:pPr>
      <w:keepNext/>
      <w:tabs>
        <w:tab w:val="left" w:pos="2977"/>
      </w:tabs>
      <w:jc w:val="center"/>
      <w:outlineLvl w:val="3"/>
      <w:rPr>
        <w:rFonts w:ascii="Calibri" w:hAnsi="Calibri" w:cs="Arial"/>
        <w:b/>
        <w:sz w:val="16"/>
      </w:rPr>
    </w:pPr>
    <w:r>
      <w:rPr>
        <w:sz w:val="16"/>
      </w:rP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95885</wp:posOffset>
          </wp:positionV>
          <wp:extent cx="727710" cy="836930"/>
          <wp:effectExtent l="0" t="0" r="0" b="0"/>
          <wp:wrapNone/>
          <wp:docPr id="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7710" cy="836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drawing>
        <wp:anchor distT="0" distB="0" distL="0" distR="0" simplePos="0" relativeHeight="251662336" behindDoc="1" locked="0" layoutInCell="1" allowOverlap="1">
          <wp:simplePos x="0" y="0"/>
          <wp:positionH relativeFrom="column">
            <wp:posOffset>5008245</wp:posOffset>
          </wp:positionH>
          <wp:positionV relativeFrom="paragraph">
            <wp:posOffset>111125</wp:posOffset>
          </wp:positionV>
          <wp:extent cx="1137285" cy="741045"/>
          <wp:effectExtent l="0" t="0" r="0" b="0"/>
          <wp:wrapNone/>
          <wp:docPr id="7" name="Imagem 2" descr="s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2" descr="su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728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sz w:val="28"/>
        <w:szCs w:val="36"/>
      </w:rPr>
      <w:t>PREFEITURA MUNICIPAL DE PETRÓPOLIS</w:t>
    </w:r>
  </w:p>
  <w:p w14:paraId="25D35925">
    <w:pPr>
      <w:keepNext/>
      <w:jc w:val="center"/>
      <w:outlineLvl w:val="3"/>
      <w:rPr>
        <w:rFonts w:ascii="Calibri" w:hAnsi="Calibri" w:cs="Arial"/>
        <w:b/>
        <w:sz w:val="24"/>
        <w:szCs w:val="32"/>
      </w:rPr>
    </w:pPr>
    <w:r>
      <w:rPr>
        <w:rFonts w:ascii="Calibri" w:hAnsi="Calibri" w:cs="Arial"/>
        <w:b/>
        <w:sz w:val="24"/>
        <w:szCs w:val="32"/>
      </w:rPr>
      <w:t>SECRETARIA MUNICIPAL DE SAÚDE</w:t>
    </w:r>
  </w:p>
  <w:p w14:paraId="380FB9C2">
    <w:pPr>
      <w:jc w:val="center"/>
      <w:rPr>
        <w:sz w:val="16"/>
      </w:rPr>
    </w:pPr>
    <w:r>
      <w:rPr>
        <w:rFonts w:ascii="Calibri" w:hAnsi="Calibri" w:eastAsia="Arial Unicode MS" w:cs="Calibri"/>
        <w:b/>
        <w:sz w:val="24"/>
        <w:szCs w:val="32"/>
      </w:rPr>
      <w:t>GABINETE DO SECRETÁRIO</w:t>
    </w:r>
  </w:p>
  <w:p w14:paraId="4E560EBC">
    <w:pPr>
      <w:jc w:val="center"/>
      <w:rPr>
        <w:sz w:val="22"/>
        <w:szCs w:val="28"/>
      </w:rPr>
    </w:pPr>
    <w:r>
      <w:rPr>
        <w:rFonts w:ascii="Calibri" w:hAnsi="Calibri" w:eastAsia="Arial Unicode MS" w:cs="Calibri"/>
        <w:b/>
        <w:sz w:val="22"/>
        <w:szCs w:val="28"/>
      </w:rPr>
      <w:t>SUPERINTENDÊNCIA DE ATENÇÃO À SAÚDE</w:t>
    </w:r>
  </w:p>
  <w:p w14:paraId="5680122B">
    <w:pPr>
      <w:jc w:val="center"/>
      <w:rPr>
        <w:rFonts w:ascii="Calibri" w:hAnsi="Calibri" w:eastAsia="Arial Unicode MS" w:cs="Calibri"/>
        <w:b/>
        <w:sz w:val="22"/>
        <w:szCs w:val="28"/>
      </w:rPr>
    </w:pPr>
    <w:r>
      <w:rPr>
        <w:rFonts w:ascii="Calibri" w:hAnsi="Calibri" w:eastAsia="Arial Unicode MS" w:cs="Calibri"/>
        <w:b/>
        <w:sz w:val="22"/>
        <w:szCs w:val="28"/>
      </w:rPr>
      <w:t>NUCLEO DE ASSISTÊNCIA FARMACÊUTICA</w:t>
    </w:r>
  </w:p>
  <w:p w14:paraId="0A45ED97">
    <w:pPr>
      <w:jc w:val="center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687187"/>
    <w:multiLevelType w:val="multilevel"/>
    <w:tmpl w:val="11687187"/>
    <w:lvl w:ilvl="0" w:tentative="0">
      <w:start w:val="1"/>
      <w:numFmt w:val="decimal"/>
      <w:lvlText w:val="%1."/>
      <w:lvlJc w:val="left"/>
      <w:pPr>
        <w:tabs>
          <w:tab w:val="left" w:pos="0"/>
        </w:tabs>
        <w:ind w:left="927" w:hanging="360"/>
      </w:pPr>
      <w:rPr>
        <w:rFonts w:ascii="Arial" w:hAnsi="Arial"/>
        <w:b/>
        <w:bCs/>
        <w:sz w:val="22"/>
        <w:szCs w:val="22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647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367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087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807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527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247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967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687" w:hanging="180"/>
      </w:pPr>
    </w:lvl>
  </w:abstractNum>
  <w:abstractNum w:abstractNumId="1">
    <w:nsid w:val="24B978E4"/>
    <w:multiLevelType w:val="multilevel"/>
    <w:tmpl w:val="24B978E4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2A13684F"/>
    <w:multiLevelType w:val="multilevel"/>
    <w:tmpl w:val="2A13684F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3">
    <w:nsid w:val="4C226F5F"/>
    <w:multiLevelType w:val="multilevel"/>
    <w:tmpl w:val="4C226F5F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4">
    <w:nsid w:val="5AE00C3B"/>
    <w:multiLevelType w:val="multilevel"/>
    <w:tmpl w:val="5AE00C3B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A8"/>
    <w:rsid w:val="000264AE"/>
    <w:rsid w:val="00033407"/>
    <w:rsid w:val="000873E4"/>
    <w:rsid w:val="00097C68"/>
    <w:rsid w:val="0013148F"/>
    <w:rsid w:val="00131B9F"/>
    <w:rsid w:val="002019E6"/>
    <w:rsid w:val="00251CC3"/>
    <w:rsid w:val="002540BD"/>
    <w:rsid w:val="0027272B"/>
    <w:rsid w:val="00300A8D"/>
    <w:rsid w:val="0032337B"/>
    <w:rsid w:val="003D6254"/>
    <w:rsid w:val="003F5ABC"/>
    <w:rsid w:val="00404AF8"/>
    <w:rsid w:val="0045013F"/>
    <w:rsid w:val="00496569"/>
    <w:rsid w:val="005B51C2"/>
    <w:rsid w:val="00667FFC"/>
    <w:rsid w:val="00677B26"/>
    <w:rsid w:val="007E6C52"/>
    <w:rsid w:val="00843CC3"/>
    <w:rsid w:val="00877D1A"/>
    <w:rsid w:val="009A7366"/>
    <w:rsid w:val="009B7103"/>
    <w:rsid w:val="009D5184"/>
    <w:rsid w:val="009E09A8"/>
    <w:rsid w:val="00A13B0F"/>
    <w:rsid w:val="00A428D6"/>
    <w:rsid w:val="00A6301D"/>
    <w:rsid w:val="00A9094B"/>
    <w:rsid w:val="00B27AC2"/>
    <w:rsid w:val="00BB4014"/>
    <w:rsid w:val="00BB6624"/>
    <w:rsid w:val="00C11FA5"/>
    <w:rsid w:val="00C17660"/>
    <w:rsid w:val="00C32026"/>
    <w:rsid w:val="00C321F1"/>
    <w:rsid w:val="00C65EB7"/>
    <w:rsid w:val="00CF12CC"/>
    <w:rsid w:val="00CF65AE"/>
    <w:rsid w:val="00DC5B42"/>
    <w:rsid w:val="00E02F32"/>
    <w:rsid w:val="00EF420C"/>
    <w:rsid w:val="00F24B3E"/>
    <w:rsid w:val="00F84907"/>
    <w:rsid w:val="00FF2735"/>
    <w:rsid w:val="7BF9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List"/>
    <w:basedOn w:val="6"/>
    <w:uiPriority w:val="0"/>
    <w:rPr>
      <w:rFonts w:cs="Arial Unicode MS"/>
    </w:rPr>
  </w:style>
  <w:style w:type="paragraph" w:styleId="6">
    <w:name w:val="Body Text"/>
    <w:basedOn w:val="1"/>
    <w:uiPriority w:val="0"/>
    <w:rPr>
      <w:rFonts w:ascii="Arial" w:hAnsi="Arial"/>
      <w:sz w:val="24"/>
    </w:rPr>
  </w:style>
  <w:style w:type="paragraph" w:styleId="7">
    <w:name w:val="Title"/>
    <w:basedOn w:val="1"/>
    <w:next w:val="6"/>
    <w:qFormat/>
    <w:uiPriority w:val="0"/>
    <w:pPr>
      <w:jc w:val="center"/>
    </w:pPr>
    <w:rPr>
      <w:rFonts w:ascii="Arial" w:hAnsi="Arial"/>
      <w:b/>
      <w:sz w:val="24"/>
    </w:rPr>
  </w:style>
  <w:style w:type="paragraph" w:styleId="8">
    <w:name w:val="Normal (Web)"/>
    <w:basedOn w:val="1"/>
    <w:qFormat/>
    <w:uiPriority w:val="0"/>
    <w:pPr>
      <w:spacing w:before="280" w:after="280"/>
    </w:pPr>
    <w:rPr>
      <w:sz w:val="24"/>
      <w:szCs w:val="24"/>
    </w:rPr>
  </w:style>
  <w:style w:type="paragraph" w:styleId="9">
    <w:name w:val="Body Text 3"/>
    <w:basedOn w:val="1"/>
    <w:qFormat/>
    <w:uiPriority w:val="0"/>
    <w:pPr>
      <w:jc w:val="both"/>
    </w:pPr>
    <w:rPr>
      <w:rFonts w:ascii="Arial" w:hAnsi="Arial"/>
      <w:color w:val="000080"/>
      <w:sz w:val="24"/>
    </w:rPr>
  </w:style>
  <w:style w:type="paragraph" w:styleId="10">
    <w:name w:val="HTML Preformatted"/>
    <w:basedOn w:val="1"/>
    <w:link w:val="26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11">
    <w:name w:val="Body Text 2"/>
    <w:basedOn w:val="1"/>
    <w:link w:val="28"/>
    <w:qFormat/>
    <w:uiPriority w:val="0"/>
    <w:pPr>
      <w:spacing w:after="120" w:line="480" w:lineRule="auto"/>
    </w:pPr>
  </w:style>
  <w:style w:type="paragraph" w:styleId="12">
    <w:name w:val="header"/>
    <w:basedOn w:val="1"/>
    <w:link w:val="46"/>
    <w:semiHidden/>
    <w:unhideWhenUsed/>
    <w:uiPriority w:val="99"/>
    <w:pPr>
      <w:tabs>
        <w:tab w:val="center" w:pos="4252"/>
        <w:tab w:val="right" w:pos="8504"/>
      </w:tabs>
    </w:pPr>
  </w:style>
  <w:style w:type="paragraph" w:styleId="13">
    <w:name w:val="footer"/>
    <w:basedOn w:val="1"/>
    <w:link w:val="47"/>
    <w:semiHidden/>
    <w:unhideWhenUsed/>
    <w:uiPriority w:val="99"/>
    <w:pPr>
      <w:tabs>
        <w:tab w:val="center" w:pos="4252"/>
        <w:tab w:val="right" w:pos="8504"/>
      </w:tabs>
    </w:pPr>
  </w:style>
  <w:style w:type="paragraph" w:styleId="14">
    <w:name w:val="Balloon Text"/>
    <w:basedOn w:val="1"/>
    <w:qFormat/>
    <w:uiPriority w:val="0"/>
    <w:rPr>
      <w:rFonts w:ascii="Tahoma" w:hAnsi="Tahoma" w:eastAsia="Calibri"/>
      <w:sz w:val="16"/>
    </w:rPr>
  </w:style>
  <w:style w:type="paragraph" w:styleId="15">
    <w:name w:val="Body Text Indent"/>
    <w:basedOn w:val="1"/>
    <w:uiPriority w:val="0"/>
    <w:pPr>
      <w:ind w:left="2124" w:firstLine="144"/>
      <w:jc w:val="both"/>
    </w:pPr>
    <w:rPr>
      <w:rFonts w:ascii="Arial" w:hAnsi="Arial"/>
      <w:color w:val="000080"/>
      <w:sz w:val="24"/>
    </w:rPr>
  </w:style>
  <w:style w:type="paragraph" w:customStyle="1" w:styleId="16">
    <w:name w:val="Título 11"/>
    <w:basedOn w:val="1"/>
    <w:next w:val="1"/>
    <w:qFormat/>
    <w:uiPriority w:val="0"/>
    <w:pPr>
      <w:keepNext/>
      <w:spacing w:line="360" w:lineRule="auto"/>
      <w:jc w:val="both"/>
      <w:outlineLvl w:val="0"/>
    </w:pPr>
    <w:rPr>
      <w:rFonts w:ascii="Arial" w:hAnsi="Arial"/>
      <w:b/>
      <w:color w:val="000080"/>
      <w:sz w:val="24"/>
    </w:rPr>
  </w:style>
  <w:style w:type="paragraph" w:customStyle="1" w:styleId="17">
    <w:name w:val="Título 21"/>
    <w:basedOn w:val="1"/>
    <w:next w:val="1"/>
    <w:qFormat/>
    <w:uiPriority w:val="0"/>
    <w:pPr>
      <w:keepNext/>
      <w:jc w:val="center"/>
      <w:outlineLvl w:val="1"/>
    </w:pPr>
    <w:rPr>
      <w:rFonts w:ascii="Calibri" w:hAnsi="Calibri"/>
      <w:sz w:val="28"/>
    </w:rPr>
  </w:style>
  <w:style w:type="paragraph" w:customStyle="1" w:styleId="18">
    <w:name w:val="Título 31"/>
    <w:basedOn w:val="1"/>
    <w:next w:val="1"/>
    <w:qFormat/>
    <w:uiPriority w:val="0"/>
    <w:pPr>
      <w:keepNext/>
      <w:jc w:val="center"/>
      <w:outlineLvl w:val="2"/>
    </w:pPr>
    <w:rPr>
      <w:rFonts w:ascii="Arial" w:hAnsi="Arial"/>
      <w:b/>
      <w:color w:val="000000"/>
      <w:sz w:val="24"/>
    </w:rPr>
  </w:style>
  <w:style w:type="paragraph" w:customStyle="1" w:styleId="19">
    <w:name w:val="Título 41"/>
    <w:basedOn w:val="1"/>
    <w:next w:val="1"/>
    <w:qFormat/>
    <w:uiPriority w:val="0"/>
    <w:pPr>
      <w:keepNext/>
      <w:outlineLvl w:val="3"/>
    </w:pPr>
    <w:rPr>
      <w:color w:val="000080"/>
      <w:sz w:val="36"/>
    </w:rPr>
  </w:style>
  <w:style w:type="paragraph" w:customStyle="1" w:styleId="20">
    <w:name w:val="Título 51"/>
    <w:basedOn w:val="1"/>
    <w:next w:val="1"/>
    <w:qFormat/>
    <w:uiPriority w:val="0"/>
    <w:pPr>
      <w:keepNext/>
      <w:jc w:val="center"/>
      <w:outlineLvl w:val="4"/>
    </w:pPr>
    <w:rPr>
      <w:rFonts w:ascii="Calibri" w:hAnsi="Calibri"/>
      <w:sz w:val="24"/>
    </w:rPr>
  </w:style>
  <w:style w:type="paragraph" w:customStyle="1" w:styleId="21">
    <w:name w:val="Título 61"/>
    <w:basedOn w:val="1"/>
    <w:next w:val="1"/>
    <w:qFormat/>
    <w:uiPriority w:val="0"/>
    <w:pPr>
      <w:keepNext/>
      <w:jc w:val="center"/>
      <w:outlineLvl w:val="5"/>
    </w:pPr>
    <w:rPr>
      <w:b/>
      <w:color w:val="000080"/>
      <w:sz w:val="24"/>
      <w:u w:val="single"/>
    </w:rPr>
  </w:style>
  <w:style w:type="paragraph" w:customStyle="1" w:styleId="22">
    <w:name w:val="Título 71"/>
    <w:basedOn w:val="1"/>
    <w:next w:val="1"/>
    <w:qFormat/>
    <w:uiPriority w:val="0"/>
    <w:pPr>
      <w:keepNext/>
      <w:jc w:val="center"/>
      <w:outlineLvl w:val="6"/>
    </w:pPr>
    <w:rPr>
      <w:b/>
      <w:sz w:val="24"/>
    </w:rPr>
  </w:style>
  <w:style w:type="paragraph" w:customStyle="1" w:styleId="23">
    <w:name w:val="Título 91"/>
    <w:basedOn w:val="1"/>
    <w:next w:val="1"/>
    <w:qFormat/>
    <w:uiPriority w:val="0"/>
    <w:pPr>
      <w:keepNext/>
      <w:jc w:val="center"/>
      <w:outlineLvl w:val="8"/>
    </w:pPr>
    <w:rPr>
      <w:b/>
      <w:sz w:val="28"/>
    </w:rPr>
  </w:style>
  <w:style w:type="character" w:customStyle="1" w:styleId="24">
    <w:name w:val="Texto de balão Char"/>
    <w:basedOn w:val="2"/>
    <w:qFormat/>
    <w:uiPriority w:val="0"/>
    <w:rPr>
      <w:rFonts w:ascii="Tahoma" w:hAnsi="Tahoma" w:cs="Tahoma"/>
      <w:sz w:val="16"/>
      <w:szCs w:val="16"/>
    </w:rPr>
  </w:style>
  <w:style w:type="character" w:customStyle="1" w:styleId="25">
    <w:name w:val="Rodapé Char"/>
    <w:basedOn w:val="2"/>
    <w:qFormat/>
    <w:uiPriority w:val="0"/>
  </w:style>
  <w:style w:type="character" w:customStyle="1" w:styleId="26">
    <w:name w:val="Pré-formatação HTML Char"/>
    <w:basedOn w:val="2"/>
    <w:link w:val="10"/>
    <w:qFormat/>
    <w:uiPriority w:val="0"/>
    <w:rPr>
      <w:rFonts w:ascii="Courier New" w:hAnsi="Courier New" w:cs="Courier New"/>
    </w:rPr>
  </w:style>
  <w:style w:type="character" w:customStyle="1" w:styleId="27">
    <w:name w:val="markedcontent"/>
    <w:basedOn w:val="2"/>
    <w:qFormat/>
    <w:uiPriority w:val="0"/>
  </w:style>
  <w:style w:type="character" w:customStyle="1" w:styleId="28">
    <w:name w:val="Corpo de texto 2 Char"/>
    <w:basedOn w:val="2"/>
    <w:link w:val="11"/>
    <w:qFormat/>
    <w:uiPriority w:val="0"/>
  </w:style>
  <w:style w:type="character" w:customStyle="1" w:styleId="29">
    <w:name w:val="Cabeçalho Char"/>
    <w:basedOn w:val="2"/>
    <w:link w:val="30"/>
    <w:semiHidden/>
    <w:qFormat/>
    <w:uiPriority w:val="99"/>
  </w:style>
  <w:style w:type="paragraph" w:customStyle="1" w:styleId="30">
    <w:name w:val="Cabeçalho1"/>
    <w:basedOn w:val="1"/>
    <w:link w:val="29"/>
    <w:semiHidden/>
    <w:unhideWhenUsed/>
    <w:uiPriority w:val="99"/>
    <w:pPr>
      <w:tabs>
        <w:tab w:val="center" w:pos="4252"/>
        <w:tab w:val="right" w:pos="8504"/>
      </w:tabs>
    </w:pPr>
  </w:style>
  <w:style w:type="character" w:customStyle="1" w:styleId="31">
    <w:name w:val="Rodapé Char1"/>
    <w:basedOn w:val="2"/>
    <w:link w:val="32"/>
    <w:semiHidden/>
    <w:qFormat/>
    <w:uiPriority w:val="99"/>
  </w:style>
  <w:style w:type="paragraph" w:customStyle="1" w:styleId="32">
    <w:name w:val="Rodapé1"/>
    <w:basedOn w:val="1"/>
    <w:link w:val="31"/>
    <w:semiHidden/>
    <w:unhideWhenUsed/>
    <w:uiPriority w:val="99"/>
    <w:pPr>
      <w:tabs>
        <w:tab w:val="center" w:pos="4252"/>
        <w:tab w:val="right" w:pos="8504"/>
      </w:tabs>
    </w:pPr>
  </w:style>
  <w:style w:type="character" w:customStyle="1" w:styleId="33">
    <w:name w:val="Texto do corpo (2)_"/>
    <w:basedOn w:val="2"/>
    <w:qFormat/>
    <w:uiPriority w:val="0"/>
    <w:rPr>
      <w:rFonts w:ascii="Tahoma" w:hAnsi="Tahoma" w:eastAsia="Tahoma" w:cs="Tahoma"/>
      <w:b/>
      <w:bCs/>
      <w:sz w:val="23"/>
      <w:szCs w:val="23"/>
      <w:u w:val="none"/>
    </w:rPr>
  </w:style>
  <w:style w:type="character" w:customStyle="1" w:styleId="34">
    <w:name w:val="Texto do corpo (2)"/>
    <w:basedOn w:val="33"/>
    <w:qFormat/>
    <w:uiPriority w:val="0"/>
    <w:rPr>
      <w:rFonts w:ascii="Tahoma" w:hAnsi="Tahoma" w:eastAsia="Tahoma" w:cs="Tahoma"/>
      <w:color w:val="000000"/>
      <w:spacing w:val="0"/>
      <w:w w:val="100"/>
      <w:sz w:val="23"/>
      <w:szCs w:val="23"/>
      <w:u w:val="single"/>
      <w:lang w:val="pt-BR"/>
    </w:rPr>
  </w:style>
  <w:style w:type="paragraph" w:customStyle="1" w:styleId="35">
    <w:name w:val="Legenda1"/>
    <w:basedOn w:val="1"/>
    <w:qFormat/>
    <w:uiPriority w:val="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36">
    <w:name w:val="Índice"/>
    <w:basedOn w:val="1"/>
    <w:qFormat/>
    <w:uiPriority w:val="0"/>
    <w:pPr>
      <w:suppressLineNumbers/>
    </w:pPr>
    <w:rPr>
      <w:rFonts w:cs="Arial Unicode MS"/>
    </w:rPr>
  </w:style>
  <w:style w:type="paragraph" w:customStyle="1" w:styleId="37">
    <w:name w:val="Cabeçalho e Rodapé"/>
    <w:basedOn w:val="1"/>
    <w:qFormat/>
    <w:uiPriority w:val="0"/>
  </w:style>
  <w:style w:type="paragraph" w:styleId="38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39">
    <w:name w:val="No Spacing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pt-BR" w:bidi="ar-SA"/>
    </w:rPr>
  </w:style>
  <w:style w:type="paragraph" w:customStyle="1" w:styleId="40">
    <w:name w:val="Conteúdo do quadro"/>
    <w:basedOn w:val="1"/>
    <w:qFormat/>
    <w:uiPriority w:val="0"/>
  </w:style>
  <w:style w:type="paragraph" w:customStyle="1" w:styleId="41">
    <w:name w:val="Conteúdo da tabela"/>
    <w:basedOn w:val="1"/>
    <w:qFormat/>
    <w:uiPriority w:val="0"/>
    <w:pPr>
      <w:widowControl w:val="0"/>
      <w:suppressLineNumbers/>
    </w:pPr>
  </w:style>
  <w:style w:type="paragraph" w:customStyle="1" w:styleId="42">
    <w:name w:val="Table Paragraph"/>
    <w:basedOn w:val="1"/>
    <w:qFormat/>
    <w:uiPriority w:val="0"/>
    <w:pPr>
      <w:ind w:left="67"/>
    </w:pPr>
  </w:style>
  <w:style w:type="paragraph" w:customStyle="1" w:styleId="43">
    <w:name w:val="Tabela normal1"/>
    <w:qFormat/>
    <w:uiPriority w:val="0"/>
    <w:pPr>
      <w:suppressAutoHyphens/>
      <w:spacing w:after="200" w:line="276" w:lineRule="auto"/>
    </w:pPr>
    <w:rPr>
      <w:rFonts w:ascii="Calibri" w:hAnsi="Calibri" w:eastAsia="Times New Roman" w:cs="Times New Roman"/>
      <w:sz w:val="22"/>
      <w:szCs w:val="22"/>
      <w:lang w:val="pt-BR" w:eastAsia="pt-BR" w:bidi="ar-SA"/>
    </w:rPr>
  </w:style>
  <w:style w:type="paragraph" w:customStyle="1" w:styleId="44">
    <w:name w:val="WW-Corpo de texto 2"/>
    <w:basedOn w:val="1"/>
    <w:qFormat/>
    <w:uiPriority w:val="0"/>
    <w:pPr>
      <w:widowControl w:val="0"/>
      <w:jc w:val="both"/>
    </w:pPr>
    <w:rPr>
      <w:rFonts w:ascii="Arial" w:hAnsi="Arial" w:eastAsia="Bitstream Vera Sans" w:cs="Tahoma"/>
      <w:lang w:eastAsia="ar-SA"/>
    </w:rPr>
  </w:style>
  <w:style w:type="paragraph" w:customStyle="1" w:styleId="45">
    <w:name w:val="Texto do corpo"/>
    <w:basedOn w:val="1"/>
    <w:qFormat/>
    <w:uiPriority w:val="0"/>
    <w:pPr>
      <w:widowControl w:val="0"/>
      <w:shd w:val="clear" w:color="auto" w:fill="FFFFFF"/>
      <w:spacing w:line="293" w:lineRule="exact"/>
      <w:jc w:val="both"/>
    </w:pPr>
    <w:rPr>
      <w:rFonts w:ascii="Tahoma" w:hAnsi="Tahoma" w:eastAsia="Tahoma" w:cs="Tahoma"/>
    </w:rPr>
  </w:style>
  <w:style w:type="character" w:customStyle="1" w:styleId="46">
    <w:name w:val="Cabeçalho Char1"/>
    <w:basedOn w:val="2"/>
    <w:link w:val="12"/>
    <w:semiHidden/>
    <w:uiPriority w:val="99"/>
  </w:style>
  <w:style w:type="character" w:customStyle="1" w:styleId="47">
    <w:name w:val="Rodapé Char2"/>
    <w:basedOn w:val="2"/>
    <w:link w:val="1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6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sms</Company>
  <Pages>5</Pages>
  <Words>1124</Words>
  <Characters>6073</Characters>
  <Lines>50</Lines>
  <Paragraphs>14</Paragraphs>
  <TotalTime>19</TotalTime>
  <ScaleCrop>false</ScaleCrop>
  <LinksUpToDate>false</LinksUpToDate>
  <CharactersWithSpaces>7183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2025-04-10T19:54:00Z</dcterms:created>
  <dc:creator>ssagab03</dc:creator>
  <cp:lastModifiedBy>jessyca.ferreira</cp:lastModifiedBy>
  <cp:lastPrinted>2024-01-29T15:56:00Z</cp:lastPrinted>
  <dcterms:modified xsi:type="dcterms:W3CDTF">2025-04-22T11:38:21Z</dcterms:modified>
  <dc:title>SECRETARIA MUNICIPAL DE SAÚDE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9DD1AC5AAC964382B3201B7B0B37AAC1_13</vt:lpwstr>
  </property>
</Properties>
</file>