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120B">
      <w:pPr>
        <w:pStyle w:val="8"/>
        <w:rPr>
          <w:b/>
          <w:sz w:val="28"/>
          <w:szCs w:val="28"/>
        </w:rPr>
      </w:pPr>
      <w:bookmarkStart w:id="0" w:name="_GoBack"/>
      <w:bookmarkEnd w:id="0"/>
    </w:p>
    <w:p w14:paraId="550A20C1">
      <w:pPr>
        <w:pStyle w:val="11"/>
        <w:jc w:val="both"/>
        <w:rPr>
          <w:rFonts w:ascii="Times New Roman" w:hAnsi="Times New Roman" w:cs="Times New Roman"/>
          <w:iCs/>
          <w:color w:val="auto"/>
        </w:rPr>
      </w:pPr>
    </w:p>
    <w:tbl>
      <w:tblPr>
        <w:tblStyle w:val="3"/>
        <w:tblW w:w="9073" w:type="dxa"/>
        <w:tblInd w:w="-14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8"/>
        <w:gridCol w:w="3503"/>
        <w:gridCol w:w="567"/>
        <w:gridCol w:w="709"/>
        <w:gridCol w:w="1274"/>
        <w:gridCol w:w="1278"/>
        <w:gridCol w:w="1134"/>
      </w:tblGrid>
      <w:tr w14:paraId="5C351F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65634">
            <w:pPr>
              <w:jc w:val="both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A579C">
            <w:pPr>
              <w:jc w:val="both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C3A13">
            <w:pPr>
              <w:jc w:val="both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1BB1A">
            <w:pPr>
              <w:jc w:val="both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2964F6">
            <w:pPr>
              <w:jc w:val="both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VALOR UNIT.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CCE6F0">
            <w:pPr>
              <w:jc w:val="both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E06E86">
            <w:pPr>
              <w:jc w:val="both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REG. ANVISA</w:t>
            </w:r>
          </w:p>
        </w:tc>
      </w:tr>
      <w:tr w14:paraId="6806A9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8C2BA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1.1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76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CLORETO DE SÓDIO ALMOX 0,9% SOLUÇÃO INJETAVEL BOLSA DE 100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55A32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72AF6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2A5A817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7BEA1CB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0A266CE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14:paraId="4C673C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05687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2.2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468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CLORETO DE SÓDIO ALMOX 0,9% SOLUÇÃO INJETAVEL E, BOLSA 100 ML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8AD70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60674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30.000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6772A2E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1EB9871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A4C8488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14:paraId="2CD8D4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FC953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3.3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1D0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CLORETO DE SÓDIO ALMOX 0,9% SOLUÇÃO INJETAVEL E, BOLSA 1000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82D04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5F0C0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476BF30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63C1B45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215CAF9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14:paraId="4F37A9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8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B26CB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4.4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8AC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CLORETO DE SÓDIO ALMOX 0,9% SOLUÇÃO INJETAVEL E, BOLSA 1000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93F16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8412D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30.000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095182D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A0EE8D2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4BF8DF4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14:paraId="528532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0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98F7A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5.5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82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CLORETO DE SÓDIO ALMOX 0,9% SOLUÇÃO INJETAVEL BOLSA DE 250 ML</w:t>
            </w:r>
          </w:p>
          <w:p w14:paraId="44C1ED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624D1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8D878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  7.500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9EE4B99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212D114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5360AEC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14:paraId="50FD90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0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F5A6B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6.6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2E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CLORETO DE SÓDIO ALMOX 0,9% SOLUÇÃO INJETAVEL BOLSA DE 250 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428AB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870DD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22.500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07C75CE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B452494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F830522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14:paraId="0DCF1C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0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0526F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7.7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87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CLORETO DE SÓDIO ALMOX 0,9% SOLUÇÃO INJETAVEL BOLSA DE 500 ML</w:t>
            </w:r>
          </w:p>
          <w:p w14:paraId="65A607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82B8B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456A2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  7.500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9EBD5D9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8F9814A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5851ABF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14:paraId="10C598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0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A2ED1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8.8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001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CLORETO DE SÓDIO ALMOX 0,9% SOLUÇÃO INJETAVEL BOLSA DE 500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4D0D4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1823C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22.500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2EF7B88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201070A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B5B0849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  <w:tr w14:paraId="1A26AE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0" w:hRule="atLeast"/>
        </w:trPr>
        <w:tc>
          <w:tcPr>
            <w:tcW w:w="6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292A5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9.9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F7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SOLUÇÃO GLICOFISIOLÓGICA 250 ML BOLSA</w:t>
            </w:r>
          </w:p>
          <w:p w14:paraId="45D48FE9">
            <w:pPr>
              <w:jc w:val="both"/>
              <w:rPr>
                <w:sz w:val="20"/>
                <w:szCs w:val="20"/>
              </w:rPr>
            </w:pPr>
          </w:p>
          <w:p w14:paraId="3DE0B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5238D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5FDFE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  4.000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8004A61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498C083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A4244D1">
            <w:pPr>
              <w:jc w:val="both"/>
              <w:rPr>
                <w:rFonts w:ascii="Aptos Narrow" w:hAnsi="Aptos Narrow"/>
                <w:sz w:val="20"/>
                <w:szCs w:val="20"/>
              </w:rPr>
            </w:pPr>
          </w:p>
        </w:tc>
      </w:tr>
    </w:tbl>
    <w:p w14:paraId="00E59386">
      <w:pPr>
        <w:pStyle w:val="8"/>
        <w:rPr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ptos Narrow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2CE4A">
    <w:pPr>
      <w:pStyle w:val="5"/>
      <w:spacing w:line="276" w:lineRule="auto"/>
      <w:jc w:val="center"/>
      <w:rPr>
        <w:b/>
        <w:szCs w:val="26"/>
      </w:rPr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-196850</wp:posOffset>
          </wp:positionV>
          <wp:extent cx="1711960" cy="937260"/>
          <wp:effectExtent l="0" t="0" r="2540" b="0"/>
          <wp:wrapNone/>
          <wp:docPr id="1" name="Imagem 1" descr="fesp1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esp1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19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6"/>
        <w:szCs w:val="26"/>
      </w:rPr>
      <w:t xml:space="preserve">                                  </w:t>
    </w:r>
    <w:r>
      <w:rPr>
        <w:b/>
        <w:szCs w:val="26"/>
      </w:rPr>
      <w:t>FUNDAÇÃO ESTATAL DE SAÚDE DO PANTANAL</w:t>
    </w:r>
  </w:p>
  <w:p w14:paraId="4A0A41B4">
    <w:pPr>
      <w:pStyle w:val="5"/>
      <w:tabs>
        <w:tab w:val="center" w:pos="4855"/>
        <w:tab w:val="left" w:pos="7305"/>
      </w:tabs>
      <w:spacing w:line="276" w:lineRule="auto"/>
      <w:ind w:left="72"/>
      <w:jc w:val="center"/>
      <w:rPr>
        <w:szCs w:val="26"/>
      </w:rPr>
    </w:pPr>
    <w:r>
      <w:rPr>
        <w:szCs w:val="26"/>
      </w:rPr>
      <w:t xml:space="preserve">                                    HRCOX - HOSPITAL REGIONAL DE COXIM</w:t>
    </w:r>
  </w:p>
  <w:p w14:paraId="35C33CC5">
    <w:pPr>
      <w:pStyle w:val="5"/>
      <w:spacing w:line="276" w:lineRule="auto"/>
      <w:jc w:val="both"/>
      <w:rPr>
        <w:szCs w:val="26"/>
      </w:rPr>
    </w:pPr>
    <w:r>
      <w:rPr>
        <w:szCs w:val="26"/>
      </w:rPr>
      <w:t xml:space="preserve">                                                                     Dr. ÁLVARO FONTURA SILVA</w:t>
    </w:r>
  </w:p>
  <w:p w14:paraId="1BE970A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CD"/>
    <w:rsid w:val="000A5D0E"/>
    <w:rsid w:val="00176B7F"/>
    <w:rsid w:val="001E420D"/>
    <w:rsid w:val="002305CD"/>
    <w:rsid w:val="00304C63"/>
    <w:rsid w:val="00330B78"/>
    <w:rsid w:val="003F4D8D"/>
    <w:rsid w:val="00446E4C"/>
    <w:rsid w:val="004D6F59"/>
    <w:rsid w:val="0055051C"/>
    <w:rsid w:val="005C7130"/>
    <w:rsid w:val="006232AD"/>
    <w:rsid w:val="0067396A"/>
    <w:rsid w:val="007300B4"/>
    <w:rsid w:val="009430EB"/>
    <w:rsid w:val="0096089C"/>
    <w:rsid w:val="009B3B98"/>
    <w:rsid w:val="009B551A"/>
    <w:rsid w:val="00A82C76"/>
    <w:rsid w:val="00B40A3C"/>
    <w:rsid w:val="00B72218"/>
    <w:rsid w:val="00B77548"/>
    <w:rsid w:val="00BA784A"/>
    <w:rsid w:val="00C1076A"/>
    <w:rsid w:val="00D03F88"/>
    <w:rsid w:val="00D639FF"/>
    <w:rsid w:val="00DB6E28"/>
    <w:rsid w:val="00E85785"/>
    <w:rsid w:val="00EB014A"/>
    <w:rsid w:val="00EF07BF"/>
    <w:rsid w:val="00EF42C6"/>
    <w:rsid w:val="00F6032F"/>
    <w:rsid w:val="00F6704C"/>
    <w:rsid w:val="5AC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t-BR" w:eastAsia="pt-B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7">
    <w:name w:val="Menção Pendente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qFormat/>
    <w:uiPriority w:val="99"/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648</Characters>
  <Lines>5</Lines>
  <Paragraphs>1</Paragraphs>
  <TotalTime>201</TotalTime>
  <ScaleCrop>false</ScaleCrop>
  <LinksUpToDate>false</LinksUpToDate>
  <CharactersWithSpaces>766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2024-04-02T11:22:00Z</dcterms:created>
  <dc:creator>User</dc:creator>
  <cp:lastModifiedBy>jessyca.ferreira</cp:lastModifiedBy>
  <cp:lastPrinted>2024-06-13T18:01:00Z</cp:lastPrinted>
  <dcterms:modified xsi:type="dcterms:W3CDTF">2024-07-03T19:03:28Z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46094F6083784FDAAC9FC8213DE6BFE4_13</vt:lpwstr>
  </property>
</Properties>
</file>