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7618">
      <w:pPr>
        <w:rPr>
          <w:rFonts w:ascii="Arial" w:hAnsi="Arial" w:cs="Arial"/>
          <w:b/>
          <w:bCs/>
          <w:sz w:val="22"/>
          <w:szCs w:val="22"/>
          <w:lang w:eastAsia="en-US"/>
        </w:rPr>
      </w:pPr>
      <w:bookmarkStart w:id="47" w:name="_GoBack"/>
      <w:bookmarkEnd w:id="47"/>
    </w:p>
    <w:p w14:paraId="5723729D">
      <w:pPr>
        <w:autoSpaceDE w:val="0"/>
        <w:autoSpaceDN w:val="0"/>
        <w:adjustRightInd w:val="0"/>
        <w:spacing w:before="120" w:line="276" w:lineRule="auto"/>
        <w:rPr>
          <w:rFonts w:ascii="Arial" w:hAnsi="Arial" w:cs="Arial"/>
          <w:b/>
          <w:bCs/>
          <w:sz w:val="22"/>
          <w:szCs w:val="22"/>
          <w:lang w:eastAsia="en-US"/>
        </w:rPr>
      </w:pPr>
    </w:p>
    <w:p w14:paraId="5EDE190E">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PREGÃO ELETRÔNICO Nº 18/2025PE</w:t>
      </w:r>
    </w:p>
    <w:p w14:paraId="09742081">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PROCESSO Nº 250424PE00063</w:t>
      </w:r>
    </w:p>
    <w:p w14:paraId="470FB65A">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 xml:space="preserve">CRITÉRIO DE JULGAMENTO: (MENOR PREÇO) </w:t>
      </w:r>
    </w:p>
    <w:p w14:paraId="0EFC9444">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 xml:space="preserve">LOCAL: </w:t>
      </w:r>
      <w:r>
        <w:fldChar w:fldCharType="begin"/>
      </w:r>
      <w:r>
        <w:instrText xml:space="preserve"> HYPERLINK "http://WWW.NOVOBBMNET.COM.BR" </w:instrText>
      </w:r>
      <w:r>
        <w:fldChar w:fldCharType="separate"/>
      </w:r>
      <w:r>
        <w:rPr>
          <w:rStyle w:val="13"/>
          <w:rFonts w:ascii="Arial" w:hAnsi="Arial" w:cs="Arial"/>
          <w:b/>
          <w:bCs/>
          <w:sz w:val="22"/>
          <w:szCs w:val="22"/>
          <w:lang w:eastAsia="en-US"/>
        </w:rPr>
        <w:t>WWW.NOVOBBMNET.COM.BR</w:t>
      </w:r>
      <w:r>
        <w:rPr>
          <w:rStyle w:val="13"/>
          <w:rFonts w:ascii="Arial" w:hAnsi="Arial" w:cs="Arial"/>
          <w:b/>
          <w:bCs/>
          <w:sz w:val="22"/>
          <w:szCs w:val="22"/>
          <w:lang w:eastAsia="en-US"/>
        </w:rPr>
        <w:fldChar w:fldCharType="end"/>
      </w:r>
    </w:p>
    <w:p w14:paraId="77ACCE2B">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INICIO DE RECEBIMENTO DAS PROPOSTAS (05/06/2025 – 09.00)</w:t>
      </w:r>
    </w:p>
    <w:p w14:paraId="629E6538">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TÉRMINO DO RECEBIMENTO DE PROPOSTAS: (18/06/2025 – 08.30)</w:t>
      </w:r>
    </w:p>
    <w:p w14:paraId="1D73A740">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ABERTURA E ANÁLISE DE PROPOSTA: (18/06/2025 – 09.00)</w:t>
      </w:r>
    </w:p>
    <w:p w14:paraId="1848343D">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INÍCIO DA ETAPA DE LANCES: (18/06/2025 – 09.10)</w:t>
      </w:r>
    </w:p>
    <w:p w14:paraId="11A8BD8A">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SISTEMA: BBMNET LICITAÇÕES ELETRONICAS </w:t>
      </w:r>
    </w:p>
    <w:p w14:paraId="54E0BBFB">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MODO DE DISPUTA: (Aberto) </w:t>
      </w:r>
    </w:p>
    <w:p w14:paraId="01B2132E">
      <w:pPr>
        <w:spacing w:before="120" w:line="276" w:lineRule="auto"/>
        <w:jc w:val="both"/>
        <w:rPr>
          <w:rFonts w:ascii="Arial" w:hAnsi="Arial" w:cs="Arial"/>
          <w:b/>
          <w:bCs/>
          <w:sz w:val="22"/>
          <w:szCs w:val="22"/>
          <w:lang w:eastAsia="en-US"/>
        </w:rPr>
      </w:pPr>
      <w:r>
        <w:rPr>
          <w:rFonts w:ascii="Arial" w:hAnsi="Arial" w:cs="Arial"/>
          <w:b/>
          <w:bCs/>
          <w:sz w:val="22"/>
          <w:szCs w:val="22"/>
          <w:lang w:eastAsia="en-US"/>
        </w:rPr>
        <w:t>OBJETO: Contratação de empresa especializada para o fornecimento e entrega de medicamentos destinados à Controle Especial para atendimento da Secretaria Municipal de Saúde no município.</w:t>
      </w:r>
    </w:p>
    <w:p w14:paraId="6569EE95">
      <w:pPr>
        <w:spacing w:before="120" w:line="276" w:lineRule="auto"/>
        <w:rPr>
          <w:rFonts w:ascii="Arial" w:hAnsi="Arial" w:cs="Arial"/>
          <w:b/>
          <w:bCs/>
          <w:sz w:val="22"/>
          <w:szCs w:val="22"/>
          <w:lang w:eastAsia="en-US"/>
        </w:rPr>
      </w:pPr>
      <w:r>
        <w:rPr>
          <w:rFonts w:ascii="Arial" w:hAnsi="Arial" w:cs="Arial"/>
          <w:b/>
          <w:bCs/>
          <w:sz w:val="22"/>
          <w:szCs w:val="22"/>
          <w:lang w:eastAsia="en-US"/>
        </w:rPr>
        <w:t>EXCLUSIVO PARA ME/EPP: não</w:t>
      </w:r>
    </w:p>
    <w:p w14:paraId="5B314165">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VALIDADE DA PROPOSTA: (60 DIAS) </w:t>
      </w:r>
    </w:p>
    <w:p w14:paraId="64A32B74">
      <w:pPr>
        <w:snapToGrid w:val="0"/>
        <w:spacing w:before="120" w:line="276" w:lineRule="auto"/>
        <w:ind w:firstLine="567"/>
        <w:jc w:val="both"/>
        <w:rPr>
          <w:rFonts w:ascii="Arial" w:hAnsi="Arial" w:cs="Arial"/>
          <w:color w:val="000000"/>
          <w:sz w:val="22"/>
          <w:szCs w:val="22"/>
        </w:rPr>
      </w:pPr>
    </w:p>
    <w:p w14:paraId="189F9374">
      <w:pPr>
        <w:snapToGrid w:val="0"/>
        <w:spacing w:before="120" w:line="276" w:lineRule="auto"/>
        <w:ind w:firstLine="567"/>
        <w:jc w:val="both"/>
        <w:rPr>
          <w:rFonts w:ascii="Arial" w:hAnsi="Arial" w:eastAsia="Times New Roman" w:cs="Arial"/>
          <w:sz w:val="22"/>
          <w:szCs w:val="22"/>
        </w:rPr>
      </w:pPr>
      <w:r>
        <w:rPr>
          <w:rFonts w:ascii="Arial" w:hAnsi="Arial" w:cs="Arial"/>
          <w:color w:val="000000"/>
          <w:sz w:val="22"/>
          <w:szCs w:val="22"/>
        </w:rPr>
        <w:t xml:space="preserve">Torna-se público que o(a) </w:t>
      </w:r>
      <w:r>
        <w:rPr>
          <w:rFonts w:ascii="Arial" w:hAnsi="Arial" w:cs="Arial"/>
          <w:color w:val="000000" w:themeColor="text1"/>
          <w:sz w:val="22"/>
          <w:szCs w:val="22"/>
          <w14:textFill>
            <w14:solidFill>
              <w14:schemeClr w14:val="tx1"/>
            </w14:solidFill>
          </w14:textFill>
        </w:rPr>
        <w:t xml:space="preserve">Prefeitura Municipal de RAFAEL FERNANDES, </w:t>
      </w:r>
      <w:r>
        <w:rPr>
          <w:rFonts w:ascii="Arial" w:hAnsi="Arial" w:cs="Arial"/>
          <w:color w:val="000000"/>
          <w:sz w:val="22"/>
          <w:szCs w:val="22"/>
        </w:rPr>
        <w:t>sediado(a) Rua</w:t>
      </w:r>
      <w:r>
        <w:rPr>
          <w:rFonts w:ascii="Times New Roman" w:hAnsi="Times New Roman"/>
          <w:b/>
          <w:sz w:val="20"/>
        </w:rPr>
        <w:t xml:space="preserve"> josé martins de oliveira, Nº. 178 – Bairro: Centro</w:t>
      </w:r>
      <w:r>
        <w:rPr>
          <w:rFonts w:ascii="Arial" w:hAnsi="Arial" w:cs="Arial"/>
          <w:color w:val="000000"/>
          <w:sz w:val="22"/>
          <w:szCs w:val="22"/>
        </w:rPr>
        <w:t>,  realizará licitação, na modalidade PREGÃO, na forma ELETRÔNICA,</w:t>
      </w:r>
      <w:r>
        <w:rPr>
          <w:rFonts w:ascii="Arial" w:hAnsi="Arial" w:eastAsia="Times New Roman" w:cs="Arial"/>
          <w:color w:val="000000"/>
          <w:sz w:val="22"/>
          <w:szCs w:val="22"/>
        </w:rPr>
        <w:t xml:space="preserve"> </w:t>
      </w:r>
      <w:r>
        <w:rPr>
          <w:rFonts w:ascii="Arial" w:hAnsi="Arial" w:cs="Arial"/>
          <w:color w:val="000000"/>
          <w:sz w:val="22"/>
          <w:szCs w:val="22"/>
        </w:rPr>
        <w:t xml:space="preserve">nos termos da </w:t>
      </w:r>
      <w:r>
        <w:rPr>
          <w:rFonts w:ascii="Arial" w:hAnsi="Arial" w:cs="Arial"/>
          <w:sz w:val="22"/>
          <w:szCs w:val="22"/>
        </w:rPr>
        <w:t>Lei nº 14.133, de 2021, e demais legislação aplicável e, ainda, de acordo com as condições estabelecidas neste Edital</w:t>
      </w:r>
      <w:r>
        <w:rPr>
          <w:rFonts w:ascii="Arial" w:hAnsi="Arial" w:eastAsia="Times New Roman" w:cs="Arial"/>
          <w:sz w:val="22"/>
          <w:szCs w:val="22"/>
        </w:rPr>
        <w:t>.</w:t>
      </w:r>
    </w:p>
    <w:p w14:paraId="00B217AE">
      <w:pPr>
        <w:pStyle w:val="41"/>
        <w:spacing w:before="120" w:line="276" w:lineRule="auto"/>
        <w:ind w:left="0" w:firstLine="567"/>
        <w:rPr>
          <w:sz w:val="22"/>
          <w:szCs w:val="22"/>
          <w:lang w:eastAsia="en-US"/>
        </w:rPr>
      </w:pPr>
      <w:bookmarkStart w:id="0" w:name="_Toc122606103"/>
      <w:r>
        <w:rPr>
          <w:sz w:val="22"/>
          <w:szCs w:val="22"/>
          <w:lang w:eastAsia="en-US"/>
        </w:rPr>
        <w:t>DO OBJETO</w:t>
      </w:r>
      <w:bookmarkEnd w:id="0"/>
    </w:p>
    <w:p w14:paraId="4B43170C">
      <w:pPr>
        <w:pStyle w:val="58"/>
        <w:spacing w:after="0"/>
        <w:ind w:left="0" w:firstLine="709"/>
        <w:rPr>
          <w:sz w:val="22"/>
          <w:szCs w:val="22"/>
        </w:rPr>
      </w:pPr>
      <w:r>
        <w:rPr>
          <w:sz w:val="22"/>
          <w:szCs w:val="22"/>
        </w:rPr>
        <w:t xml:space="preserve">O objeto da presente licitação cuida da </w:t>
      </w:r>
      <w:r>
        <w:rPr>
          <w:b/>
          <w:bCs/>
          <w:sz w:val="22"/>
          <w:szCs w:val="22"/>
          <w:lang w:eastAsia="en-US"/>
        </w:rPr>
        <w:t>Contratação de empresa especializada para o fornecimento e entrega de medicamentos destinados à Controle Especial para atendimento da Secretaria Municipal de Saúde no município</w:t>
      </w:r>
      <w:r>
        <w:rPr>
          <w:sz w:val="22"/>
          <w:szCs w:val="22"/>
        </w:rPr>
        <w:t>, destinados a suprir as necessidades das secretarias solicitantes. conforme condições, quantidades e exigências estabelecidas neste Edital e seus anexos.</w:t>
      </w:r>
    </w:p>
    <w:p w14:paraId="362AFB15">
      <w:pPr>
        <w:pStyle w:val="41"/>
        <w:spacing w:before="120" w:line="276" w:lineRule="auto"/>
        <w:ind w:left="0" w:firstLine="567"/>
        <w:rPr>
          <w:sz w:val="22"/>
          <w:szCs w:val="22"/>
        </w:rPr>
      </w:pPr>
      <w:bookmarkStart w:id="1" w:name="_Toc122606104"/>
      <w:r>
        <w:rPr>
          <w:sz w:val="22"/>
          <w:szCs w:val="22"/>
        </w:rPr>
        <w:t>DA PARTICIPAÇÃO NA LICITAÇÃO</w:t>
      </w:r>
      <w:bookmarkEnd w:id="1"/>
    </w:p>
    <w:p w14:paraId="29EF2255">
      <w:pPr>
        <w:pStyle w:val="58"/>
        <w:spacing w:after="0"/>
        <w:ind w:left="0" w:firstLine="567"/>
        <w:rPr>
          <w:color w:val="auto"/>
          <w:sz w:val="22"/>
          <w:szCs w:val="22"/>
        </w:rPr>
      </w:pPr>
      <w:r>
        <w:rPr>
          <w:color w:val="auto"/>
          <w:sz w:val="22"/>
          <w:szCs w:val="22"/>
        </w:rPr>
        <w:t xml:space="preserve">Poderão participar deste Pregão os interessados que estiverem previamente credenciados no Plataforma BBMNET Licitações Eletrônicas da Bolsa Brasileira de Mercadorias, no endereço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color w:val="auto"/>
          <w:sz w:val="22"/>
          <w:szCs w:val="22"/>
        </w:rPr>
        <w:t xml:space="preserve">.  </w:t>
      </w:r>
    </w:p>
    <w:p w14:paraId="150F85FA">
      <w:pPr>
        <w:pStyle w:val="58"/>
        <w:spacing w:after="0"/>
        <w:ind w:left="0" w:firstLine="567"/>
        <w:rPr>
          <w:color w:val="auto"/>
          <w:sz w:val="22"/>
          <w:szCs w:val="22"/>
        </w:rPr>
      </w:pPr>
      <w:r>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744A58">
      <w:pPr>
        <w:pStyle w:val="58"/>
        <w:spacing w:after="0"/>
        <w:ind w:left="0" w:firstLine="567"/>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rPr>
          <w:rFonts w:eastAsia="Times New Roman"/>
          <w:sz w:val="22"/>
          <w:szCs w:val="22"/>
        </w:rPr>
        <w:t xml:space="preserve">artigo </w:t>
      </w:r>
      <w:r>
        <w:rPr>
          <w:sz w:val="22"/>
          <w:szCs w:val="22"/>
        </w:rPr>
        <w:t>16 da Lei nº 14.133, de 2021</w:t>
      </w:r>
      <w:r>
        <w:rPr>
          <w:color w:val="auto"/>
          <w:sz w:val="22"/>
          <w:szCs w:val="22"/>
        </w:rPr>
        <w:t xml:space="preserve">, para o agricultor familiar, o produtor rural pessoa física e para o microempreendedor individual - MEI, nos limites previstos da </w:t>
      </w:r>
      <w:r>
        <w:rPr>
          <w:sz w:val="22"/>
          <w:szCs w:val="22"/>
        </w:rPr>
        <w:t>Lei Complementar nº 123, de 2006</w:t>
      </w:r>
      <w:r>
        <w:rPr>
          <w:color w:val="auto"/>
          <w:sz w:val="22"/>
          <w:szCs w:val="22"/>
        </w:rPr>
        <w:t>.</w:t>
      </w:r>
    </w:p>
    <w:p w14:paraId="1E54BE7B">
      <w:pPr>
        <w:pStyle w:val="58"/>
        <w:spacing w:after="0"/>
        <w:ind w:left="0" w:firstLine="567"/>
        <w:rPr>
          <w:rFonts w:eastAsia="Times New Roman"/>
          <w:color w:val="auto"/>
          <w:sz w:val="22"/>
          <w:szCs w:val="22"/>
        </w:rPr>
      </w:pPr>
      <w:bookmarkStart w:id="2" w:name="_Ref117000692"/>
      <w:r>
        <w:rPr>
          <w:rFonts w:eastAsia="Times New Roman"/>
          <w:color w:val="auto"/>
          <w:sz w:val="22"/>
          <w:szCs w:val="22"/>
        </w:rPr>
        <w:t>Não poderão disputar esta licitação:</w:t>
      </w:r>
      <w:bookmarkEnd w:id="2"/>
    </w:p>
    <w:p w14:paraId="341C241D">
      <w:pPr>
        <w:numPr>
          <w:ilvl w:val="2"/>
          <w:numId w:val="2"/>
        </w:numPr>
        <w:tabs>
          <w:tab w:val="left" w:pos="1440"/>
        </w:tabs>
        <w:autoSpaceDE w:val="0"/>
        <w:snapToGrid w:val="0"/>
        <w:spacing w:before="120" w:line="276" w:lineRule="auto"/>
        <w:ind w:left="0" w:firstLine="567"/>
        <w:jc w:val="both"/>
        <w:rPr>
          <w:rFonts w:ascii="Arial" w:hAnsi="Arial" w:cs="Arial"/>
          <w:sz w:val="22"/>
          <w:szCs w:val="22"/>
        </w:rPr>
      </w:pPr>
      <w:bookmarkStart w:id="3" w:name="_Ref113883338"/>
      <w:r>
        <w:rPr>
          <w:rFonts w:ascii="Arial" w:hAnsi="Arial" w:cs="Arial"/>
          <w:sz w:val="22"/>
          <w:szCs w:val="22"/>
        </w:rPr>
        <w:t>aquele que não atenda às condições deste Edital e seu(s) anexo(s);</w:t>
      </w:r>
    </w:p>
    <w:p w14:paraId="36A2458D">
      <w:pPr>
        <w:pStyle w:val="60"/>
        <w:spacing w:after="0"/>
        <w:ind w:left="0" w:firstLine="567"/>
        <w:rPr>
          <w:color w:val="auto"/>
          <w:sz w:val="22"/>
          <w:szCs w:val="22"/>
        </w:rPr>
      </w:pPr>
      <w:bookmarkStart w:id="4" w:name="_Ref114659912"/>
      <w:r>
        <w:rPr>
          <w:color w:val="auto"/>
          <w:sz w:val="22"/>
          <w:szCs w:val="22"/>
        </w:rPr>
        <w:t>autor do anteprojeto, do projeto básico ou do projeto executivo, pessoa física ou jurídica, quando a licitação versar sobre serviços ou fornecimento de bens a ele relacionados;</w:t>
      </w:r>
      <w:bookmarkEnd w:id="3"/>
      <w:bookmarkEnd w:id="4"/>
    </w:p>
    <w:p w14:paraId="0A5303F9">
      <w:pPr>
        <w:pStyle w:val="60"/>
        <w:spacing w:after="0"/>
        <w:ind w:left="0" w:firstLine="567"/>
        <w:rPr>
          <w:color w:val="auto"/>
          <w:sz w:val="22"/>
          <w:szCs w:val="22"/>
        </w:rPr>
      </w:pPr>
      <w:bookmarkStart w:id="5" w:name="_Ref114659913"/>
      <w:bookmarkStart w:id="6" w:name="_Ref113883339"/>
      <w:r>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Pr>
          <w:color w:val="auto"/>
          <w:sz w:val="22"/>
          <w:szCs w:val="22"/>
        </w:rPr>
        <w:t xml:space="preserve"> </w:t>
      </w:r>
      <w:bookmarkEnd w:id="6"/>
    </w:p>
    <w:p w14:paraId="2DCC2174">
      <w:pPr>
        <w:pStyle w:val="60"/>
        <w:spacing w:after="0"/>
        <w:ind w:left="0" w:firstLine="709"/>
        <w:rPr>
          <w:color w:val="auto"/>
          <w:sz w:val="22"/>
          <w:szCs w:val="22"/>
        </w:rPr>
      </w:pPr>
      <w:bookmarkStart w:id="7" w:name="_Ref113883003"/>
      <w:r>
        <w:rPr>
          <w:color w:val="auto"/>
          <w:sz w:val="22"/>
          <w:szCs w:val="22"/>
        </w:rPr>
        <w:t>pessoa física ou jurídica que se encontre, ao tempo da licitação, impossibilitada de participar da licitação em decorrência de sanção que lhe foi imposta;</w:t>
      </w:r>
      <w:bookmarkEnd w:id="7"/>
    </w:p>
    <w:p w14:paraId="0B2C2940">
      <w:pPr>
        <w:pStyle w:val="60"/>
        <w:spacing w:after="0"/>
        <w:ind w:left="0" w:firstLine="709"/>
        <w:rPr>
          <w:color w:val="auto"/>
          <w:sz w:val="22"/>
          <w:szCs w:val="22"/>
        </w:rPr>
      </w:pPr>
      <w:r>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pPr>
        <w:pStyle w:val="60"/>
        <w:spacing w:after="0"/>
        <w:ind w:left="0" w:firstLine="709"/>
        <w:rPr>
          <w:color w:val="auto"/>
          <w:sz w:val="22"/>
          <w:szCs w:val="22"/>
        </w:rPr>
      </w:pPr>
      <w:bookmarkStart w:id="8" w:name="_Ref113883579"/>
      <w:r>
        <w:rPr>
          <w:color w:val="auto"/>
          <w:sz w:val="22"/>
          <w:szCs w:val="22"/>
        </w:rPr>
        <w:t>empresas controladoras, controladas ou coligadas, nos termos da Lei nº 6.404, de 15 de dezembro de 1976, concorrendo entre si;</w:t>
      </w:r>
      <w:bookmarkEnd w:id="8"/>
    </w:p>
    <w:p w14:paraId="3620BBE9">
      <w:pPr>
        <w:pStyle w:val="60"/>
        <w:spacing w:after="0"/>
        <w:ind w:left="0" w:firstLine="709"/>
        <w:rPr>
          <w:color w:val="auto"/>
          <w:sz w:val="22"/>
          <w:szCs w:val="22"/>
        </w:rPr>
      </w:pPr>
      <w:r>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pPr>
        <w:pStyle w:val="60"/>
        <w:spacing w:after="0"/>
        <w:ind w:left="0" w:firstLine="709"/>
        <w:rPr>
          <w:color w:val="auto"/>
          <w:sz w:val="22"/>
          <w:szCs w:val="22"/>
        </w:rPr>
      </w:pPr>
      <w:bookmarkStart w:id="9" w:name="_Ref113962336"/>
      <w:r>
        <w:rPr>
          <w:color w:val="auto"/>
          <w:sz w:val="22"/>
          <w:szCs w:val="22"/>
        </w:rPr>
        <w:t>agente público do órgão ou entidade licitante;</w:t>
      </w:r>
      <w:bookmarkEnd w:id="9"/>
    </w:p>
    <w:p w14:paraId="58D1E852">
      <w:pPr>
        <w:numPr>
          <w:ilvl w:val="2"/>
          <w:numId w:val="2"/>
        </w:numPr>
        <w:tabs>
          <w:tab w:val="left" w:pos="1440"/>
        </w:tabs>
        <w:autoSpaceDE w:val="0"/>
        <w:snapToGrid w:val="0"/>
        <w:spacing w:before="120" w:line="276" w:lineRule="auto"/>
        <w:ind w:left="0" w:firstLine="709"/>
        <w:jc w:val="both"/>
        <w:rPr>
          <w:rFonts w:ascii="Arial" w:hAnsi="Arial" w:cs="Arial"/>
          <w:color w:val="000000"/>
          <w:sz w:val="22"/>
          <w:szCs w:val="22"/>
        </w:rPr>
      </w:pPr>
      <w:r>
        <w:rPr>
          <w:rFonts w:ascii="Arial" w:hAnsi="Arial" w:cs="Arial"/>
          <w:color w:val="000000"/>
          <w:sz w:val="22"/>
          <w:szCs w:val="22"/>
        </w:rPr>
        <w:t>Organizações da Sociedade Civil de Interesse Público - OSCIP, atuando nessa condição;</w:t>
      </w:r>
    </w:p>
    <w:p w14:paraId="07CA7526">
      <w:pPr>
        <w:pStyle w:val="60"/>
        <w:spacing w:after="0"/>
        <w:ind w:left="0" w:firstLine="709"/>
        <w:rPr>
          <w:sz w:val="22"/>
          <w:szCs w:val="22"/>
        </w:rPr>
      </w:pPr>
      <w:r>
        <w:rPr>
          <w:sz w:val="22"/>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7CFCE0BB">
      <w:pPr>
        <w:pStyle w:val="58"/>
        <w:spacing w:after="0"/>
        <w:ind w:left="0" w:firstLine="567"/>
        <w:rPr>
          <w:sz w:val="22"/>
          <w:szCs w:val="22"/>
        </w:rPr>
      </w:pPr>
      <w:r>
        <w:rPr>
          <w:sz w:val="22"/>
          <w:szCs w:val="22"/>
        </w:rPr>
        <w:t xml:space="preserve">O impedimento de que trata o item </w:t>
      </w:r>
      <w:r>
        <w:rPr>
          <w:sz w:val="22"/>
          <w:szCs w:val="22"/>
        </w:rPr>
        <w:fldChar w:fldCharType="begin"/>
      </w:r>
      <w:r>
        <w:rPr>
          <w:sz w:val="22"/>
          <w:szCs w:val="22"/>
        </w:rPr>
        <w:instrText xml:space="preserve"> REF _Ref113883003 \r \h  \* MERGEFORMAT </w:instrText>
      </w:r>
      <w:r>
        <w:rPr>
          <w:sz w:val="22"/>
          <w:szCs w:val="22"/>
        </w:rPr>
        <w:fldChar w:fldCharType="separate"/>
      </w:r>
      <w:r>
        <w:rPr>
          <w:sz w:val="22"/>
          <w:szCs w:val="22"/>
        </w:rPr>
        <w:t>2.4.4</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pPr>
        <w:pStyle w:val="58"/>
        <w:spacing w:after="0"/>
        <w:ind w:left="0" w:firstLine="567"/>
        <w:rPr>
          <w:sz w:val="22"/>
          <w:szCs w:val="22"/>
        </w:rPr>
      </w:pPr>
      <w:bookmarkStart w:id="10" w:name="art14§2"/>
      <w:bookmarkEnd w:id="10"/>
      <w:r>
        <w:rPr>
          <w:sz w:val="22"/>
          <w:szCs w:val="22"/>
        </w:rPr>
        <w:t xml:space="preserve">A critério da Administração e exclusivamente a seu serviço, o autor dos projetos e a empresa a que se referem os itens </w:t>
      </w:r>
      <w:r>
        <w:rPr>
          <w:sz w:val="22"/>
          <w:szCs w:val="22"/>
        </w:rPr>
        <w:fldChar w:fldCharType="begin"/>
      </w:r>
      <w:r>
        <w:rPr>
          <w:sz w:val="22"/>
          <w:szCs w:val="22"/>
        </w:rPr>
        <w:instrText xml:space="preserve"> REF _Ref114659912 \r \h  \* MERGEFORMAT </w:instrText>
      </w:r>
      <w:r>
        <w:rPr>
          <w:sz w:val="22"/>
          <w:szCs w:val="22"/>
        </w:rPr>
        <w:fldChar w:fldCharType="separate"/>
      </w:r>
      <w:r>
        <w:rPr>
          <w:sz w:val="22"/>
          <w:szCs w:val="22"/>
        </w:rPr>
        <w:t>2.4.2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_Ref114659913 \r \h  \* MERGEFORMAT </w:instrText>
      </w:r>
      <w:r>
        <w:rPr>
          <w:sz w:val="22"/>
          <w:szCs w:val="22"/>
        </w:rPr>
        <w:fldChar w:fldCharType="separate"/>
      </w:r>
      <w:r>
        <w:rPr>
          <w:sz w:val="22"/>
          <w:szCs w:val="22"/>
        </w:rPr>
        <w:t>2.4.3</w:t>
      </w:r>
      <w:r>
        <w:rPr>
          <w:sz w:val="22"/>
          <w:szCs w:val="22"/>
        </w:rPr>
        <w:fldChar w:fldCharType="end"/>
      </w:r>
      <w:r>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05C5E780">
      <w:pPr>
        <w:pStyle w:val="58"/>
        <w:spacing w:after="0"/>
        <w:ind w:left="0" w:firstLine="567"/>
        <w:rPr>
          <w:sz w:val="22"/>
          <w:szCs w:val="22"/>
        </w:rPr>
      </w:pPr>
      <w:bookmarkStart w:id="11" w:name="art14§3"/>
      <w:bookmarkEnd w:id="11"/>
      <w:r>
        <w:rPr>
          <w:sz w:val="22"/>
          <w:szCs w:val="22"/>
        </w:rPr>
        <w:t>Equiparam-se aos autores do projeto as empresas integrantes do mesmo grupo econômico.</w:t>
      </w:r>
    </w:p>
    <w:p w14:paraId="144ECC01">
      <w:pPr>
        <w:pStyle w:val="58"/>
        <w:spacing w:after="0"/>
        <w:ind w:left="0" w:firstLine="567"/>
        <w:rPr>
          <w:sz w:val="22"/>
          <w:szCs w:val="22"/>
        </w:rPr>
      </w:pPr>
      <w:bookmarkStart w:id="12" w:name="art14§4"/>
      <w:bookmarkEnd w:id="12"/>
      <w:r>
        <w:rPr>
          <w:sz w:val="22"/>
          <w:szCs w:val="22"/>
        </w:rPr>
        <w:t xml:space="preserve">O disposto nos itens </w:t>
      </w:r>
      <w:r>
        <w:rPr>
          <w:sz w:val="22"/>
          <w:szCs w:val="22"/>
        </w:rPr>
        <w:fldChar w:fldCharType="begin"/>
      </w:r>
      <w:r>
        <w:rPr>
          <w:sz w:val="22"/>
          <w:szCs w:val="22"/>
        </w:rPr>
        <w:instrText xml:space="preserve"> REF _Ref114659912 \r \h  \* MERGEFORMAT </w:instrText>
      </w:r>
      <w:r>
        <w:rPr>
          <w:sz w:val="22"/>
          <w:szCs w:val="22"/>
        </w:rPr>
        <w:fldChar w:fldCharType="separate"/>
      </w:r>
      <w:r>
        <w:rPr>
          <w:sz w:val="22"/>
          <w:szCs w:val="22"/>
        </w:rPr>
        <w:t>2.4.2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_Ref114659913 \r \h  \* MERGEFORMAT </w:instrText>
      </w:r>
      <w:r>
        <w:rPr>
          <w:sz w:val="22"/>
          <w:szCs w:val="22"/>
        </w:rPr>
        <w:fldChar w:fldCharType="separate"/>
      </w:r>
      <w:r>
        <w:rPr>
          <w:sz w:val="22"/>
          <w:szCs w:val="22"/>
        </w:rPr>
        <w:t>2.4.3</w:t>
      </w:r>
      <w:r>
        <w:rPr>
          <w:sz w:val="22"/>
          <w:szCs w:val="22"/>
        </w:rPr>
        <w:fldChar w:fldCharType="end"/>
      </w:r>
      <w:r>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pPr>
        <w:pStyle w:val="58"/>
        <w:spacing w:after="0"/>
        <w:ind w:left="0" w:firstLine="567"/>
        <w:rPr>
          <w:sz w:val="22"/>
          <w:szCs w:val="22"/>
        </w:rPr>
      </w:pPr>
      <w:bookmarkStart w:id="13" w:name="art14§5"/>
      <w:bookmarkEnd w:id="13"/>
      <w:r>
        <w:rPr>
          <w:sz w:val="22"/>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2BFAAE96">
      <w:pPr>
        <w:pStyle w:val="58"/>
        <w:spacing w:after="0"/>
        <w:ind w:left="0" w:firstLine="567"/>
        <w:rPr>
          <w:sz w:val="22"/>
          <w:szCs w:val="22"/>
        </w:rPr>
      </w:pPr>
      <w:r>
        <w:rPr>
          <w:sz w:val="22"/>
          <w:szCs w:val="22"/>
        </w:rPr>
        <w:t xml:space="preserve">A vedação de que trata o item </w:t>
      </w:r>
      <w:r>
        <w:rPr>
          <w:sz w:val="22"/>
          <w:szCs w:val="22"/>
        </w:rPr>
        <w:fldChar w:fldCharType="begin"/>
      </w:r>
      <w:r>
        <w:rPr>
          <w:sz w:val="22"/>
          <w:szCs w:val="22"/>
        </w:rPr>
        <w:instrText xml:space="preserve"> REF _Ref113962336 \r \h  \* MERGEFORMAT </w:instrText>
      </w:r>
      <w:r>
        <w:rPr>
          <w:sz w:val="22"/>
          <w:szCs w:val="22"/>
        </w:rPr>
        <w:fldChar w:fldCharType="separate"/>
      </w:r>
      <w:r>
        <w:rPr>
          <w:sz w:val="22"/>
          <w:szCs w:val="22"/>
        </w:rPr>
        <w:t>2.4.8</w:t>
      </w:r>
      <w:r>
        <w:rPr>
          <w:sz w:val="22"/>
          <w:szCs w:val="22"/>
        </w:rPr>
        <w:fldChar w:fldCharType="end"/>
      </w:r>
      <w:r>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4B0879D9">
      <w:pPr>
        <w:pStyle w:val="41"/>
        <w:spacing w:before="120" w:line="276" w:lineRule="auto"/>
        <w:ind w:left="0" w:firstLine="567"/>
        <w:rPr>
          <w:sz w:val="22"/>
          <w:szCs w:val="22"/>
        </w:rPr>
      </w:pPr>
      <w:bookmarkStart w:id="14" w:name="_Toc122606105"/>
      <w:r>
        <w:rPr>
          <w:sz w:val="22"/>
          <w:szCs w:val="22"/>
        </w:rPr>
        <w:t xml:space="preserve">DA APRESENTAÇÃO DA PROPOSTA </w:t>
      </w:r>
      <w:bookmarkEnd w:id="14"/>
    </w:p>
    <w:p w14:paraId="46E88CD0">
      <w:pPr>
        <w:pStyle w:val="58"/>
        <w:spacing w:after="0"/>
        <w:ind w:left="0" w:firstLine="567"/>
        <w:rPr>
          <w:color w:val="auto"/>
          <w:sz w:val="22"/>
          <w:szCs w:val="22"/>
        </w:rPr>
      </w:pPr>
      <w:bookmarkStart w:id="15" w:name="_Ref113886867"/>
      <w:r>
        <w:rPr>
          <w:color w:val="auto"/>
          <w:sz w:val="22"/>
          <w:szCs w:val="22"/>
        </w:rPr>
        <w:t xml:space="preserve">Os licitantes encaminharão, exclusivamente por meio do sistema eletrônico, a proposta com o preço ou o percentual de desconto, conforme o critério de julgamento adotado neste Edital, </w:t>
      </w:r>
      <w:bookmarkEnd w:id="15"/>
      <w:r>
        <w:rPr>
          <w:color w:val="auto"/>
          <w:sz w:val="22"/>
          <w:szCs w:val="22"/>
        </w:rPr>
        <w:t>até o fim do recebimento de propostas.</w:t>
      </w:r>
    </w:p>
    <w:p w14:paraId="356FA13C">
      <w:pPr>
        <w:pStyle w:val="58"/>
        <w:spacing w:after="0"/>
        <w:ind w:left="0" w:firstLine="567"/>
        <w:rPr>
          <w:color w:val="auto"/>
          <w:sz w:val="22"/>
          <w:szCs w:val="22"/>
        </w:rPr>
      </w:pPr>
      <w:bookmarkStart w:id="16" w:name="_Ref113968921"/>
      <w:r>
        <w:rPr>
          <w:rFonts w:eastAsia="Times New Roman"/>
          <w:color w:val="auto"/>
          <w:sz w:val="22"/>
          <w:szCs w:val="22"/>
        </w:rPr>
        <w:t>No cadastramento da proposta inicial, o licitante declarará, em campo próprio do sistema, que:</w:t>
      </w:r>
      <w:bookmarkEnd w:id="16"/>
    </w:p>
    <w:p w14:paraId="16893B9D">
      <w:pPr>
        <w:pStyle w:val="60"/>
        <w:spacing w:after="0"/>
        <w:ind w:left="0" w:firstLine="567"/>
        <w:rPr>
          <w:color w:val="auto"/>
          <w:sz w:val="22"/>
          <w:szCs w:val="22"/>
        </w:rPr>
      </w:pPr>
      <w:r>
        <w:rPr>
          <w:color w:val="auto"/>
          <w:sz w:val="22"/>
          <w:szCs w:val="22"/>
        </w:rPr>
        <w:t>cumpre plenamente os requisitos de habilitação;</w:t>
      </w:r>
    </w:p>
    <w:p w14:paraId="29C0AE15">
      <w:pPr>
        <w:pStyle w:val="60"/>
        <w:spacing w:after="0"/>
        <w:ind w:left="0" w:firstLine="567"/>
        <w:rPr>
          <w:color w:val="auto"/>
          <w:sz w:val="22"/>
          <w:szCs w:val="22"/>
        </w:rPr>
      </w:pPr>
      <w:r>
        <w:rPr>
          <w:color w:val="auto"/>
          <w:sz w:val="22"/>
          <w:szCs w:val="22"/>
        </w:rPr>
        <w:t>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5FE3305F">
      <w:pPr>
        <w:pStyle w:val="60"/>
        <w:spacing w:after="0"/>
        <w:ind w:left="0" w:firstLine="567"/>
        <w:rPr>
          <w:color w:val="auto"/>
          <w:sz w:val="22"/>
          <w:szCs w:val="22"/>
        </w:rPr>
      </w:pPr>
      <w:r>
        <w:rPr>
          <w:color w:val="auto"/>
          <w:sz w:val="22"/>
          <w:szCs w:val="22"/>
        </w:rPr>
        <w:t xml:space="preserve">não emprega menor de 18 anos em trabalho noturno, perigoso ou insalubre e não emprega menor de 16 anos, salvo menor, a partir de 14 anos, na condição de aprendiz, nos termos do </w:t>
      </w:r>
      <w:r>
        <w:rPr>
          <w:sz w:val="22"/>
          <w:szCs w:val="22"/>
        </w:rPr>
        <w:t>artigo 7°, XXXIII, da Constituição</w:t>
      </w:r>
      <w:r>
        <w:rPr>
          <w:color w:val="auto"/>
          <w:sz w:val="22"/>
          <w:szCs w:val="22"/>
        </w:rPr>
        <w:t>;</w:t>
      </w:r>
    </w:p>
    <w:p w14:paraId="29C39710">
      <w:pPr>
        <w:pStyle w:val="60"/>
        <w:spacing w:after="0"/>
        <w:ind w:left="0" w:firstLine="567"/>
        <w:rPr>
          <w:sz w:val="22"/>
          <w:szCs w:val="22"/>
        </w:rPr>
      </w:pPr>
      <w:r>
        <w:rPr>
          <w:sz w:val="22"/>
          <w:szCs w:val="22"/>
        </w:rPr>
        <w:t>não possui, em sua cadeia produtiva, empregados executando trabalho degradante ou forçado, observando o disposto nos incisos III e IV do art. 1º e no inciso III do art. 5º da Constituição Federal;</w:t>
      </w:r>
    </w:p>
    <w:p w14:paraId="4F86FF87">
      <w:pPr>
        <w:pStyle w:val="60"/>
        <w:spacing w:after="0"/>
        <w:ind w:left="0" w:firstLine="567"/>
        <w:rPr>
          <w:color w:val="auto"/>
          <w:sz w:val="22"/>
          <w:szCs w:val="22"/>
        </w:rPr>
      </w:pPr>
      <w:r>
        <w:rPr>
          <w:color w:val="auto"/>
          <w:sz w:val="22"/>
          <w:szCs w:val="22"/>
        </w:rPr>
        <w:t>cumpre as exigências de reserva de cargos para pessoa com deficiência e para reabilitado da Previdência Social, previstas no art. 93 da Lei 8.213/1991.</w:t>
      </w:r>
    </w:p>
    <w:p w14:paraId="0905B929">
      <w:pPr>
        <w:pStyle w:val="58"/>
        <w:spacing w:after="0"/>
        <w:ind w:left="0" w:firstLine="567"/>
        <w:rPr>
          <w:sz w:val="22"/>
          <w:szCs w:val="22"/>
        </w:rPr>
      </w:pPr>
      <w:r>
        <w:rPr>
          <w:sz w:val="22"/>
          <w:szCs w:val="22"/>
        </w:rPr>
        <w:t>O licitante organizado em cooperativa deverá declarar, ainda, em campo próprio do sistema eletrônico, que cumpre os requisitos estabelecidos no artigo 16 da Lei nº 14.133, de 2021.</w:t>
      </w:r>
    </w:p>
    <w:p w14:paraId="3B9D0893">
      <w:pPr>
        <w:pStyle w:val="58"/>
        <w:spacing w:after="0"/>
        <w:ind w:left="0" w:firstLine="567"/>
        <w:rPr>
          <w:sz w:val="22"/>
          <w:szCs w:val="22"/>
        </w:rPr>
      </w:pPr>
      <w:bookmarkStart w:id="17" w:name="_Ref117000019"/>
      <w:r>
        <w:rPr>
          <w:sz w:val="22"/>
          <w:szCs w:val="22"/>
        </w:rPr>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bookmarkEnd w:id="17"/>
    </w:p>
    <w:p w14:paraId="125ECF77">
      <w:pPr>
        <w:pStyle w:val="60"/>
        <w:spacing w:after="0"/>
        <w:ind w:left="0" w:firstLine="567"/>
        <w:rPr>
          <w:sz w:val="22"/>
          <w:szCs w:val="22"/>
        </w:rPr>
      </w:pPr>
      <w:r>
        <w:rPr>
          <w:sz w:val="22"/>
          <w:szCs w:val="22"/>
        </w:rPr>
        <w:t>no item exclusivo para participação de microempresas e empresas de pequeno porte, a assinalação do campo</w:t>
      </w:r>
      <w:r>
        <w:rPr>
          <w:color w:val="auto"/>
          <w:sz w:val="22"/>
          <w:szCs w:val="22"/>
        </w:rPr>
        <w:t xml:space="preserve"> “nenhuma”</w:t>
      </w:r>
      <w:r>
        <w:rPr>
          <w:sz w:val="22"/>
          <w:szCs w:val="22"/>
        </w:rPr>
        <w:t>, impedirá o prosseguimento no certame, para aquele item;</w:t>
      </w:r>
    </w:p>
    <w:p w14:paraId="5A49B676">
      <w:pPr>
        <w:pStyle w:val="60"/>
        <w:spacing w:after="0"/>
        <w:ind w:left="0" w:firstLine="567"/>
        <w:rPr>
          <w:sz w:val="22"/>
          <w:szCs w:val="22"/>
        </w:rPr>
      </w:pPr>
      <w:r>
        <w:rPr>
          <w:sz w:val="22"/>
          <w:szCs w:val="22"/>
        </w:rPr>
        <w:t xml:space="preserve">nos itens em que a participação não for exclusiva para microempresas e empresas de pequeno porte, a assinalação do campo </w:t>
      </w:r>
      <w:r>
        <w:rPr>
          <w:color w:val="auto"/>
          <w:sz w:val="22"/>
          <w:szCs w:val="22"/>
        </w:rPr>
        <w:t>“nenhuma”</w:t>
      </w:r>
      <w:r>
        <w:rPr>
          <w:sz w:val="22"/>
          <w:szCs w:val="22"/>
        </w:rPr>
        <w:t>, apenas produzirá o efeito de o licitante não ter direito ao tratamento favorecido previsto na Lei Complementar nº 123, de 2006, mesmo que microempresa, empresa de pequeno porte ou sociedade cooperativa.</w:t>
      </w:r>
    </w:p>
    <w:p w14:paraId="58E9A97A">
      <w:pPr>
        <w:pStyle w:val="58"/>
        <w:spacing w:after="0"/>
        <w:ind w:left="0" w:firstLine="567"/>
        <w:rPr>
          <w:color w:val="auto"/>
          <w:sz w:val="22"/>
          <w:szCs w:val="22"/>
        </w:rPr>
      </w:pPr>
      <w:r>
        <w:rPr>
          <w:color w:val="auto"/>
          <w:sz w:val="22"/>
          <w:szCs w:val="22"/>
        </w:rPr>
        <w:t xml:space="preserve">A falsidade da declaração de que trata os itens 3.2 ao 3.4 sujeitará o licitante às sanções previstas na </w:t>
      </w:r>
      <w:r>
        <w:rPr>
          <w:sz w:val="22"/>
          <w:szCs w:val="22"/>
        </w:rPr>
        <w:t>Lei nº 14.133, de 2021</w:t>
      </w:r>
      <w:r>
        <w:rPr>
          <w:color w:val="auto"/>
          <w:sz w:val="22"/>
          <w:szCs w:val="22"/>
        </w:rPr>
        <w:t>, e neste Edital.</w:t>
      </w:r>
    </w:p>
    <w:p w14:paraId="7F945FF0">
      <w:pPr>
        <w:pStyle w:val="58"/>
        <w:spacing w:after="0"/>
        <w:ind w:left="0" w:firstLine="567"/>
        <w:rPr>
          <w:color w:val="auto"/>
          <w:sz w:val="22"/>
          <w:szCs w:val="22"/>
        </w:rPr>
      </w:pPr>
      <w:r>
        <w:rPr>
          <w:color w:val="auto"/>
          <w:sz w:val="22"/>
          <w:szCs w:val="22"/>
        </w:rPr>
        <w:t>Não haverá ordem de classificação na etapa de apresentação da proposta pelo licitante, o que ocorrerá somente após os procedimentos de abertura da sessão pública e da fase de envio de lances.</w:t>
      </w:r>
    </w:p>
    <w:p w14:paraId="7A317CA2">
      <w:pPr>
        <w:pStyle w:val="58"/>
        <w:spacing w:after="0"/>
        <w:ind w:left="0" w:firstLine="567"/>
        <w:rPr>
          <w:color w:val="auto"/>
          <w:sz w:val="22"/>
          <w:szCs w:val="22"/>
        </w:rPr>
      </w:pPr>
      <w:r>
        <w:rPr>
          <w:color w:val="auto"/>
          <w:sz w:val="22"/>
          <w:szCs w:val="22"/>
        </w:rPr>
        <w:t>Serão disponibilizados para acesso público os documentos que compõem a proposta dos licitantes convocados para apresentação de propostas, a partir da fase de julgamento e aceitação das propostas.</w:t>
      </w:r>
    </w:p>
    <w:p w14:paraId="48B1F343">
      <w:pPr>
        <w:pStyle w:val="58"/>
        <w:spacing w:after="0"/>
        <w:ind w:left="0" w:firstLine="567"/>
        <w:rPr>
          <w:rFonts w:eastAsia="Times New Roman"/>
          <w:color w:val="auto"/>
          <w:sz w:val="22"/>
          <w:szCs w:val="22"/>
        </w:rPr>
      </w:pPr>
      <w:r>
        <w:rPr>
          <w:rFonts w:eastAsia="Times New Roman"/>
          <w:color w:val="auto"/>
          <w:sz w:val="22"/>
          <w:szCs w:val="22"/>
        </w:rPr>
        <w:t xml:space="preserve">Caberá ao licitante interessado em participar da licitação </w:t>
      </w:r>
      <w:r>
        <w:rPr>
          <w:color w:val="auto"/>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0688E20">
      <w:pPr>
        <w:pStyle w:val="58"/>
        <w:spacing w:after="0"/>
        <w:ind w:left="0" w:firstLine="567"/>
        <w:rPr>
          <w:sz w:val="22"/>
          <w:szCs w:val="22"/>
        </w:rPr>
      </w:pPr>
      <w:r>
        <w:rPr>
          <w:rFonts w:eastAsia="Times New Roman"/>
          <w:color w:val="auto"/>
          <w:sz w:val="22"/>
          <w:szCs w:val="22"/>
        </w:rPr>
        <w:t xml:space="preserve">O licitante deverá </w:t>
      </w:r>
      <w:r>
        <w:rPr>
          <w:color w:val="auto"/>
          <w:sz w:val="22"/>
          <w:szCs w:val="22"/>
        </w:rPr>
        <w:t>comunicar imediatamente ao provedor do sistema qualquer acontecimento que possa comprometer o sigilo ou a segurança, para providências.</w:t>
      </w:r>
    </w:p>
    <w:p w14:paraId="0E1381B7">
      <w:pPr>
        <w:spacing w:line="276" w:lineRule="auto"/>
        <w:rPr>
          <w:rFonts w:ascii="Arial" w:hAnsi="Arial" w:cs="Arial"/>
          <w:sz w:val="22"/>
          <w:szCs w:val="22"/>
        </w:rPr>
      </w:pPr>
    </w:p>
    <w:p w14:paraId="5F186EB9">
      <w:pPr>
        <w:pStyle w:val="41"/>
        <w:spacing w:before="120" w:line="276" w:lineRule="auto"/>
        <w:ind w:left="0" w:firstLine="567"/>
        <w:rPr>
          <w:sz w:val="22"/>
          <w:szCs w:val="22"/>
        </w:rPr>
      </w:pPr>
      <w:bookmarkStart w:id="18" w:name="_Toc122606106"/>
      <w:r>
        <w:rPr>
          <w:sz w:val="22"/>
          <w:szCs w:val="22"/>
        </w:rPr>
        <w:t xml:space="preserve">DO PREENCHIMENTO E ENVIO DA PROPOSTA </w:t>
      </w:r>
      <w:bookmarkEnd w:id="18"/>
    </w:p>
    <w:p w14:paraId="54C5A9DE">
      <w:pPr>
        <w:pStyle w:val="60"/>
        <w:numPr>
          <w:ilvl w:val="0"/>
          <w:numId w:val="0"/>
        </w:numPr>
        <w:spacing w:after="0"/>
        <w:ind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4.1 As licitações aptas para o recebimento de propostas estão disponíveis na Plataforma BBMNET no menu </w:t>
      </w:r>
      <w:r>
        <w:rPr>
          <w:b/>
          <w:bCs/>
          <w:color w:val="000000" w:themeColor="text1"/>
          <w:sz w:val="22"/>
          <w:szCs w:val="22"/>
          <w14:textFill>
            <w14:solidFill>
              <w14:schemeClr w14:val="tx1"/>
            </w14:solidFill>
          </w14:textFill>
        </w:rPr>
        <w:t>“Sala de Disputa”,</w:t>
      </w:r>
      <w:r>
        <w:rPr>
          <w:color w:val="000000" w:themeColor="text1"/>
          <w:sz w:val="22"/>
          <w:szCs w:val="22"/>
          <w14:textFill>
            <w14:solidFill>
              <w14:schemeClr w14:val="tx1"/>
            </w14:solidFill>
          </w14:textFill>
        </w:rPr>
        <w:t xml:space="preserve"> no campo das licitações na coluna (menu) da etapa </w:t>
      </w:r>
      <w:r>
        <w:rPr>
          <w:b/>
          <w:bCs/>
          <w:color w:val="000000" w:themeColor="text1"/>
          <w:sz w:val="22"/>
          <w:szCs w:val="22"/>
          <w14:textFill>
            <w14:solidFill>
              <w14:schemeClr w14:val="tx1"/>
            </w14:solidFill>
          </w14:textFill>
        </w:rPr>
        <w:t>“Aberto para receber propostas”</w:t>
      </w:r>
      <w:r>
        <w:rPr>
          <w:color w:val="000000" w:themeColor="text1"/>
          <w:sz w:val="22"/>
          <w:szCs w:val="22"/>
          <w14:textFill>
            <w14:solidFill>
              <w14:schemeClr w14:val="tx1"/>
            </w14:solidFill>
          </w14:textFill>
        </w:rPr>
        <w:t xml:space="preserve">. </w:t>
      </w:r>
    </w:p>
    <w:p w14:paraId="3E127DF1">
      <w:pPr>
        <w:pStyle w:val="60"/>
        <w:tabs>
          <w:tab w:val="left" w:pos="567"/>
        </w:tabs>
        <w:spacing w:after="0"/>
        <w:ind w:left="0"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 licitante interessado poderá utilizar filtros de buscas e selecionar o lote/item de interesse e, posteriormente preencher os campos exigidos no sistema e finalizar no comando “enviar proposta”.</w:t>
      </w:r>
    </w:p>
    <w:p w14:paraId="594CBAD4">
      <w:pPr>
        <w:pStyle w:val="60"/>
        <w:tabs>
          <w:tab w:val="left" w:pos="567"/>
        </w:tabs>
        <w:ind w:firstLine="142"/>
        <w:rPr>
          <w:sz w:val="22"/>
          <w:szCs w:val="22"/>
        </w:rPr>
      </w:pPr>
      <w:r>
        <w:rPr>
          <w:sz w:val="22"/>
          <w:szCs w:val="22"/>
        </w:rPr>
        <w:t xml:space="preserve">O licitante deverá enviar a sua proposta mediante o preenchimento prévio das informações exigidas no Sistema.  </w:t>
      </w:r>
    </w:p>
    <w:p w14:paraId="4CC6F2BF">
      <w:pPr>
        <w:pStyle w:val="60"/>
        <w:numPr>
          <w:ilvl w:val="0"/>
          <w:numId w:val="0"/>
        </w:numPr>
        <w:tabs>
          <w:tab w:val="left" w:pos="567"/>
        </w:tabs>
        <w:spacing w:after="0"/>
        <w:ind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4.1.3      O Acesso para participar das licitações está condicionado ao cadastro prévio do interessado na Plataforma BBMNET Licitações.      </w:t>
      </w:r>
    </w:p>
    <w:p w14:paraId="5126C54B">
      <w:pPr>
        <w:pStyle w:val="58"/>
        <w:spacing w:after="0"/>
        <w:ind w:left="0" w:firstLine="567"/>
        <w:rPr>
          <w:color w:val="auto"/>
          <w:sz w:val="22"/>
          <w:szCs w:val="22"/>
        </w:rPr>
      </w:pPr>
      <w:r>
        <w:rPr>
          <w:color w:val="auto"/>
          <w:sz w:val="22"/>
          <w:szCs w:val="22"/>
        </w:rPr>
        <w:t>Todas as especificações do objeto contidas na proposta vinculam o licitante.</w:t>
      </w:r>
    </w:p>
    <w:p w14:paraId="576BAF21">
      <w:pPr>
        <w:pStyle w:val="58"/>
        <w:spacing w:after="0"/>
        <w:ind w:left="0" w:firstLine="567"/>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14:paraId="592A5982">
      <w:pPr>
        <w:pStyle w:val="58"/>
        <w:spacing w:after="0"/>
        <w:ind w:left="0" w:firstLine="567"/>
        <w:rPr>
          <w:color w:val="auto"/>
          <w:sz w:val="22"/>
          <w:szCs w:val="22"/>
        </w:rPr>
      </w:pPr>
      <w:r>
        <w:rPr>
          <w:color w:val="auto"/>
          <w:sz w:val="22"/>
          <w:szCs w:val="22"/>
        </w:rPr>
        <w:t xml:space="preserve">Os preços ofertados, tanto na proposta inicial, quanto na etapa de lances, serão de exclusiva responsabilidade do licitante. </w:t>
      </w:r>
    </w:p>
    <w:p w14:paraId="48B8A5DF">
      <w:pPr>
        <w:pStyle w:val="58"/>
        <w:spacing w:after="0"/>
        <w:ind w:left="0" w:firstLine="567"/>
        <w:rPr>
          <w:color w:val="auto"/>
          <w:sz w:val="22"/>
          <w:szCs w:val="22"/>
        </w:rPr>
      </w:pPr>
      <w:r>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6EC02716">
      <w:pPr>
        <w:pStyle w:val="58"/>
        <w:spacing w:after="0"/>
        <w:ind w:left="0" w:firstLine="567"/>
        <w:rPr>
          <w:color w:val="auto"/>
          <w:sz w:val="22"/>
          <w:szCs w:val="22"/>
        </w:rPr>
      </w:pPr>
      <w:r>
        <w:rPr>
          <w:color w:val="auto"/>
          <w:sz w:val="22"/>
          <w:szCs w:val="22"/>
        </w:rPr>
        <w:t>Independentemente do percentual de tributo inserido na planilha, no pagamento serão retidos na fonte os percentuais estabelecidos na legislação vigente.</w:t>
      </w:r>
    </w:p>
    <w:p w14:paraId="66623EC6">
      <w:pPr>
        <w:pStyle w:val="58"/>
        <w:spacing w:after="0"/>
        <w:ind w:left="0" w:firstLine="567"/>
        <w:rPr>
          <w:color w:val="auto"/>
          <w:sz w:val="22"/>
          <w:szCs w:val="22"/>
        </w:rPr>
      </w:pPr>
      <w:r>
        <w:rPr>
          <w:color w:val="auto"/>
          <w:sz w:val="22"/>
          <w:szCs w:val="22"/>
        </w:rPr>
        <w:t xml:space="preserve">Os licitantes poderão retirar ou substituir a proposta, anteriormente inseridos no sistema, dentro do período em que o sistema esteja aberto para o recebimento de proposta. </w:t>
      </w:r>
    </w:p>
    <w:p w14:paraId="3475237D">
      <w:pPr>
        <w:pStyle w:val="58"/>
        <w:ind w:left="0" w:firstLine="567"/>
        <w:rPr>
          <w:color w:val="auto"/>
          <w:sz w:val="22"/>
          <w:szCs w:val="22"/>
        </w:rPr>
      </w:pPr>
      <w:r>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9D51222">
      <w:pPr>
        <w:pStyle w:val="58"/>
        <w:ind w:left="0" w:firstLine="567"/>
        <w:rPr>
          <w:rFonts w:eastAsia="Calibri"/>
          <w:color w:val="auto"/>
          <w:sz w:val="22"/>
          <w:szCs w:val="22"/>
        </w:rPr>
      </w:pPr>
      <w:r>
        <w:rPr>
          <w:rFonts w:eastAsiaTheme="majorEastAsia"/>
          <w:color w:val="auto"/>
          <w:sz w:val="22"/>
          <w:szCs w:val="22"/>
        </w:rPr>
        <w:t>A</w:t>
      </w:r>
      <w:r>
        <w:rPr>
          <w:rFonts w:eastAsia="Calibri"/>
          <w:sz w:val="22"/>
          <w:szCs w:val="22"/>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19C005A">
      <w:pPr>
        <w:pStyle w:val="58"/>
        <w:ind w:left="0" w:firstLine="567"/>
        <w:rPr>
          <w:rFonts w:eastAsia="Calibri"/>
          <w:sz w:val="22"/>
          <w:szCs w:val="22"/>
        </w:rPr>
      </w:pPr>
      <w:r>
        <w:rPr>
          <w:rFonts w:eastAsia="Calibri"/>
          <w:sz w:val="22"/>
          <w:szCs w:val="22"/>
        </w:rPr>
        <w:t>O prazo de validade da proposta não será inferior a 60 (sessenta) dias, a contar da data de sua apresentação.</w:t>
      </w:r>
    </w:p>
    <w:p w14:paraId="57731F77">
      <w:pPr>
        <w:pStyle w:val="58"/>
        <w:ind w:left="0" w:firstLine="567"/>
        <w:rPr>
          <w:rFonts w:eastAsia="Calibri"/>
          <w:sz w:val="22"/>
          <w:szCs w:val="22"/>
        </w:rPr>
      </w:pPr>
      <w:r>
        <w:rPr>
          <w:rFonts w:eastAsia="Calibri"/>
          <w:sz w:val="22"/>
          <w:szCs w:val="22"/>
        </w:rPr>
        <w:t>Eventual sobrepreço ou superfaturamento da proposta ou lance poderá ser objeto de apuração de responsabilidade.</w:t>
      </w:r>
    </w:p>
    <w:p w14:paraId="30FAA809">
      <w:pPr>
        <w:pStyle w:val="58"/>
        <w:ind w:left="0" w:firstLine="567"/>
        <w:rPr>
          <w:rFonts w:eastAsia="Calibri"/>
          <w:color w:val="auto"/>
          <w:sz w:val="22"/>
          <w:szCs w:val="22"/>
        </w:rPr>
      </w:pPr>
      <w:r>
        <w:rPr>
          <w:rFonts w:eastAsia="Calibri"/>
          <w:color w:val="auto"/>
          <w:sz w:val="22"/>
          <w:szCs w:val="22"/>
        </w:rPr>
        <w:t xml:space="preserve">Independente </w:t>
      </w:r>
      <w:r>
        <w:rPr>
          <w:rFonts w:eastAsia="Calibri"/>
          <w:sz w:val="22"/>
          <w:szCs w:val="22"/>
        </w:rPr>
        <w:t>do percentual de tributo inserido na planilha, no pagamento serão retidos na fonte os percentuais estabelecidos na legislação vigente.</w:t>
      </w:r>
    </w:p>
    <w:p w14:paraId="127921AE">
      <w:pPr>
        <w:pStyle w:val="58"/>
        <w:ind w:left="0" w:firstLine="567"/>
        <w:rPr>
          <w:rFonts w:eastAsia="Calibri"/>
          <w:color w:val="auto"/>
          <w:sz w:val="22"/>
          <w:szCs w:val="22"/>
        </w:rPr>
      </w:pPr>
      <w:r>
        <w:rPr>
          <w:rFonts w:eastAsia="Calibri"/>
          <w:color w:val="auto"/>
          <w:sz w:val="22"/>
          <w:szCs w:val="22"/>
        </w:rPr>
        <w:t>Quando for exigido pelo Pregoeiro, o licitante deverá preencher a ficha técnica do produto ou serviços, juntamente com as informações adicionais. A ficha técnica, quando obrigatória, será enviada através de comando próprio disponível no Sistema ao licitante.</w:t>
      </w:r>
    </w:p>
    <w:p w14:paraId="28D7A644">
      <w:pPr>
        <w:pStyle w:val="60"/>
        <w:rPr>
          <w:sz w:val="22"/>
          <w:szCs w:val="22"/>
        </w:rPr>
      </w:pPr>
      <w:r>
        <w:rPr>
          <w:sz w:val="22"/>
          <w:szCs w:val="22"/>
        </w:rPr>
        <w:t xml:space="preserve">O licitante não poderá em hipótese nenhuma se identificar na ficha técnica, sob pena de desclassificação.   </w:t>
      </w:r>
    </w:p>
    <w:p w14:paraId="79839FDC">
      <w:pPr>
        <w:pStyle w:val="41"/>
        <w:spacing w:before="120" w:line="276" w:lineRule="auto"/>
        <w:ind w:left="0" w:firstLine="567"/>
        <w:rPr>
          <w:sz w:val="22"/>
          <w:szCs w:val="22"/>
        </w:rPr>
      </w:pPr>
      <w:bookmarkStart w:id="19" w:name="_Toc122606107"/>
      <w:bookmarkStart w:id="20" w:name="_Hlk114646655"/>
      <w:r>
        <w:rPr>
          <w:sz w:val="22"/>
          <w:szCs w:val="22"/>
        </w:rPr>
        <w:t>DA ABERTURA DA SESSÃO, CLASSIFICAÇÃO DAS PROPOSTAS E FORMULAÇÃO DE LANCES</w:t>
      </w:r>
      <w:bookmarkEnd w:id="19"/>
    </w:p>
    <w:p w14:paraId="4998B02F">
      <w:pPr>
        <w:pStyle w:val="58"/>
        <w:spacing w:after="0"/>
        <w:ind w:left="0" w:firstLine="567"/>
        <w:rPr>
          <w:sz w:val="22"/>
          <w:szCs w:val="22"/>
        </w:rPr>
      </w:pPr>
      <w:r>
        <w:rPr>
          <w:sz w:val="22"/>
          <w:szCs w:val="22"/>
        </w:rPr>
        <w:t>A abertura da presente licitação dar-se-á automaticamente em sessão pública, por meio de sistema eletrônico, na data, horário e local indicados neste Edital.</w:t>
      </w:r>
    </w:p>
    <w:p w14:paraId="02657296">
      <w:pPr>
        <w:pStyle w:val="58"/>
        <w:ind w:left="0" w:firstLine="567"/>
        <w:rPr>
          <w:sz w:val="22"/>
          <w:szCs w:val="22"/>
        </w:rPr>
      </w:pPr>
      <w:r>
        <w:rPr>
          <w:sz w:val="22"/>
          <w:szCs w:val="22"/>
        </w:rPr>
        <w:t xml:space="preserve">Os licitantes poderão retirar ou substituir a proposta, quando for o caso, anteriormente inseridos no sistema, até a etapa de abertura da sessão pública, </w:t>
      </w:r>
    </w:p>
    <w:p w14:paraId="01ABDF42">
      <w:pPr>
        <w:pStyle w:val="58"/>
        <w:spacing w:after="0"/>
        <w:ind w:left="0" w:firstLine="567"/>
        <w:rPr>
          <w:sz w:val="22"/>
          <w:szCs w:val="22"/>
        </w:rPr>
      </w:pPr>
      <w:r>
        <w:rPr>
          <w:color w:val="auto"/>
          <w:sz w:val="22"/>
          <w:szCs w:val="22"/>
        </w:rPr>
        <w:t>Quando autorizado e devidamente justificado pelo pregoeiro, o</w:t>
      </w:r>
      <w:r>
        <w:rPr>
          <w:sz w:val="22"/>
          <w:szCs w:val="22"/>
        </w:rPr>
        <w:t>s licitantes poderã</w:t>
      </w:r>
      <w:r>
        <w:rPr>
          <w:color w:val="auto"/>
          <w:sz w:val="22"/>
          <w:szCs w:val="22"/>
        </w:rPr>
        <w:t>o alterar a proposta anteriormente inserida no sistema durante a fase de análise de propostas.</w:t>
      </w:r>
    </w:p>
    <w:p w14:paraId="39A094D5">
      <w:pPr>
        <w:pStyle w:val="60"/>
        <w:spacing w:after="0"/>
        <w:ind w:left="0" w:firstLine="709"/>
        <w:rPr>
          <w:sz w:val="22"/>
          <w:szCs w:val="22"/>
        </w:rPr>
      </w:pPr>
      <w:r>
        <w:rPr>
          <w:sz w:val="22"/>
          <w:szCs w:val="22"/>
        </w:rPr>
        <w:t>Será desclassificada a proposta que identifique o licitante.</w:t>
      </w:r>
    </w:p>
    <w:p w14:paraId="607A8F83">
      <w:pPr>
        <w:pStyle w:val="60"/>
        <w:spacing w:after="0"/>
        <w:ind w:left="0" w:firstLine="709"/>
        <w:rPr>
          <w:sz w:val="22"/>
          <w:szCs w:val="22"/>
        </w:rPr>
      </w:pPr>
      <w:r>
        <w:rPr>
          <w:sz w:val="22"/>
          <w:szCs w:val="22"/>
        </w:rPr>
        <w:t>A desclassificação será sempre fundamentada e registrada no sistema, com acompanhamento em tempo real por todos os participantes.</w:t>
      </w:r>
    </w:p>
    <w:p w14:paraId="58E08727">
      <w:pPr>
        <w:pStyle w:val="60"/>
        <w:spacing w:after="0"/>
        <w:ind w:left="0" w:firstLine="709"/>
        <w:rPr>
          <w:sz w:val="22"/>
          <w:szCs w:val="22"/>
        </w:rPr>
      </w:pPr>
      <w:r>
        <w:rPr>
          <w:sz w:val="22"/>
          <w:szCs w:val="22"/>
        </w:rPr>
        <w:t>A não desclassificação da proposta não impede o seu julgamento definitivo em sentido contrário, levado a efeito na fase de aceitação.</w:t>
      </w:r>
    </w:p>
    <w:p w14:paraId="38ADD8F5">
      <w:pPr>
        <w:pStyle w:val="58"/>
        <w:spacing w:after="0"/>
        <w:ind w:left="0" w:firstLine="567"/>
        <w:rPr>
          <w:sz w:val="22"/>
          <w:szCs w:val="22"/>
        </w:rPr>
      </w:pPr>
      <w:r>
        <w:rPr>
          <w:sz w:val="22"/>
          <w:szCs w:val="22"/>
        </w:rPr>
        <w:t>O sistema ordenará automaticamente as propostas classificadas, sendo que somente estas participarão da fase de lances.</w:t>
      </w:r>
    </w:p>
    <w:p w14:paraId="0068F72A">
      <w:pPr>
        <w:pStyle w:val="58"/>
        <w:spacing w:after="0"/>
        <w:ind w:left="0" w:firstLine="567"/>
        <w:rPr>
          <w:sz w:val="22"/>
          <w:szCs w:val="22"/>
        </w:rPr>
      </w:pPr>
      <w:r>
        <w:rPr>
          <w:sz w:val="22"/>
          <w:szCs w:val="22"/>
        </w:rPr>
        <w:t xml:space="preserve">O sistema disponibilizará campo próprio para troca de mensagens entre o Pregoeiro e os licitantes, bem como as mensagens automáticas enviadas pelo próprio sistema. </w:t>
      </w:r>
    </w:p>
    <w:p w14:paraId="55DEB6A9">
      <w:pPr>
        <w:pStyle w:val="58"/>
        <w:spacing w:after="0"/>
        <w:ind w:left="0" w:firstLine="567"/>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6584CB20">
      <w:pPr>
        <w:pStyle w:val="58"/>
        <w:spacing w:after="0"/>
        <w:ind w:left="0" w:firstLine="567"/>
        <w:rPr>
          <w:color w:val="auto"/>
          <w:sz w:val="22"/>
          <w:szCs w:val="22"/>
        </w:rPr>
      </w:pPr>
      <w:r>
        <w:rPr>
          <w:color w:val="auto"/>
          <w:sz w:val="22"/>
          <w:szCs w:val="22"/>
        </w:rPr>
        <w:t>Os licitantes poderão oferecer lances sucessivos, observando o horário fixado para abertura da sessão e as regras estabelecidas no Edital.</w:t>
      </w:r>
    </w:p>
    <w:p w14:paraId="32718210">
      <w:pPr>
        <w:pStyle w:val="58"/>
        <w:spacing w:after="0"/>
        <w:ind w:left="0" w:firstLine="567"/>
        <w:rPr>
          <w:color w:val="auto"/>
          <w:sz w:val="22"/>
          <w:szCs w:val="22"/>
        </w:rPr>
      </w:pPr>
      <w:r>
        <w:rPr>
          <w:color w:val="auto"/>
          <w:sz w:val="22"/>
          <w:szCs w:val="22"/>
        </w:rPr>
        <w:t xml:space="preserve">O licitante somente poderá oferecer lance </w:t>
      </w:r>
      <w:r>
        <w:rPr>
          <w:i/>
          <w:iCs/>
          <w:color w:val="auto"/>
          <w:sz w:val="22"/>
          <w:szCs w:val="22"/>
        </w:rPr>
        <w:t>de valor</w:t>
      </w:r>
      <w:r>
        <w:rPr>
          <w:color w:val="auto"/>
          <w:sz w:val="22"/>
          <w:szCs w:val="22"/>
        </w:rPr>
        <w:t xml:space="preserve"> </w:t>
      </w:r>
      <w:r>
        <w:rPr>
          <w:i/>
          <w:iCs/>
          <w:color w:val="auto"/>
          <w:sz w:val="22"/>
          <w:szCs w:val="22"/>
        </w:rPr>
        <w:t>inferior</w:t>
      </w:r>
      <w:r>
        <w:rPr>
          <w:color w:val="auto"/>
          <w:sz w:val="22"/>
          <w:szCs w:val="22"/>
        </w:rPr>
        <w:t xml:space="preserve"> </w:t>
      </w:r>
      <w:r>
        <w:rPr>
          <w:i/>
          <w:iCs/>
          <w:color w:val="auto"/>
          <w:sz w:val="22"/>
          <w:szCs w:val="22"/>
        </w:rPr>
        <w:t>ou percentual de desconto superior</w:t>
      </w:r>
      <w:r>
        <w:rPr>
          <w:color w:val="auto"/>
          <w:sz w:val="22"/>
          <w:szCs w:val="22"/>
        </w:rPr>
        <w:t xml:space="preserve"> ao último por ele ofertado e registrado pelo sistema. </w:t>
      </w:r>
    </w:p>
    <w:p w14:paraId="72B691CC">
      <w:pPr>
        <w:pStyle w:val="58"/>
        <w:numPr>
          <w:ilvl w:val="0"/>
          <w:numId w:val="0"/>
        </w:numPr>
        <w:spacing w:after="0"/>
        <w:ind w:left="567"/>
        <w:rPr>
          <w:i/>
          <w:iCs/>
          <w:color w:val="FF0000"/>
          <w:sz w:val="22"/>
          <w:szCs w:val="22"/>
        </w:rPr>
      </w:pPr>
      <w:r>
        <w:rPr>
          <w:sz w:val="22"/>
          <w:szCs w:val="22"/>
        </w:rPr>
        <w:t xml:space="preserve">O procedimento seguirá de acordo com o </w:t>
      </w:r>
      <w:r>
        <w:rPr>
          <w:b/>
          <w:bCs/>
          <w:sz w:val="22"/>
          <w:szCs w:val="22"/>
        </w:rPr>
        <w:t>MODO DE DISPUTA</w:t>
      </w:r>
      <w:r>
        <w:rPr>
          <w:sz w:val="22"/>
          <w:szCs w:val="22"/>
        </w:rPr>
        <w:t xml:space="preserve"> ABERTO. </w:t>
      </w:r>
    </w:p>
    <w:p w14:paraId="295E04E1">
      <w:pPr>
        <w:pStyle w:val="58"/>
        <w:spacing w:after="0"/>
        <w:ind w:left="0" w:firstLine="567"/>
        <w:rPr>
          <w:color w:val="auto"/>
          <w:sz w:val="22"/>
          <w:szCs w:val="22"/>
        </w:rPr>
      </w:pPr>
      <w:bookmarkStart w:id="21" w:name="_Hlk113697759"/>
      <w:r>
        <w:rPr>
          <w:color w:val="auto"/>
          <w:sz w:val="22"/>
          <w:szCs w:val="22"/>
        </w:rPr>
        <w:t xml:space="preserve">No pregão eletrônico o </w:t>
      </w:r>
      <w:r>
        <w:rPr>
          <w:b/>
          <w:bCs/>
          <w:color w:val="auto"/>
          <w:sz w:val="22"/>
          <w:szCs w:val="22"/>
          <w:u w:val="single"/>
        </w:rPr>
        <w:t>MODO DE DISPUTA “ABERTO”</w:t>
      </w:r>
      <w:r>
        <w:rPr>
          <w:color w:val="auto"/>
          <w:sz w:val="22"/>
          <w:szCs w:val="22"/>
          <w:u w:val="single"/>
        </w:rPr>
        <w:t>,</w:t>
      </w:r>
      <w:r>
        <w:rPr>
          <w:color w:val="auto"/>
          <w:sz w:val="22"/>
          <w:szCs w:val="22"/>
        </w:rPr>
        <w:t xml:space="preserve"> os licitantes apresentarão lances públicos e sucessivos, com prorrogações.</w:t>
      </w:r>
    </w:p>
    <w:bookmarkEnd w:id="21"/>
    <w:p w14:paraId="16EDF4CC">
      <w:pPr>
        <w:pStyle w:val="60"/>
        <w:spacing w:after="0"/>
        <w:ind w:left="0" w:firstLine="709"/>
        <w:rPr>
          <w:color w:val="auto"/>
          <w:sz w:val="22"/>
          <w:szCs w:val="22"/>
        </w:rPr>
      </w:pPr>
      <w:bookmarkStart w:id="22" w:name="_Hlk113697816"/>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1D4ED68">
      <w:pPr>
        <w:pStyle w:val="60"/>
        <w:spacing w:after="0"/>
        <w:ind w:left="0" w:firstLine="709"/>
        <w:rPr>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0A48A92">
      <w:pPr>
        <w:pStyle w:val="60"/>
        <w:spacing w:after="0"/>
        <w:ind w:left="0" w:firstLine="709"/>
        <w:rPr>
          <w:color w:val="auto"/>
          <w:sz w:val="22"/>
          <w:szCs w:val="22"/>
        </w:rPr>
      </w:pPr>
      <w:r>
        <w:rPr>
          <w:color w:val="auto"/>
          <w:sz w:val="22"/>
          <w:szCs w:val="22"/>
        </w:rPr>
        <w:t>Não havendo novos lances na forma estabelecida nos itens anteriores, a sessão pública encerrar-se-á automaticamente, e o sistema ordenará e divulgará os lances conforme a ordem final de classificação.</w:t>
      </w:r>
      <w:bookmarkEnd w:id="22"/>
    </w:p>
    <w:p w14:paraId="5E0E6DBC">
      <w:pPr>
        <w:pStyle w:val="58"/>
        <w:numPr>
          <w:ilvl w:val="1"/>
          <w:numId w:val="3"/>
        </w:numPr>
        <w:spacing w:after="0"/>
        <w:ind w:left="0" w:firstLine="567"/>
        <w:rPr>
          <w:color w:val="auto"/>
          <w:sz w:val="22"/>
          <w:szCs w:val="22"/>
        </w:rPr>
      </w:pPr>
      <w:bookmarkStart w:id="23" w:name="_Hlk113631522"/>
      <w:bookmarkEnd w:id="23"/>
      <w:r>
        <w:rPr>
          <w:color w:val="auto"/>
          <w:sz w:val="22"/>
          <w:szCs w:val="22"/>
        </w:rPr>
        <w:t>Serão aceitos lances inferiores, iguais ou superiores ao lance de menor valor já ofertado.</w:t>
      </w:r>
    </w:p>
    <w:p w14:paraId="6A94AB32">
      <w:pPr>
        <w:pStyle w:val="58"/>
        <w:numPr>
          <w:ilvl w:val="1"/>
          <w:numId w:val="3"/>
        </w:numPr>
        <w:spacing w:after="0"/>
        <w:ind w:left="0" w:firstLine="567"/>
        <w:rPr>
          <w:sz w:val="22"/>
          <w:szCs w:val="22"/>
        </w:rPr>
      </w:pPr>
      <w:r>
        <w:rPr>
          <w:sz w:val="22"/>
          <w:szCs w:val="22"/>
        </w:rPr>
        <w:t xml:space="preserve">Durante o transcurso da sessão pública, os licitantes serão informados, em tempo real, do valor do menor lance registrado, vedada a identificação do licitante. </w:t>
      </w:r>
    </w:p>
    <w:p w14:paraId="64789E90">
      <w:pPr>
        <w:pStyle w:val="58"/>
        <w:numPr>
          <w:ilvl w:val="1"/>
          <w:numId w:val="3"/>
        </w:numPr>
        <w:spacing w:after="0"/>
        <w:ind w:left="0" w:firstLine="567"/>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0267EEC1">
      <w:pPr>
        <w:pStyle w:val="58"/>
        <w:numPr>
          <w:ilvl w:val="1"/>
          <w:numId w:val="3"/>
        </w:numPr>
        <w:spacing w:after="0"/>
        <w:ind w:left="0" w:firstLine="567"/>
        <w:rPr>
          <w:sz w:val="22"/>
          <w:szCs w:val="22"/>
        </w:rPr>
      </w:pPr>
      <w:r>
        <w:rPr>
          <w:sz w:val="22"/>
          <w:szCs w:val="22"/>
        </w:rPr>
        <w:t>Quando a desconexão do sistema eletrônico para o pregoeiro persistir por tempo super</w:t>
      </w:r>
      <w:r>
        <w:rPr>
          <w:color w:val="auto"/>
          <w:sz w:val="22"/>
          <w:szCs w:val="22"/>
        </w:rPr>
        <w:t>ior a 3 (três) horas a sessão p</w:t>
      </w:r>
      <w:r>
        <w:rPr>
          <w:sz w:val="22"/>
          <w:szCs w:val="22"/>
        </w:rPr>
        <w:t>ública será suspensa e reiniciada somente após decorridas vinte e quatro horas da comunicação do fato pelo Pregoeiro aos participantes, no sítio eletrônico utilizado para divulgação.</w:t>
      </w:r>
    </w:p>
    <w:p w14:paraId="683F1FED">
      <w:pPr>
        <w:pStyle w:val="58"/>
        <w:numPr>
          <w:ilvl w:val="1"/>
          <w:numId w:val="3"/>
        </w:numPr>
        <w:spacing w:after="0"/>
        <w:ind w:left="0" w:firstLine="567"/>
        <w:rPr>
          <w:sz w:val="22"/>
          <w:szCs w:val="22"/>
        </w:rPr>
      </w:pPr>
      <w:r>
        <w:rPr>
          <w:sz w:val="22"/>
          <w:szCs w:val="22"/>
        </w:rPr>
        <w:t>Caso o licitante não apresente lances, concorrerá com o valor de sua proposta.</w:t>
      </w:r>
    </w:p>
    <w:p w14:paraId="58B8C1AE">
      <w:pPr>
        <w:pStyle w:val="58"/>
        <w:numPr>
          <w:ilvl w:val="1"/>
          <w:numId w:val="3"/>
        </w:numPr>
        <w:spacing w:after="0"/>
        <w:ind w:left="0" w:firstLine="567"/>
        <w:rPr>
          <w:sz w:val="22"/>
          <w:szCs w:val="22"/>
        </w:rPr>
      </w:pPr>
      <w:r>
        <w:rPr>
          <w:sz w:val="22"/>
          <w:szCs w:val="22"/>
        </w:rPr>
        <w:t>Encerrada a etapa de lances</w:t>
      </w:r>
      <w:r>
        <w:rPr>
          <w:rFonts w:eastAsia="Zurich BT"/>
          <w:sz w:val="22"/>
          <w:szCs w:val="22"/>
        </w:rPr>
        <w:t xml:space="preserve">, o sistema identificará as microempresas e empresas de pequeno porte participantes, procedendo à comparação com os valores da primeira colocada para o fim de aplicar-se o disposto nos arts. 44 e 45 da Lei Complementar nº 123, de 2006. </w:t>
      </w:r>
    </w:p>
    <w:p w14:paraId="42EB2759">
      <w:pPr>
        <w:pStyle w:val="60"/>
        <w:numPr>
          <w:ilvl w:val="2"/>
          <w:numId w:val="3"/>
        </w:numPr>
        <w:spacing w:after="0"/>
        <w:ind w:left="0" w:firstLine="709"/>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525153D4">
      <w:pPr>
        <w:pStyle w:val="60"/>
        <w:numPr>
          <w:ilvl w:val="2"/>
          <w:numId w:val="3"/>
        </w:numPr>
        <w:spacing w:after="0"/>
        <w:ind w:left="0" w:firstLine="709"/>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pPr>
        <w:pStyle w:val="60"/>
        <w:numPr>
          <w:ilvl w:val="2"/>
          <w:numId w:val="3"/>
        </w:numPr>
        <w:spacing w:after="0"/>
        <w:ind w:left="0" w:firstLine="709"/>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 </w:t>
      </w:r>
    </w:p>
    <w:p w14:paraId="1ECEDEFC">
      <w:pPr>
        <w:pStyle w:val="58"/>
        <w:numPr>
          <w:ilvl w:val="2"/>
          <w:numId w:val="3"/>
        </w:numPr>
        <w:spacing w:after="0"/>
        <w:ind w:left="0" w:firstLine="568"/>
        <w:rPr>
          <w:sz w:val="22"/>
          <w:szCs w:val="22"/>
        </w:rPr>
      </w:pPr>
      <w:r>
        <w:rPr>
          <w:sz w:val="22"/>
          <w:szCs w:val="22"/>
        </w:rPr>
        <w:t xml:space="preserve"> </w:t>
      </w:r>
      <w:r>
        <w:rPr>
          <w:rFonts w:eastAsia="Zurich BT"/>
          <w:sz w:val="22"/>
          <w:szCs w:val="22"/>
        </w:rPr>
        <w:t>Não se aplicará o desempate de que tratam os arts. 44 e 45 da Lei Complementar nº 123/2006, quando a primeira colocada também tiver se declarado microempresa ou empresa de pequeno porte.</w:t>
      </w:r>
    </w:p>
    <w:p w14:paraId="225BFF76">
      <w:pPr>
        <w:pStyle w:val="60"/>
        <w:numPr>
          <w:ilvl w:val="2"/>
          <w:numId w:val="3"/>
        </w:numPr>
        <w:spacing w:after="0"/>
        <w:ind w:left="0" w:firstLine="709"/>
        <w:rPr>
          <w:sz w:val="22"/>
          <w:szCs w:val="22"/>
        </w:rPr>
      </w:pPr>
      <w:r>
        <w:rPr>
          <w:sz w:val="22"/>
          <w:szCs w:val="22"/>
        </w:rPr>
        <w:t xml:space="preserve">Havendo empate entre propostas ou lances, o critério de desempate será aquele previsto no </w:t>
      </w:r>
      <w:r>
        <w:rPr>
          <w:rFonts w:eastAsia="Arial"/>
          <w:sz w:val="22"/>
          <w:szCs w:val="22"/>
        </w:rPr>
        <w:t>art</w:t>
      </w:r>
      <w:r>
        <w:rPr>
          <w:sz w:val="22"/>
          <w:szCs w:val="22"/>
        </w:rPr>
        <w:t>. 60 da Lei nº 14.133, de 2021, nesta ordem:</w:t>
      </w:r>
    </w:p>
    <w:p w14:paraId="3E640FFC">
      <w:pPr>
        <w:pStyle w:val="61"/>
        <w:numPr>
          <w:ilvl w:val="3"/>
          <w:numId w:val="3"/>
        </w:numPr>
        <w:spacing w:after="0"/>
        <w:ind w:left="0" w:firstLine="567"/>
        <w:rPr>
          <w:sz w:val="22"/>
          <w:szCs w:val="22"/>
        </w:rPr>
      </w:pPr>
      <w:r>
        <w:rPr>
          <w:sz w:val="22"/>
          <w:szCs w:val="22"/>
        </w:rPr>
        <w:t>disputa final, hipótese em que os licitantes empatados poderão apresentar nova proposta em ato contínuo à classificação;</w:t>
      </w:r>
    </w:p>
    <w:p w14:paraId="1FC60047">
      <w:pPr>
        <w:pStyle w:val="61"/>
        <w:numPr>
          <w:ilvl w:val="3"/>
          <w:numId w:val="3"/>
        </w:numPr>
        <w:spacing w:after="0"/>
        <w:ind w:left="0" w:firstLine="567"/>
        <w:rPr>
          <w:sz w:val="22"/>
          <w:szCs w:val="22"/>
        </w:rPr>
      </w:pPr>
      <w:r>
        <w:rPr>
          <w:sz w:val="22"/>
          <w:szCs w:val="22"/>
        </w:rPr>
        <w:t>avaliação do desempenho contratual prévio dos licitantes, para a qual deverão preferencialmente ser utilizados registros cadastrais para efeito de atesto de cumprimento de obrigações previstos nesta Lei;</w:t>
      </w:r>
    </w:p>
    <w:p w14:paraId="0A057372">
      <w:pPr>
        <w:pStyle w:val="61"/>
        <w:numPr>
          <w:ilvl w:val="3"/>
          <w:numId w:val="3"/>
        </w:numPr>
        <w:spacing w:after="0"/>
        <w:ind w:left="0" w:firstLine="567"/>
        <w:rPr>
          <w:sz w:val="22"/>
          <w:szCs w:val="22"/>
        </w:rPr>
      </w:pPr>
      <w:r>
        <w:rPr>
          <w:sz w:val="22"/>
          <w:szCs w:val="22"/>
        </w:rPr>
        <w:t>desenvolvimento pelo licitante de ações de equidade entre homens e mulheres no ambiente de trabalho, conforme regulamento;</w:t>
      </w:r>
    </w:p>
    <w:p w14:paraId="0E2A931D">
      <w:pPr>
        <w:pStyle w:val="61"/>
        <w:numPr>
          <w:ilvl w:val="3"/>
          <w:numId w:val="3"/>
        </w:numPr>
        <w:spacing w:after="0"/>
        <w:ind w:left="0" w:firstLine="567"/>
        <w:rPr>
          <w:sz w:val="22"/>
          <w:szCs w:val="22"/>
        </w:rPr>
      </w:pPr>
      <w:r>
        <w:rPr>
          <w:sz w:val="22"/>
          <w:szCs w:val="22"/>
        </w:rPr>
        <w:t>desenvolvimento pelo licitante de programa de integridade (</w:t>
      </w:r>
      <w:r>
        <w:rPr>
          <w:i/>
          <w:iCs/>
          <w:sz w:val="22"/>
          <w:szCs w:val="22"/>
        </w:rPr>
        <w:t>compliance</w:t>
      </w:r>
      <w:r>
        <w:rPr>
          <w:sz w:val="22"/>
          <w:szCs w:val="22"/>
        </w:rPr>
        <w:t>), conforme orientações dos órgãos de controle.</w:t>
      </w:r>
    </w:p>
    <w:p w14:paraId="125A89F1">
      <w:pPr>
        <w:pStyle w:val="60"/>
        <w:numPr>
          <w:ilvl w:val="2"/>
          <w:numId w:val="3"/>
        </w:numPr>
        <w:spacing w:after="0"/>
        <w:ind w:left="0" w:firstLine="567"/>
        <w:rPr>
          <w:sz w:val="22"/>
          <w:szCs w:val="22"/>
        </w:rPr>
      </w:pPr>
      <w:r>
        <w:rPr>
          <w:sz w:val="22"/>
          <w:szCs w:val="22"/>
        </w:rPr>
        <w:t>Persistindo o empate, será assegurada preferência, sucessivamente, aos bens e serviços produzidos ou prestados por:</w:t>
      </w:r>
    </w:p>
    <w:p w14:paraId="366AA430">
      <w:pPr>
        <w:pStyle w:val="61"/>
        <w:numPr>
          <w:ilvl w:val="3"/>
          <w:numId w:val="3"/>
        </w:numPr>
        <w:spacing w:after="0"/>
        <w:ind w:left="0" w:firstLine="567"/>
        <w:rPr>
          <w:sz w:val="22"/>
          <w:szCs w:val="22"/>
        </w:rPr>
      </w:pPr>
      <w:bookmarkStart w:id="24" w:name="art60§1i"/>
      <w:bookmarkEnd w:id="24"/>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pPr>
        <w:pStyle w:val="61"/>
        <w:numPr>
          <w:ilvl w:val="3"/>
          <w:numId w:val="3"/>
        </w:numPr>
        <w:spacing w:after="0"/>
        <w:ind w:left="0" w:firstLine="567"/>
        <w:rPr>
          <w:sz w:val="22"/>
          <w:szCs w:val="22"/>
        </w:rPr>
      </w:pPr>
      <w:bookmarkStart w:id="25" w:name="art60§1ii"/>
      <w:bookmarkEnd w:id="25"/>
      <w:r>
        <w:rPr>
          <w:sz w:val="22"/>
          <w:szCs w:val="22"/>
        </w:rPr>
        <w:t>empresas brasileiras;</w:t>
      </w:r>
    </w:p>
    <w:p w14:paraId="3C7CB0B5">
      <w:pPr>
        <w:pStyle w:val="61"/>
        <w:numPr>
          <w:ilvl w:val="3"/>
          <w:numId w:val="3"/>
        </w:numPr>
        <w:spacing w:after="0"/>
        <w:ind w:left="0" w:firstLine="567"/>
        <w:rPr>
          <w:sz w:val="22"/>
          <w:szCs w:val="22"/>
        </w:rPr>
      </w:pPr>
      <w:bookmarkStart w:id="26" w:name="art60§1iii"/>
      <w:bookmarkEnd w:id="26"/>
      <w:r>
        <w:rPr>
          <w:sz w:val="22"/>
          <w:szCs w:val="22"/>
        </w:rPr>
        <w:t>empresas que invistam em pesquisa e no desenvolvimento de tecnologia no País;</w:t>
      </w:r>
    </w:p>
    <w:p w14:paraId="1693D810">
      <w:pPr>
        <w:pStyle w:val="61"/>
        <w:numPr>
          <w:ilvl w:val="3"/>
          <w:numId w:val="3"/>
        </w:numPr>
        <w:spacing w:after="0"/>
        <w:ind w:left="0" w:firstLine="567"/>
        <w:rPr>
          <w:sz w:val="22"/>
          <w:szCs w:val="22"/>
        </w:rPr>
      </w:pPr>
      <w:bookmarkStart w:id="27" w:name="art60§1iv"/>
      <w:bookmarkEnd w:id="27"/>
      <w:r>
        <w:rPr>
          <w:sz w:val="22"/>
          <w:szCs w:val="22"/>
        </w:rPr>
        <w:t>empresas que comprovem a prática de mitigação, nos termos da Lei nº 12.187, de 29 de dezembro de 2009.</w:t>
      </w:r>
    </w:p>
    <w:p w14:paraId="40D49C27">
      <w:pPr>
        <w:pStyle w:val="58"/>
        <w:numPr>
          <w:ilvl w:val="1"/>
          <w:numId w:val="3"/>
        </w:numPr>
        <w:spacing w:after="0"/>
        <w:ind w:left="0" w:firstLine="567"/>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pPr>
        <w:pStyle w:val="60"/>
        <w:numPr>
          <w:ilvl w:val="2"/>
          <w:numId w:val="3"/>
        </w:numPr>
        <w:spacing w:after="0"/>
        <w:ind w:left="0" w:firstLine="567"/>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pPr>
        <w:pStyle w:val="60"/>
        <w:numPr>
          <w:ilvl w:val="2"/>
          <w:numId w:val="3"/>
        </w:numPr>
        <w:spacing w:after="0"/>
        <w:ind w:left="0" w:firstLine="567"/>
        <w:rPr>
          <w:rFonts w:eastAsia="Times New Roman"/>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14:paraId="420D4F72">
      <w:pPr>
        <w:pStyle w:val="60"/>
        <w:numPr>
          <w:ilvl w:val="2"/>
          <w:numId w:val="3"/>
        </w:numPr>
        <w:spacing w:after="0"/>
        <w:ind w:left="0" w:firstLine="567"/>
        <w:rPr>
          <w:rFonts w:eastAsia="Times New Roman"/>
          <w:sz w:val="22"/>
          <w:szCs w:val="22"/>
        </w:rPr>
      </w:pPr>
      <w:r>
        <w:rPr>
          <w:rFonts w:eastAsia="Times New Roman"/>
          <w:sz w:val="22"/>
          <w:szCs w:val="22"/>
        </w:rPr>
        <w:t>O resultado da negociação será divulgado a todos os licitantes e anexado aos autos do processo licitatório.</w:t>
      </w:r>
    </w:p>
    <w:p w14:paraId="756591C2">
      <w:pPr>
        <w:pStyle w:val="58"/>
        <w:numPr>
          <w:ilvl w:val="1"/>
          <w:numId w:val="3"/>
        </w:numPr>
        <w:spacing w:after="0"/>
        <w:ind w:left="0" w:firstLine="567"/>
        <w:rPr>
          <w:sz w:val="22"/>
          <w:szCs w:val="22"/>
        </w:rPr>
      </w:pPr>
      <w:r>
        <w:rPr>
          <w:sz w:val="22"/>
          <w:szCs w:val="22"/>
        </w:rPr>
        <w:t xml:space="preserve">Será desclassificada a proposta que: </w:t>
      </w:r>
    </w:p>
    <w:p w14:paraId="5495BCFB">
      <w:pPr>
        <w:pStyle w:val="60"/>
        <w:numPr>
          <w:ilvl w:val="2"/>
          <w:numId w:val="3"/>
        </w:numPr>
        <w:spacing w:after="0"/>
        <w:ind w:left="0" w:firstLine="567"/>
        <w:rPr>
          <w:sz w:val="22"/>
          <w:szCs w:val="22"/>
        </w:rPr>
      </w:pPr>
      <w:r>
        <w:rPr>
          <w:sz w:val="22"/>
          <w:szCs w:val="22"/>
        </w:rPr>
        <w:t>contiver vícios insanáveis;</w:t>
      </w:r>
    </w:p>
    <w:p w14:paraId="0F7FCC9E">
      <w:pPr>
        <w:pStyle w:val="60"/>
        <w:numPr>
          <w:ilvl w:val="2"/>
          <w:numId w:val="3"/>
        </w:numPr>
        <w:spacing w:after="0"/>
        <w:ind w:left="0" w:firstLine="567"/>
        <w:rPr>
          <w:sz w:val="22"/>
          <w:szCs w:val="22"/>
        </w:rPr>
      </w:pPr>
      <w:r>
        <w:rPr>
          <w:sz w:val="22"/>
          <w:szCs w:val="22"/>
        </w:rPr>
        <w:t>não obedecer às especificações técnicas contidas no Termo de Referência;</w:t>
      </w:r>
    </w:p>
    <w:p w14:paraId="34D97E4C">
      <w:pPr>
        <w:pStyle w:val="60"/>
        <w:numPr>
          <w:ilvl w:val="2"/>
          <w:numId w:val="3"/>
        </w:numPr>
        <w:spacing w:after="0"/>
        <w:ind w:left="0" w:firstLine="567"/>
        <w:rPr>
          <w:sz w:val="22"/>
          <w:szCs w:val="22"/>
        </w:rPr>
      </w:pPr>
      <w:r>
        <w:rPr>
          <w:sz w:val="22"/>
          <w:szCs w:val="22"/>
        </w:rPr>
        <w:t>apresentar preços inexequíveis ou permanecerem acima do preço máximo definido para a contratação;</w:t>
      </w:r>
    </w:p>
    <w:p w14:paraId="16CF0C98">
      <w:pPr>
        <w:pStyle w:val="60"/>
        <w:numPr>
          <w:ilvl w:val="2"/>
          <w:numId w:val="3"/>
        </w:numPr>
        <w:spacing w:after="0"/>
        <w:ind w:left="0" w:firstLine="567"/>
        <w:rPr>
          <w:sz w:val="22"/>
          <w:szCs w:val="22"/>
        </w:rPr>
      </w:pPr>
      <w:r>
        <w:rPr>
          <w:sz w:val="22"/>
          <w:szCs w:val="22"/>
        </w:rPr>
        <w:t>não tiverem sua exequibilidade demonstrada, quando exigido pela Administração;</w:t>
      </w:r>
    </w:p>
    <w:p w14:paraId="2022D4AC">
      <w:pPr>
        <w:pStyle w:val="60"/>
        <w:numPr>
          <w:ilvl w:val="2"/>
          <w:numId w:val="3"/>
        </w:numPr>
        <w:spacing w:after="0"/>
        <w:ind w:left="0" w:firstLine="567"/>
        <w:rPr>
          <w:sz w:val="22"/>
          <w:szCs w:val="22"/>
        </w:rPr>
      </w:pPr>
      <w:r>
        <w:rPr>
          <w:sz w:val="22"/>
          <w:szCs w:val="22"/>
        </w:rPr>
        <w:t>apresentar desconformidade com quaisquer outras exigências deste Edital ou seus anexos, desde que insanável.</w:t>
      </w:r>
    </w:p>
    <w:p w14:paraId="73459FD3">
      <w:pPr>
        <w:pStyle w:val="58"/>
        <w:numPr>
          <w:ilvl w:val="1"/>
          <w:numId w:val="3"/>
        </w:numPr>
        <w:spacing w:after="0"/>
        <w:ind w:left="0" w:firstLine="567"/>
        <w:rPr>
          <w:b/>
          <w:bCs/>
          <w:sz w:val="22"/>
          <w:szCs w:val="22"/>
        </w:rPr>
      </w:pPr>
      <w:r>
        <w:rPr>
          <w:sz w:val="22"/>
          <w:szCs w:val="22"/>
        </w:rPr>
        <w:t>No caso de bens e serviços em geral, é indício de inexequibilidade das propostas valores inferiores a 50% (cinquenta por cento) do valor orçado pela Administração.</w:t>
      </w:r>
    </w:p>
    <w:p w14:paraId="0D57F89D">
      <w:pPr>
        <w:pStyle w:val="60"/>
        <w:numPr>
          <w:ilvl w:val="2"/>
          <w:numId w:val="3"/>
        </w:numPr>
        <w:spacing w:after="0"/>
        <w:ind w:left="0" w:firstLine="567"/>
        <w:rPr>
          <w:sz w:val="22"/>
          <w:szCs w:val="22"/>
        </w:rPr>
      </w:pPr>
      <w:r>
        <w:rPr>
          <w:sz w:val="22"/>
          <w:szCs w:val="22"/>
        </w:rPr>
        <w:t xml:space="preserve">A inexequibilidade, na hipótese de que trata o </w:t>
      </w:r>
      <w:r>
        <w:rPr>
          <w:b/>
          <w:bCs/>
          <w:sz w:val="22"/>
          <w:szCs w:val="22"/>
        </w:rPr>
        <w:t>caput</w:t>
      </w:r>
      <w:r>
        <w:rPr>
          <w:sz w:val="22"/>
          <w:szCs w:val="22"/>
        </w:rPr>
        <w:t>, só será considerada após diligência do pregoeiro, que comprove:</w:t>
      </w:r>
    </w:p>
    <w:p w14:paraId="02E9476D">
      <w:pPr>
        <w:pStyle w:val="61"/>
        <w:numPr>
          <w:ilvl w:val="3"/>
          <w:numId w:val="3"/>
        </w:numPr>
        <w:spacing w:after="0"/>
        <w:ind w:left="0" w:firstLine="567"/>
        <w:rPr>
          <w:sz w:val="22"/>
          <w:szCs w:val="22"/>
        </w:rPr>
      </w:pPr>
      <w:r>
        <w:rPr>
          <w:sz w:val="22"/>
          <w:szCs w:val="22"/>
        </w:rPr>
        <w:t>que o custo do licitante ultrapassa o valor da proposta; e</w:t>
      </w:r>
    </w:p>
    <w:p w14:paraId="4A65D067">
      <w:pPr>
        <w:pStyle w:val="61"/>
        <w:numPr>
          <w:ilvl w:val="3"/>
          <w:numId w:val="3"/>
        </w:numPr>
        <w:spacing w:after="0"/>
        <w:ind w:left="0" w:firstLine="567"/>
        <w:rPr>
          <w:sz w:val="22"/>
          <w:szCs w:val="22"/>
        </w:rPr>
      </w:pPr>
      <w:r>
        <w:rPr>
          <w:sz w:val="22"/>
          <w:szCs w:val="22"/>
        </w:rPr>
        <w:t>inexistirem custos de oportunidade capazes de justificar o vulto da oferta.</w:t>
      </w:r>
    </w:p>
    <w:p w14:paraId="12916274">
      <w:pPr>
        <w:pStyle w:val="58"/>
        <w:numPr>
          <w:ilvl w:val="1"/>
          <w:numId w:val="3"/>
        </w:numPr>
        <w:tabs>
          <w:tab w:val="left" w:pos="1276"/>
        </w:tabs>
        <w:spacing w:after="0"/>
        <w:ind w:left="0" w:firstLine="567"/>
        <w:rPr>
          <w:sz w:val="22"/>
          <w:szCs w:val="22"/>
        </w:rPr>
      </w:pPr>
      <w:r>
        <w:rPr>
          <w:sz w:val="22"/>
          <w:szCs w:val="22"/>
        </w:rPr>
        <w:t xml:space="preserve">Em contratação de </w:t>
      </w:r>
      <w:r>
        <w:rPr>
          <w:b/>
          <w:bCs/>
          <w:sz w:val="22"/>
          <w:szCs w:val="22"/>
        </w:rPr>
        <w:t>SERVIÇOS DE ENGENHARIA</w:t>
      </w:r>
      <w:r>
        <w:rPr>
          <w:sz w:val="22"/>
          <w:szCs w:val="22"/>
        </w:rPr>
        <w:t>, além das disposições acima, a análise de exequibilidade e sobrepreço considerará o seguinte:</w:t>
      </w:r>
    </w:p>
    <w:p w14:paraId="6E7AB0E3">
      <w:pPr>
        <w:pStyle w:val="60"/>
        <w:numPr>
          <w:ilvl w:val="2"/>
          <w:numId w:val="3"/>
        </w:numPr>
        <w:tabs>
          <w:tab w:val="left" w:pos="1276"/>
          <w:tab w:val="left" w:pos="1560"/>
        </w:tabs>
        <w:spacing w:after="0"/>
        <w:ind w:left="0" w:firstLine="567"/>
        <w:rPr>
          <w:sz w:val="22"/>
          <w:szCs w:val="22"/>
        </w:rPr>
      </w:pPr>
      <w:r>
        <w:rPr>
          <w:sz w:val="22"/>
          <w:szCs w:val="22"/>
        </w:rPr>
        <w:t>Nos regimes de execução por tarefa, empreitada por preço global ou empreitada integral, semi-integrada ou integrada, a caracterização do sobrepreço se dará pela superação do valor global estimado;</w:t>
      </w:r>
    </w:p>
    <w:p w14:paraId="73E0EFDE">
      <w:pPr>
        <w:pStyle w:val="60"/>
        <w:numPr>
          <w:ilvl w:val="2"/>
          <w:numId w:val="3"/>
        </w:numPr>
        <w:tabs>
          <w:tab w:val="left" w:pos="1276"/>
          <w:tab w:val="left" w:pos="1560"/>
        </w:tabs>
        <w:spacing w:after="0"/>
        <w:ind w:left="0" w:firstLine="567"/>
        <w:rPr>
          <w:color w:val="auto"/>
          <w:sz w:val="22"/>
          <w:szCs w:val="22"/>
        </w:rPr>
      </w:pPr>
      <w:r>
        <w:rPr>
          <w:sz w:val="22"/>
          <w:szCs w:val="22"/>
        </w:rPr>
        <w:t xml:space="preserve">No regime de empreitada por preço unitário, a caracterização do sobrepreço se dará pela superação do valor global estimado e </w:t>
      </w:r>
      <w:r>
        <w:rPr>
          <w:i/>
          <w:iCs/>
          <w:color w:val="auto"/>
          <w:sz w:val="22"/>
          <w:szCs w:val="22"/>
        </w:rPr>
        <w:t>pela superação de custo unitário tido como relevante, conforme planilha anexa ao edital;</w:t>
      </w:r>
    </w:p>
    <w:p w14:paraId="7C15A1A4">
      <w:pPr>
        <w:pStyle w:val="121"/>
        <w:spacing w:before="120" w:beforeAutospacing="0" w:after="0" w:afterAutospacing="0" w:line="276" w:lineRule="auto"/>
        <w:ind w:left="1134"/>
        <w:jc w:val="both"/>
        <w:rPr>
          <w:rFonts w:ascii="Arial" w:hAnsi="Arial" w:cs="Arial"/>
          <w:sz w:val="22"/>
          <w:szCs w:val="22"/>
        </w:rPr>
      </w:pPr>
      <w:r>
        <w:rPr>
          <w:rStyle w:val="122"/>
          <w:rFonts w:ascii="Arial" w:hAnsi="Arial" w:cs="Arial"/>
          <w:sz w:val="22"/>
          <w:szCs w:val="22"/>
        </w:rPr>
        <w:t>Nota explicativa AGU</w:t>
      </w:r>
      <w:r>
        <w:rPr>
          <w:rStyle w:val="123"/>
          <w:rFonts w:ascii="Arial" w:hAnsi="Arial" w:cs="Arial"/>
          <w:sz w:val="22"/>
          <w:szCs w:val="22"/>
        </w:rPr>
        <w:t xml:space="preserve">: </w:t>
      </w:r>
      <w:r>
        <w:rPr>
          <w:rStyle w:val="124"/>
          <w:rFonts w:ascii="Arial" w:hAnsi="Arial" w:cs="Arial"/>
          <w:sz w:val="22"/>
          <w:szCs w:val="22"/>
        </w:rPr>
        <w:t xml:space="preserve">Se o regime é o de empreitada por preço unitário, cabe desclassificação em razão de custos unitários superiores aos orçados pela Administração, conforme </w:t>
      </w:r>
      <w:r>
        <w:fldChar w:fldCharType="begin"/>
      </w:r>
      <w:r>
        <w:instrText xml:space="preserve"> HYPERLINK "http://www.planalto.gov.br/ccivil_03/_ato2019-2022/2021/lei/L14133.htm" \l "art59§3" </w:instrText>
      </w:r>
      <w:r>
        <w:fldChar w:fldCharType="separate"/>
      </w:r>
      <w:r>
        <w:rPr>
          <w:rStyle w:val="125"/>
          <w:rFonts w:ascii="Arial" w:hAnsi="Arial" w:cs="Arial"/>
          <w:sz w:val="22"/>
          <w:szCs w:val="22"/>
          <w:u w:val="single"/>
        </w:rPr>
        <w:t>art. 59, §3º, da Lei nº 14.133/2021</w:t>
      </w:r>
      <w:r>
        <w:rPr>
          <w:rStyle w:val="125"/>
          <w:rFonts w:ascii="Arial" w:hAnsi="Arial" w:cs="Arial"/>
          <w:sz w:val="22"/>
          <w:szCs w:val="22"/>
          <w:u w:val="single"/>
        </w:rPr>
        <w:fldChar w:fldCharType="end"/>
      </w:r>
      <w:r>
        <w:rPr>
          <w:rStyle w:val="124"/>
          <w:rFonts w:ascii="Arial" w:hAnsi="Arial" w:cs="Arial"/>
          <w:sz w:val="22"/>
          <w:szCs w:val="22"/>
        </w:rPr>
        <w:t xml:space="preserve">, que expressamente se refere ao </w:t>
      </w:r>
      <w:r>
        <w:rPr>
          <w:rStyle w:val="123"/>
          <w:rFonts w:ascii="Arial" w:hAnsi="Arial" w:cs="Arial"/>
          <w:sz w:val="22"/>
          <w:szCs w:val="22"/>
        </w:rPr>
        <w:t xml:space="preserve">critério de aceitabilidade de preços unitário e global a </w:t>
      </w:r>
      <w:r>
        <w:rPr>
          <w:rStyle w:val="122"/>
          <w:rFonts w:ascii="Arial" w:hAnsi="Arial" w:cs="Arial"/>
          <w:sz w:val="22"/>
          <w:szCs w:val="22"/>
        </w:rPr>
        <w:t>ser fixado no edital</w:t>
      </w:r>
      <w:r>
        <w:rPr>
          <w:rStyle w:val="123"/>
          <w:rFonts w:ascii="Arial" w:hAnsi="Arial" w:cs="Arial"/>
          <w:sz w:val="22"/>
          <w:szCs w:val="22"/>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175F1E26">
      <w:pPr>
        <w:pStyle w:val="60"/>
        <w:numPr>
          <w:ilvl w:val="2"/>
          <w:numId w:val="3"/>
        </w:numPr>
        <w:tabs>
          <w:tab w:val="left" w:pos="1276"/>
        </w:tabs>
        <w:spacing w:after="0"/>
        <w:ind w:left="0" w:firstLine="567"/>
        <w:rPr>
          <w:sz w:val="22"/>
          <w:szCs w:val="22"/>
        </w:rPr>
      </w:pPr>
      <w:r>
        <w:rPr>
          <w:sz w:val="22"/>
          <w:szCs w:val="22"/>
        </w:rPr>
        <w:t>No caso de serviços de engenharia, serão consideradas inexequíveis as propostas cujos valores forem inferiores a 75% (setenta e cinco por cento) do valor orçado pela Administração, independentemente do regime de execução.</w:t>
      </w:r>
    </w:p>
    <w:p w14:paraId="37144D14">
      <w:pPr>
        <w:pStyle w:val="60"/>
        <w:numPr>
          <w:ilvl w:val="2"/>
          <w:numId w:val="3"/>
        </w:numPr>
        <w:tabs>
          <w:tab w:val="left" w:pos="1276"/>
        </w:tabs>
        <w:spacing w:after="0"/>
        <w:ind w:left="0" w:firstLine="567"/>
        <w:rPr>
          <w:sz w:val="22"/>
          <w:szCs w:val="22"/>
        </w:rPr>
      </w:pPr>
      <w:r>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0DDD7BA">
      <w:pPr>
        <w:pStyle w:val="58"/>
        <w:numPr>
          <w:ilvl w:val="1"/>
          <w:numId w:val="3"/>
        </w:numPr>
        <w:tabs>
          <w:tab w:val="left" w:pos="1276"/>
        </w:tabs>
        <w:spacing w:after="0"/>
        <w:ind w:left="0" w:firstLine="567"/>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79A9BDC7">
      <w:pPr>
        <w:pStyle w:val="58"/>
        <w:numPr>
          <w:ilvl w:val="1"/>
          <w:numId w:val="3"/>
        </w:numPr>
        <w:tabs>
          <w:tab w:val="left" w:pos="1276"/>
        </w:tabs>
        <w:spacing w:after="0"/>
        <w:ind w:left="0" w:firstLine="567"/>
        <w:rPr>
          <w:sz w:val="22"/>
          <w:szCs w:val="22"/>
        </w:rPr>
      </w:pPr>
      <w:r>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FE278DF">
      <w:pPr>
        <w:pStyle w:val="60"/>
        <w:numPr>
          <w:ilvl w:val="2"/>
          <w:numId w:val="3"/>
        </w:numPr>
        <w:tabs>
          <w:tab w:val="left" w:pos="1276"/>
        </w:tabs>
        <w:spacing w:after="0"/>
        <w:ind w:left="0" w:firstLine="567"/>
        <w:rPr>
          <w:sz w:val="22"/>
          <w:szCs w:val="22"/>
        </w:rPr>
      </w:pPr>
      <w:r>
        <w:rPr>
          <w:sz w:val="22"/>
          <w:szCs w:val="22"/>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2E43ED56">
      <w:pPr>
        <w:pStyle w:val="58"/>
        <w:numPr>
          <w:ilvl w:val="1"/>
          <w:numId w:val="3"/>
        </w:numPr>
        <w:tabs>
          <w:tab w:val="left" w:pos="1276"/>
        </w:tabs>
        <w:spacing w:after="0"/>
        <w:ind w:left="0" w:firstLine="567"/>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w:t>
      </w:r>
    </w:p>
    <w:p w14:paraId="7EF4CC7D">
      <w:pPr>
        <w:pStyle w:val="60"/>
        <w:numPr>
          <w:ilvl w:val="2"/>
          <w:numId w:val="3"/>
        </w:numPr>
        <w:tabs>
          <w:tab w:val="left" w:pos="1276"/>
        </w:tabs>
        <w:spacing w:after="0"/>
        <w:ind w:left="0" w:firstLine="567"/>
        <w:rPr>
          <w:sz w:val="22"/>
          <w:szCs w:val="22"/>
        </w:rPr>
      </w:pPr>
      <w:r>
        <w:rPr>
          <w:sz w:val="22"/>
          <w:szCs w:val="22"/>
        </w:rPr>
        <w:t>O ajuste de que trata este dispositivo se limita a sanar erros ou falhas que não alterem a substância das propostas;</w:t>
      </w:r>
    </w:p>
    <w:p w14:paraId="65AEC6C2">
      <w:pPr>
        <w:pStyle w:val="60"/>
        <w:numPr>
          <w:ilvl w:val="2"/>
          <w:numId w:val="3"/>
        </w:numPr>
        <w:tabs>
          <w:tab w:val="left" w:pos="1276"/>
        </w:tabs>
        <w:spacing w:after="0"/>
        <w:ind w:left="0" w:firstLine="567"/>
        <w:rPr>
          <w:sz w:val="22"/>
          <w:szCs w:val="22"/>
        </w:rPr>
      </w:pPr>
      <w:r>
        <w:rPr>
          <w:sz w:val="22"/>
          <w:szCs w:val="22"/>
        </w:rPr>
        <w:t>Considera-se erro no preenchimento da planilha passível de correção a indicação de recolhimento de impostos e contribuições na forma do Simples Nacional, quando não cabível esse regime.</w:t>
      </w:r>
    </w:p>
    <w:p w14:paraId="604BF6D1">
      <w:pPr>
        <w:pStyle w:val="60"/>
        <w:numPr>
          <w:ilvl w:val="2"/>
          <w:numId w:val="3"/>
        </w:numPr>
        <w:tabs>
          <w:tab w:val="left" w:pos="1276"/>
        </w:tabs>
        <w:spacing w:after="0"/>
        <w:ind w:left="0" w:firstLine="567"/>
        <w:rPr>
          <w:sz w:val="22"/>
          <w:szCs w:val="22"/>
        </w:rPr>
      </w:pPr>
      <w:r>
        <w:rPr>
          <w:sz w:val="22"/>
          <w:szCs w:val="22"/>
        </w:rPr>
        <w:t> O pregoeiro solicitará ao licitante mais bem classificado que, no prazo de ___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4F1A98C2">
      <w:pPr>
        <w:pStyle w:val="60"/>
        <w:numPr>
          <w:ilvl w:val="2"/>
          <w:numId w:val="3"/>
        </w:numPr>
        <w:tabs>
          <w:tab w:val="left" w:pos="1276"/>
        </w:tabs>
        <w:spacing w:after="0"/>
        <w:ind w:left="0" w:firstLine="567"/>
        <w:rPr>
          <w:rFonts w:eastAsia="Times New Roman"/>
          <w:sz w:val="22"/>
          <w:szCs w:val="22"/>
        </w:rPr>
      </w:pPr>
      <w:r>
        <w:rPr>
          <w:rFonts w:eastAsia="Times New Roman"/>
          <w:sz w:val="22"/>
          <w:szCs w:val="22"/>
        </w:rPr>
        <w:t>É facultado ao pregoeiro prorrogar o prazo estabelecido, a partir de solicitação fundamentada feita no chat pelo licitante, antes de findo o prazo.</w:t>
      </w:r>
      <w:bookmarkEnd w:id="20"/>
    </w:p>
    <w:p w14:paraId="3CC3184C">
      <w:pPr>
        <w:pStyle w:val="58"/>
        <w:numPr>
          <w:ilvl w:val="1"/>
          <w:numId w:val="3"/>
        </w:numPr>
        <w:tabs>
          <w:tab w:val="left" w:pos="1276"/>
        </w:tabs>
        <w:spacing w:after="0"/>
        <w:ind w:left="0" w:firstLine="567"/>
        <w:rPr>
          <w:i/>
          <w:iCs/>
          <w:sz w:val="22"/>
          <w:szCs w:val="22"/>
        </w:rPr>
      </w:pPr>
      <w:r>
        <w:rPr>
          <w:b/>
          <w:bCs/>
          <w:sz w:val="22"/>
          <w:szCs w:val="22"/>
        </w:rPr>
        <w:t>(AMOSTRA)</w:t>
      </w:r>
      <w:r>
        <w:rPr>
          <w:sz w:val="22"/>
          <w:szCs w:val="22"/>
        </w:rPr>
        <w:t xml:space="preserve"> Caso o Termo de Referência exija a apresentação de amostra, o licitante classificado em primeiro lugar deverá apresentá-la, conforme disciplinado no Termo de Referência, sob pena de não aceitação da proposta.</w:t>
      </w:r>
    </w:p>
    <w:p w14:paraId="301A2E33">
      <w:pPr>
        <w:pStyle w:val="58"/>
        <w:numPr>
          <w:ilvl w:val="2"/>
          <w:numId w:val="3"/>
        </w:numPr>
        <w:tabs>
          <w:tab w:val="left" w:pos="1276"/>
        </w:tabs>
        <w:spacing w:after="0"/>
        <w:ind w:left="0" w:firstLine="567"/>
        <w:rPr>
          <w:sz w:val="22"/>
          <w:szCs w:val="22"/>
        </w:rPr>
      </w:pPr>
      <w:r>
        <w:rPr>
          <w:sz w:val="22"/>
          <w:szCs w:val="22"/>
        </w:rPr>
        <w:t>Por meio de mensagem no sistema, será divulgado o local e horário de realização do procedimento para a avaliação das amostras, cuja presença será facultada a todos os interessados, incluindo os demais licitantes.</w:t>
      </w:r>
    </w:p>
    <w:p w14:paraId="3D135368">
      <w:pPr>
        <w:pStyle w:val="58"/>
        <w:numPr>
          <w:ilvl w:val="2"/>
          <w:numId w:val="3"/>
        </w:numPr>
        <w:tabs>
          <w:tab w:val="left" w:pos="1276"/>
        </w:tabs>
        <w:spacing w:after="0"/>
        <w:ind w:left="0" w:firstLine="567"/>
        <w:rPr>
          <w:sz w:val="22"/>
          <w:szCs w:val="22"/>
        </w:rPr>
      </w:pPr>
      <w:r>
        <w:rPr>
          <w:sz w:val="22"/>
          <w:szCs w:val="22"/>
        </w:rPr>
        <w:t>Os resultados das avaliações serão divulgados por meio de mensagem no sistema.</w:t>
      </w:r>
    </w:p>
    <w:p w14:paraId="5B22D86F">
      <w:pPr>
        <w:pStyle w:val="58"/>
        <w:numPr>
          <w:ilvl w:val="2"/>
          <w:numId w:val="3"/>
        </w:numPr>
        <w:tabs>
          <w:tab w:val="left" w:pos="1276"/>
        </w:tabs>
        <w:spacing w:after="0"/>
        <w:ind w:left="0" w:firstLine="567"/>
        <w:rPr>
          <w:sz w:val="22"/>
          <w:szCs w:val="22"/>
        </w:rPr>
      </w:pP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1ADBE67">
      <w:pPr>
        <w:pStyle w:val="58"/>
        <w:numPr>
          <w:ilvl w:val="2"/>
          <w:numId w:val="3"/>
        </w:numPr>
        <w:tabs>
          <w:tab w:val="left" w:pos="1276"/>
        </w:tabs>
        <w:spacing w:after="0"/>
        <w:ind w:left="0" w:firstLine="567"/>
        <w:rPr>
          <w:sz w:val="22"/>
          <w:szCs w:val="22"/>
        </w:rPr>
      </w:pPr>
      <w:r>
        <w:rPr>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A499404">
      <w:pPr>
        <w:pStyle w:val="41"/>
        <w:numPr>
          <w:ilvl w:val="0"/>
          <w:numId w:val="3"/>
        </w:numPr>
        <w:spacing w:before="120" w:line="276" w:lineRule="auto"/>
        <w:ind w:left="0" w:firstLine="567"/>
        <w:rPr>
          <w:sz w:val="22"/>
          <w:szCs w:val="22"/>
        </w:rPr>
      </w:pPr>
      <w:bookmarkStart w:id="28" w:name="_Toc122606108"/>
      <w:bookmarkStart w:id="29" w:name="_Hlk82473550"/>
      <w:r>
        <w:rPr>
          <w:sz w:val="22"/>
          <w:szCs w:val="22"/>
        </w:rPr>
        <w:t xml:space="preserve">  DA FASE DE HABILITAÇÃO</w:t>
      </w:r>
      <w:bookmarkEnd w:id="28"/>
    </w:p>
    <w:p w14:paraId="556A8739">
      <w:pPr>
        <w:pStyle w:val="58"/>
        <w:numPr>
          <w:ilvl w:val="1"/>
          <w:numId w:val="3"/>
        </w:numPr>
        <w:spacing w:after="0"/>
        <w:ind w:left="0" w:firstLine="567"/>
        <w:rPr>
          <w:b/>
          <w:bCs/>
          <w:sz w:val="22"/>
          <w:szCs w:val="22"/>
          <w:lang w:eastAsia="ar-SA"/>
        </w:rPr>
      </w:pPr>
      <w:bookmarkStart w:id="30" w:name="_Ref117019424"/>
      <w:r>
        <w:rPr>
          <w:sz w:val="22"/>
          <w:szCs w:val="22"/>
        </w:rPr>
        <w:t>Encerrada a etapa de negociação e aceitação, será iniciada a fase de Habilitação, onde será disponibilizado ao licitante classificado em primeiro lugar, o comando para inserção dos documentos de Habilitação.  O prazo para a inserção dos documentos solicitados neste edital será de 2 horas, a contar do disparo da mensagem da liberação do comando para inserção dos documentos, sujeito a desclassificação, caso não faça no tempo determinado.</w:t>
      </w:r>
    </w:p>
    <w:p w14:paraId="53C049A6">
      <w:pPr>
        <w:pStyle w:val="58"/>
        <w:numPr>
          <w:ilvl w:val="1"/>
          <w:numId w:val="3"/>
        </w:numPr>
        <w:spacing w:after="0"/>
        <w:ind w:left="0" w:firstLine="567"/>
        <w:rPr>
          <w:b/>
          <w:bCs/>
          <w:sz w:val="22"/>
          <w:szCs w:val="22"/>
          <w:lang w:eastAsia="ar-SA"/>
        </w:rPr>
      </w:pPr>
      <w:r>
        <w:rPr>
          <w:sz w:val="22"/>
          <w:szCs w:val="22"/>
        </w:rPr>
        <w:t xml:space="preserve">O pregoeiro verificará se o licitante provisoriamente classificado em primeiro lugar atende às condições de participação no certame, conforme previsto no art. 14 da Lei nº 14.133/2021, legislação correlata e no item 2.5 do edital, </w:t>
      </w:r>
      <w:bookmarkEnd w:id="30"/>
      <w:r>
        <w:rPr>
          <w:color w:val="auto"/>
          <w:sz w:val="22"/>
          <w:szCs w:val="22"/>
          <w:lang w:eastAsia="ar-SA"/>
        </w:rPr>
        <w:t>especialmente quanto à existência de sanção que impeça a participação no certame ou a futura contratação,</w:t>
      </w:r>
      <w:r>
        <w:rPr>
          <w:sz w:val="22"/>
          <w:szCs w:val="22"/>
          <w:lang w:eastAsia="ar-SA"/>
        </w:rPr>
        <w:t xml:space="preserve"> mediante a consulta aos seguintes cadastros:</w:t>
      </w:r>
    </w:p>
    <w:p w14:paraId="12D64A3C">
      <w:pPr>
        <w:pStyle w:val="26"/>
        <w:spacing w:before="120" w:line="276" w:lineRule="auto"/>
        <w:ind w:left="1276"/>
        <w:rPr>
          <w:rFonts w:ascii="Arial" w:hAnsi="Arial" w:cs="Arial"/>
          <w:sz w:val="22"/>
          <w:szCs w:val="22"/>
          <w:lang w:eastAsia="ar-SA"/>
        </w:rPr>
      </w:pPr>
      <w:r>
        <w:rPr>
          <w:rFonts w:ascii="Arial" w:hAnsi="Arial" w:cs="Arial"/>
          <w:sz w:val="22"/>
          <w:szCs w:val="22"/>
          <w:lang w:eastAsia="ar-SA"/>
        </w:rPr>
        <w:t>a) Registro Cadastral ou Registro de Sanções Administrativas do órgão licitante, se houver; e</w:t>
      </w:r>
    </w:p>
    <w:p w14:paraId="41EAACF9">
      <w:pPr>
        <w:pStyle w:val="26"/>
        <w:spacing w:before="120" w:line="276" w:lineRule="auto"/>
        <w:ind w:left="1276"/>
        <w:jc w:val="both"/>
        <w:rPr>
          <w:rFonts w:ascii="Arial" w:hAnsi="Arial" w:cs="Arial"/>
          <w:sz w:val="22"/>
          <w:szCs w:val="22"/>
          <w:lang w:eastAsia="ar-SA"/>
        </w:rPr>
      </w:pPr>
      <w:r>
        <w:rPr>
          <w:rFonts w:ascii="Arial" w:hAnsi="Arial" w:cs="Arial"/>
          <w:sz w:val="22"/>
          <w:szCs w:val="22"/>
          <w:lang w:eastAsia="ar-SA"/>
        </w:rPr>
        <w:t>b) Consulta Consolidada de Pessoa Jurídica (TCU) (</w:t>
      </w:r>
      <w:r>
        <w:rPr>
          <w:rFonts w:ascii="Arial" w:hAnsi="Arial" w:cs="Arial"/>
          <w:sz w:val="22"/>
          <w:szCs w:val="22"/>
        </w:rPr>
        <w:t>https://certidoes-apf.apps.tcu.gov.br/</w:t>
      </w:r>
      <w:r>
        <w:rPr>
          <w:rFonts w:ascii="Arial" w:hAnsi="Arial" w:cs="Arial"/>
          <w:sz w:val="22"/>
          <w:szCs w:val="22"/>
          <w:lang w:eastAsia="ar-SA"/>
        </w:rPr>
        <w:t>).</w:t>
      </w:r>
    </w:p>
    <w:p w14:paraId="273AF883">
      <w:pPr>
        <w:pStyle w:val="58"/>
        <w:numPr>
          <w:ilvl w:val="1"/>
          <w:numId w:val="3"/>
        </w:numPr>
        <w:spacing w:after="0"/>
        <w:ind w:left="0" w:firstLine="567"/>
        <w:rPr>
          <w:sz w:val="22"/>
          <w:szCs w:val="22"/>
        </w:rPr>
      </w:pPr>
      <w:r>
        <w:rPr>
          <w:sz w:val="22"/>
          <w:szCs w:val="22"/>
        </w:rPr>
        <w:t>Caso atendidas as condições de participação, será iniciado o procedimento de habilitação.</w:t>
      </w:r>
    </w:p>
    <w:p w14:paraId="1C5C73A9">
      <w:pPr>
        <w:pStyle w:val="58"/>
        <w:numPr>
          <w:ilvl w:val="1"/>
          <w:numId w:val="3"/>
        </w:numPr>
        <w:spacing w:after="0"/>
        <w:ind w:left="0" w:firstLine="567"/>
        <w:rPr>
          <w:sz w:val="22"/>
          <w:szCs w:val="22"/>
        </w:rPr>
      </w:pPr>
      <w:r>
        <w:rPr>
          <w:sz w:val="22"/>
          <w:szCs w:val="22"/>
        </w:rPr>
        <w:t>Caso o licitante provisoriamente classificado em primeiro lugar enquadre-se no tratamento favorecido às ME/EPPs, o pregoeiro obedecerá ao disposto nos arts. 42 e 43 da Lei Complementar nº 23/06.</w:t>
      </w:r>
    </w:p>
    <w:p w14:paraId="5EC71BF0">
      <w:pPr>
        <w:pStyle w:val="58"/>
        <w:numPr>
          <w:ilvl w:val="1"/>
          <w:numId w:val="3"/>
        </w:numPr>
        <w:spacing w:after="0"/>
        <w:ind w:left="0" w:firstLine="567"/>
        <w:rPr>
          <w:sz w:val="22"/>
          <w:szCs w:val="22"/>
        </w:rPr>
      </w:pPr>
      <w:r>
        <w:rPr>
          <w:sz w:val="22"/>
          <w:szCs w:val="22"/>
        </w:rPr>
        <w:t>Os documentos previstos no Termo de Referência, necessários e suficientes para demonstrar a capacidade do licitante de realizar o objeto da licitação, serão exigidos do licitante melhor classificado para fins de habilitação, nos termos dos.</w:t>
      </w:r>
    </w:p>
    <w:p w14:paraId="6B601869">
      <w:pPr>
        <w:pStyle w:val="58"/>
        <w:numPr>
          <w:ilvl w:val="1"/>
          <w:numId w:val="3"/>
        </w:numPr>
        <w:spacing w:after="0"/>
        <w:ind w:left="0" w:firstLine="567"/>
        <w:rPr>
          <w:b/>
          <w:sz w:val="22"/>
          <w:szCs w:val="22"/>
        </w:rPr>
      </w:pPr>
      <w:bookmarkStart w:id="31" w:name="_Hlk157612871"/>
      <w:r>
        <w:rPr>
          <w:b/>
          <w:sz w:val="22"/>
          <w:szCs w:val="22"/>
        </w:rPr>
        <w:t>Habilitação Jurídica</w:t>
      </w:r>
    </w:p>
    <w:p w14:paraId="6A764AC7">
      <w:pPr>
        <w:pStyle w:val="58"/>
        <w:numPr>
          <w:ilvl w:val="2"/>
          <w:numId w:val="3"/>
        </w:numPr>
        <w:spacing w:after="0"/>
        <w:ind w:left="0" w:firstLine="567"/>
        <w:rPr>
          <w:sz w:val="22"/>
          <w:szCs w:val="22"/>
        </w:rPr>
      </w:pPr>
      <w:r>
        <w:rPr>
          <w:bCs/>
          <w:sz w:val="22"/>
          <w:szCs w:val="22"/>
        </w:rPr>
        <w:t>Ato constitutivo, estatuto ou contrato social em vigor, ou registro empresarial  devidamente registrado. Em se tratando de sociedade por ações, o estatuto social deverá vir acompanhado dos documentos de eleição de seus administradores.</w:t>
      </w:r>
    </w:p>
    <w:p w14:paraId="204F6FD7">
      <w:pPr>
        <w:pStyle w:val="58"/>
        <w:numPr>
          <w:ilvl w:val="2"/>
          <w:numId w:val="3"/>
        </w:numPr>
        <w:spacing w:after="0"/>
        <w:ind w:left="0" w:firstLine="567"/>
        <w:rPr>
          <w:sz w:val="22"/>
          <w:szCs w:val="22"/>
        </w:rPr>
      </w:pPr>
      <w:r>
        <w:rPr>
          <w:sz w:val="22"/>
          <w:szCs w:val="22"/>
        </w:rPr>
        <w:t>Autorização para o exercício da atividade a ser contratada, quando cabível.</w:t>
      </w:r>
    </w:p>
    <w:p w14:paraId="0910139B">
      <w:pPr>
        <w:pStyle w:val="58"/>
        <w:numPr>
          <w:ilvl w:val="1"/>
          <w:numId w:val="3"/>
        </w:numPr>
        <w:spacing w:after="0"/>
        <w:ind w:left="1418" w:hanging="851"/>
        <w:rPr>
          <w:b/>
          <w:sz w:val="22"/>
          <w:szCs w:val="22"/>
        </w:rPr>
      </w:pPr>
      <w:r>
        <w:rPr>
          <w:b/>
          <w:sz w:val="22"/>
          <w:szCs w:val="22"/>
        </w:rPr>
        <w:t>Regularidade Fiscal Federal e Trabalhista</w:t>
      </w:r>
    </w:p>
    <w:p w14:paraId="12CD0625">
      <w:pPr>
        <w:pStyle w:val="58"/>
        <w:numPr>
          <w:ilvl w:val="2"/>
          <w:numId w:val="3"/>
        </w:numPr>
        <w:spacing w:after="0"/>
        <w:ind w:left="0" w:firstLine="567"/>
        <w:rPr>
          <w:sz w:val="22"/>
          <w:szCs w:val="22"/>
        </w:rPr>
      </w:pPr>
      <w:r>
        <w:rPr>
          <w:bCs/>
          <w:sz w:val="22"/>
          <w:szCs w:val="22"/>
        </w:rPr>
        <w:t>CNPJ – Cadastro Nacional de Pessoa Jurídica emitido pelo Ministério da Fazenda.</w:t>
      </w:r>
    </w:p>
    <w:p w14:paraId="3685A18F">
      <w:pPr>
        <w:pStyle w:val="58"/>
        <w:numPr>
          <w:ilvl w:val="2"/>
          <w:numId w:val="3"/>
        </w:numPr>
        <w:autoSpaceDE w:val="0"/>
        <w:autoSpaceDN w:val="0"/>
        <w:adjustRightInd w:val="0"/>
        <w:spacing w:after="0"/>
        <w:ind w:left="0" w:firstLine="567"/>
        <w:rPr>
          <w:sz w:val="22"/>
          <w:szCs w:val="22"/>
          <w:lang w:eastAsia="en-US"/>
        </w:rPr>
      </w:pPr>
      <w:r>
        <w:rPr>
          <w:sz w:val="22"/>
          <w:szCs w:val="22"/>
          <w:lang w:eastAsia="en-US"/>
        </w:rPr>
        <w:t>Prova de inscrição no Cadastro de Contribuintes Estadual ou Municipal, relativo à sede ou domicílio do licitante, pertinente ao seu ramo de atividade e compatível com o objeto do certame;</w:t>
      </w:r>
    </w:p>
    <w:p w14:paraId="190838C5">
      <w:pPr>
        <w:pStyle w:val="58"/>
        <w:numPr>
          <w:ilvl w:val="2"/>
          <w:numId w:val="3"/>
        </w:numPr>
        <w:spacing w:after="0"/>
        <w:ind w:left="0" w:firstLine="567"/>
        <w:rPr>
          <w:sz w:val="22"/>
          <w:szCs w:val="22"/>
        </w:rPr>
      </w:pPr>
      <w:r>
        <w:rPr>
          <w:bCs/>
          <w:sz w:val="22"/>
          <w:szCs w:val="22"/>
        </w:rPr>
        <w:t>Prova de Regularidade para com a Fazenda Nacional, comprovada mediante fornecimento de Certidão conjunta negativa de débitos relativos a Tributos Federais e a Dívida Ativa da União, e Seguridade Social.</w:t>
      </w:r>
    </w:p>
    <w:p w14:paraId="20CDA2D8">
      <w:pPr>
        <w:pStyle w:val="58"/>
        <w:numPr>
          <w:ilvl w:val="2"/>
          <w:numId w:val="3"/>
        </w:numPr>
        <w:spacing w:after="0"/>
        <w:ind w:left="0" w:firstLine="567"/>
        <w:rPr>
          <w:sz w:val="22"/>
          <w:szCs w:val="22"/>
        </w:rPr>
      </w:pPr>
      <w:r>
        <w:rPr>
          <w:sz w:val="22"/>
          <w:szCs w:val="22"/>
          <w:lang w:eastAsia="en-US"/>
        </w:rPr>
        <w:t>Certidão de regularidade de débitos tributários com a Fazenda Estadual e Municipal;</w:t>
      </w:r>
    </w:p>
    <w:p w14:paraId="14197EB4">
      <w:pPr>
        <w:pStyle w:val="58"/>
        <w:numPr>
          <w:ilvl w:val="2"/>
          <w:numId w:val="3"/>
        </w:numPr>
        <w:spacing w:after="0"/>
        <w:ind w:left="0" w:firstLine="567"/>
        <w:rPr>
          <w:sz w:val="22"/>
          <w:szCs w:val="22"/>
        </w:rPr>
      </w:pPr>
      <w:r>
        <w:rPr>
          <w:bCs/>
          <w:sz w:val="22"/>
          <w:szCs w:val="22"/>
        </w:rPr>
        <w:t>FGTS - Prova de regularidade de recolhimento de Fundo de Garantia por Tempo de Serviço-FGTS, mediante a apresentação de Certificado fornecido pela Caixa Econômica Federal.</w:t>
      </w:r>
    </w:p>
    <w:p w14:paraId="3AFA4A84">
      <w:pPr>
        <w:pStyle w:val="58"/>
        <w:numPr>
          <w:ilvl w:val="2"/>
          <w:numId w:val="3"/>
        </w:numPr>
        <w:spacing w:after="0"/>
        <w:ind w:left="0" w:firstLine="567"/>
        <w:rPr>
          <w:sz w:val="22"/>
          <w:szCs w:val="22"/>
        </w:rPr>
      </w:pPr>
      <w:r>
        <w:rPr>
          <w:bCs/>
          <w:sz w:val="22"/>
          <w:szCs w:val="22"/>
        </w:rPr>
        <w:t>CNDT - Prova de inexistência de débitos inadimplidos perante a Justiça do Trabalho, mediante a apresentação de Certidão Negativa, nos termos do Título VII-A da Consolidação das Leis do Trabalho, disponível no Portal do Tribunal Superior do Trabalho (</w:t>
      </w:r>
      <w:r>
        <w:fldChar w:fldCharType="begin"/>
      </w:r>
      <w:r>
        <w:instrText xml:space="preserve"> HYPERLINK "http://www.tst.jus.br/certidao" </w:instrText>
      </w:r>
      <w:r>
        <w:fldChar w:fldCharType="separate"/>
      </w:r>
      <w:r>
        <w:rPr>
          <w:rStyle w:val="13"/>
          <w:bCs/>
          <w:sz w:val="22"/>
          <w:szCs w:val="22"/>
        </w:rPr>
        <w:t>www.tst.jus.br/certidao</w:t>
      </w:r>
      <w:r>
        <w:rPr>
          <w:rStyle w:val="13"/>
          <w:bCs/>
          <w:sz w:val="22"/>
          <w:szCs w:val="22"/>
        </w:rPr>
        <w:fldChar w:fldCharType="end"/>
      </w:r>
      <w:r>
        <w:rPr>
          <w:bCs/>
          <w:sz w:val="22"/>
          <w:szCs w:val="22"/>
        </w:rPr>
        <w:t>)</w:t>
      </w:r>
    </w:p>
    <w:p w14:paraId="0ADFB3A4">
      <w:pPr>
        <w:pStyle w:val="58"/>
        <w:numPr>
          <w:ilvl w:val="1"/>
          <w:numId w:val="3"/>
        </w:numPr>
        <w:spacing w:after="0"/>
        <w:ind w:left="1134" w:hanging="567"/>
        <w:rPr>
          <w:b/>
          <w:sz w:val="22"/>
          <w:szCs w:val="22"/>
        </w:rPr>
      </w:pPr>
      <w:r>
        <w:rPr>
          <w:b/>
          <w:sz w:val="22"/>
          <w:szCs w:val="22"/>
        </w:rPr>
        <w:t>Qualificação Técnica</w:t>
      </w:r>
    </w:p>
    <w:p w14:paraId="55EE9676">
      <w:pPr>
        <w:pStyle w:val="58"/>
        <w:numPr>
          <w:ilvl w:val="2"/>
          <w:numId w:val="3"/>
        </w:numPr>
        <w:spacing w:after="0"/>
        <w:ind w:left="0" w:firstLine="567"/>
        <w:rPr>
          <w:sz w:val="22"/>
          <w:szCs w:val="22"/>
        </w:rPr>
      </w:pPr>
      <w:r>
        <w:rPr>
          <w:sz w:val="22"/>
          <w:szCs w:val="22"/>
          <w:lang w:eastAsia="en-US"/>
        </w:rPr>
        <w:t>Prova de aptidão para o desempenho de atividade pertinente e compatível em características, quantidades e prazos com o objeto desta licitação, por meio da apresentação de atestado(s) expedido(s) por pessoa jurídica de direito público ou privado, em nome da licitante, comprovando que a licitante forneceu/executou, bens/serviços com características semelhantes e compatíveis com o objeto do Edital.</w:t>
      </w:r>
    </w:p>
    <w:p w14:paraId="216E4E4B">
      <w:pPr>
        <w:pStyle w:val="58"/>
        <w:numPr>
          <w:ilvl w:val="1"/>
          <w:numId w:val="3"/>
        </w:numPr>
        <w:spacing w:after="0"/>
        <w:ind w:left="1134" w:hanging="567"/>
        <w:rPr>
          <w:b/>
          <w:sz w:val="22"/>
          <w:szCs w:val="22"/>
        </w:rPr>
      </w:pPr>
      <w:r>
        <w:rPr>
          <w:b/>
          <w:sz w:val="22"/>
          <w:szCs w:val="22"/>
        </w:rPr>
        <w:t>Qualificação Econômico-Financeira</w:t>
      </w:r>
    </w:p>
    <w:p w14:paraId="626264EF">
      <w:pPr>
        <w:pStyle w:val="58"/>
        <w:numPr>
          <w:ilvl w:val="2"/>
          <w:numId w:val="3"/>
        </w:numPr>
        <w:spacing w:after="0"/>
        <w:ind w:left="0" w:firstLine="567"/>
        <w:rPr>
          <w:sz w:val="22"/>
          <w:szCs w:val="22"/>
        </w:rPr>
      </w:pPr>
      <w:r>
        <w:rPr>
          <w:bCs/>
          <w:sz w:val="22"/>
          <w:szCs w:val="22"/>
        </w:rPr>
        <w:t>Balanço patrimonial dos últimos dois exercícios sociais exigíveis, apresentados na forma da lei.</w:t>
      </w:r>
    </w:p>
    <w:p w14:paraId="7C70405C">
      <w:pPr>
        <w:pStyle w:val="58"/>
        <w:numPr>
          <w:ilvl w:val="2"/>
          <w:numId w:val="3"/>
        </w:numPr>
        <w:spacing w:after="0"/>
        <w:ind w:left="0" w:firstLine="567"/>
        <w:rPr>
          <w:sz w:val="22"/>
          <w:szCs w:val="22"/>
        </w:rPr>
      </w:pPr>
      <w:r>
        <w:rPr>
          <w:bCs/>
          <w:sz w:val="22"/>
          <w:szCs w:val="22"/>
        </w:rPr>
        <w:t xml:space="preserve">Certidão negativa de feitos sobre falência, expedida pelo distribuidor da sede da licitante. </w:t>
      </w:r>
    </w:p>
    <w:p w14:paraId="497D1900">
      <w:pPr>
        <w:pStyle w:val="58"/>
        <w:numPr>
          <w:ilvl w:val="2"/>
          <w:numId w:val="3"/>
        </w:numPr>
        <w:spacing w:after="0"/>
        <w:ind w:left="0" w:firstLine="567"/>
        <w:rPr>
          <w:sz w:val="22"/>
          <w:szCs w:val="22"/>
        </w:rPr>
      </w:pPr>
      <w:r>
        <w:rPr>
          <w:bCs/>
          <w:sz w:val="22"/>
          <w:szCs w:val="22"/>
        </w:rPr>
        <w:t xml:space="preserve">Índices de Liquidez Geral (LG), Liquidez Corrente (LC) e Solvência Geral (SG) superiores a 1. </w:t>
      </w:r>
    </w:p>
    <w:p w14:paraId="2F567D7B">
      <w:pPr>
        <w:pStyle w:val="58"/>
        <w:numPr>
          <w:ilvl w:val="2"/>
          <w:numId w:val="3"/>
        </w:numPr>
        <w:spacing w:after="0"/>
        <w:ind w:left="0" w:firstLine="567"/>
        <w:rPr>
          <w:sz w:val="22"/>
          <w:szCs w:val="22"/>
        </w:rPr>
      </w:pPr>
      <w:r>
        <w:rPr>
          <w:bCs/>
          <w:sz w:val="22"/>
          <w:szCs w:val="22"/>
        </w:rPr>
        <w:t>Patrimônio Líquido igual ou superior a 10% (dez por cento) do valor estimado para a contratação;</w:t>
      </w:r>
    </w:p>
    <w:p w14:paraId="661DF53A">
      <w:pPr>
        <w:pStyle w:val="58"/>
        <w:numPr>
          <w:ilvl w:val="2"/>
          <w:numId w:val="3"/>
        </w:numPr>
        <w:spacing w:after="0"/>
        <w:ind w:left="0" w:firstLine="567"/>
        <w:rPr>
          <w:bCs/>
          <w:sz w:val="22"/>
          <w:szCs w:val="22"/>
        </w:rPr>
      </w:pPr>
      <w:r>
        <w:rPr>
          <w:bCs/>
          <w:sz w:val="22"/>
          <w:szCs w:val="22"/>
        </w:rPr>
        <w:t>É vedada a substituição do Balanço Patrimonial e da Demonstração do Resultado do Exercício por balancetes ou balanços provisórios.</w:t>
      </w:r>
    </w:p>
    <w:p w14:paraId="5B88646D">
      <w:pPr>
        <w:pStyle w:val="58"/>
        <w:numPr>
          <w:ilvl w:val="1"/>
          <w:numId w:val="3"/>
        </w:numPr>
        <w:spacing w:after="0"/>
        <w:ind w:left="0" w:firstLine="567"/>
        <w:rPr>
          <w:bCs/>
          <w:sz w:val="22"/>
          <w:szCs w:val="22"/>
        </w:rPr>
      </w:pPr>
      <w:r>
        <w:rPr>
          <w:bCs/>
          <w:sz w:val="22"/>
          <w:szCs w:val="22"/>
        </w:rPr>
        <w:t>Declarações complementares de apresentação obrigatória:</w:t>
      </w:r>
    </w:p>
    <w:p w14:paraId="02B8E963">
      <w:pPr>
        <w:pStyle w:val="58"/>
        <w:numPr>
          <w:ilvl w:val="2"/>
          <w:numId w:val="3"/>
        </w:numPr>
        <w:spacing w:after="0"/>
        <w:ind w:left="0" w:firstLine="567"/>
        <w:rPr>
          <w:bCs/>
          <w:sz w:val="22"/>
          <w:szCs w:val="22"/>
          <w:lang w:eastAsia="en-US"/>
        </w:rPr>
      </w:pPr>
      <w:r>
        <w:rPr>
          <w:bCs/>
          <w:sz w:val="22"/>
          <w:szCs w:val="22"/>
          <w:lang w:eastAsia="en-US"/>
        </w:rPr>
        <w:t>Declaração de pleno cumprimento dos requisitos de habilitação.</w:t>
      </w:r>
    </w:p>
    <w:p w14:paraId="3DE725A3">
      <w:pPr>
        <w:pStyle w:val="58"/>
        <w:numPr>
          <w:ilvl w:val="2"/>
          <w:numId w:val="3"/>
        </w:numPr>
        <w:autoSpaceDE w:val="0"/>
        <w:autoSpaceDN w:val="0"/>
        <w:adjustRightInd w:val="0"/>
        <w:spacing w:after="0"/>
        <w:ind w:left="0" w:firstLine="567"/>
        <w:rPr>
          <w:bCs/>
          <w:sz w:val="22"/>
          <w:szCs w:val="22"/>
          <w:lang w:eastAsia="en-US"/>
        </w:rPr>
      </w:pPr>
      <w:r>
        <w:rPr>
          <w:bCs/>
          <w:sz w:val="22"/>
          <w:szCs w:val="22"/>
          <w:lang w:eastAsia="en-US"/>
        </w:rPr>
        <w:t>Em se tratando de microempresa ou de empresa de pequeno porte, declaração subscrita por representante legal do licitante afirmando o seu enquadramento nos critérios previstos no artigo 3º da Lei Complementar Federal n° 123/2006, bem como sua não inclusão nas vedações previstas no mesmo diploma legal.</w:t>
      </w:r>
    </w:p>
    <w:p w14:paraId="07869F27">
      <w:pPr>
        <w:pStyle w:val="58"/>
        <w:numPr>
          <w:ilvl w:val="2"/>
          <w:numId w:val="3"/>
        </w:numPr>
        <w:autoSpaceDE w:val="0"/>
        <w:autoSpaceDN w:val="0"/>
        <w:adjustRightInd w:val="0"/>
        <w:spacing w:after="0"/>
        <w:ind w:left="0" w:firstLine="567"/>
        <w:rPr>
          <w:bCs/>
          <w:sz w:val="22"/>
          <w:szCs w:val="22"/>
          <w:lang w:eastAsia="en-US"/>
        </w:rPr>
      </w:pPr>
      <w:r>
        <w:rPr>
          <w:bCs/>
          <w:sz w:val="22"/>
          <w:szCs w:val="22"/>
          <w:lang w:eastAsia="en-US"/>
        </w:rPr>
        <w:t>Em se tratando de cooperativa que preencha as condições estabelecidas no artigo 34 da Lei Federal nº 11.488/2007, declaração subscrita por representante legal do licitante afirmando que seu estatuto foi adequado à Lei Federal nº 12.690/2012 e que aufere Receita Bruta até o limite definido no inciso II do caput do art. 3º da Lei Complementar Federal n° 123/2006.</w:t>
      </w:r>
    </w:p>
    <w:p w14:paraId="707FDA7A">
      <w:pPr>
        <w:pStyle w:val="58"/>
        <w:numPr>
          <w:ilvl w:val="2"/>
          <w:numId w:val="3"/>
        </w:numPr>
        <w:autoSpaceDE w:val="0"/>
        <w:autoSpaceDN w:val="0"/>
        <w:adjustRightInd w:val="0"/>
        <w:spacing w:after="0"/>
        <w:ind w:left="0" w:firstLine="567"/>
        <w:rPr>
          <w:bCs/>
          <w:sz w:val="22"/>
          <w:szCs w:val="22"/>
          <w:lang w:eastAsia="en-US"/>
        </w:rPr>
      </w:pPr>
      <w:r>
        <w:rPr>
          <w:bCs/>
          <w:sz w:val="22"/>
          <w:szCs w:val="22"/>
          <w:lang w:eastAsia="en-US"/>
        </w:rPr>
        <w:t>D</w:t>
      </w:r>
      <w:r>
        <w:rPr>
          <w:sz w:val="22"/>
          <w:szCs w:val="22"/>
        </w:rPr>
        <w:t>eclaração de que cumpre as exigências de reserva de cargos para pessoa com deficiência e para reabilitado da Previdência Social, previstas no art. 93 da Lei nº 8.213/1991.</w:t>
      </w:r>
    </w:p>
    <w:p w14:paraId="4B8AFE07">
      <w:pPr>
        <w:pStyle w:val="58"/>
        <w:numPr>
          <w:ilvl w:val="1"/>
          <w:numId w:val="3"/>
        </w:numPr>
        <w:spacing w:after="0"/>
        <w:ind w:left="0" w:firstLine="567"/>
        <w:rPr>
          <w:sz w:val="22"/>
          <w:szCs w:val="22"/>
        </w:rPr>
      </w:pPr>
      <w:r>
        <w:rPr>
          <w:bCs/>
          <w:sz w:val="22"/>
          <w:szCs w:val="22"/>
        </w:rPr>
        <w:t>Os documentos exigidos para fins</w:t>
      </w:r>
      <w:r>
        <w:rPr>
          <w:sz w:val="22"/>
          <w:szCs w:val="22"/>
        </w:rPr>
        <w:t xml:space="preserve"> de habilitação serão apresentados por meio eletrônico, via Sistema BBMNET.</w:t>
      </w:r>
    </w:p>
    <w:p w14:paraId="13EF6B76">
      <w:pPr>
        <w:pStyle w:val="60"/>
        <w:numPr>
          <w:ilvl w:val="2"/>
          <w:numId w:val="3"/>
        </w:numPr>
        <w:spacing w:after="0"/>
        <w:ind w:left="0" w:firstLine="567"/>
        <w:rPr>
          <w:sz w:val="22"/>
          <w:szCs w:val="22"/>
        </w:rPr>
      </w:pPr>
      <w:r>
        <w:rPr>
          <w:sz w:val="22"/>
          <w:szCs w:val="22"/>
        </w:rPr>
        <w:t>Havendo dúvida sobre a veracidade do documento, será exigida a apresentação dos originais não-digitais.</w:t>
      </w:r>
    </w:p>
    <w:p w14:paraId="2E4024D1">
      <w:pPr>
        <w:pStyle w:val="58"/>
        <w:numPr>
          <w:ilvl w:val="1"/>
          <w:numId w:val="3"/>
        </w:numPr>
        <w:spacing w:after="0"/>
        <w:ind w:left="0" w:firstLine="567"/>
        <w:rPr>
          <w:i/>
          <w:sz w:val="22"/>
          <w:szCs w:val="22"/>
        </w:rPr>
      </w:pPr>
      <w:r>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DD12A55">
      <w:pPr>
        <w:pStyle w:val="58"/>
        <w:numPr>
          <w:ilvl w:val="1"/>
          <w:numId w:val="3"/>
        </w:numPr>
        <w:spacing w:after="0"/>
        <w:ind w:left="0" w:firstLine="567"/>
        <w:rPr>
          <w:sz w:val="22"/>
          <w:szCs w:val="22"/>
        </w:rPr>
      </w:pPr>
      <w:r>
        <w:rPr>
          <w:sz w:val="22"/>
          <w:szCs w:val="22"/>
        </w:rPr>
        <w:t>Eventual inabilitação do licitante será considerada para fins de apuração da veracidade das informações prestadas na declaração de cumprimento aos requisitos de habilitação, conforme o art. 63, I, da Lei nº 14.133/2021.</w:t>
      </w:r>
    </w:p>
    <w:p w14:paraId="045F0071">
      <w:pPr>
        <w:pStyle w:val="58"/>
        <w:numPr>
          <w:ilvl w:val="1"/>
          <w:numId w:val="3"/>
        </w:numPr>
        <w:spacing w:after="0"/>
        <w:ind w:left="0" w:firstLine="567"/>
        <w:rPr>
          <w:i/>
          <w:sz w:val="22"/>
          <w:szCs w:val="22"/>
        </w:rPr>
      </w:pPr>
      <w:r>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pPr>
        <w:pStyle w:val="58"/>
        <w:numPr>
          <w:ilvl w:val="1"/>
          <w:numId w:val="3"/>
        </w:numPr>
        <w:spacing w:after="0"/>
        <w:ind w:left="0" w:firstLine="567"/>
        <w:rPr>
          <w:i/>
          <w:iCs/>
          <w:color w:val="auto"/>
          <w:sz w:val="22"/>
          <w:szCs w:val="22"/>
        </w:rPr>
      </w:pPr>
      <w:r>
        <w:rPr>
          <w:color w:val="auto"/>
          <w:sz w:val="22"/>
          <w:szCs w:val="22"/>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pPr>
        <w:pStyle w:val="60"/>
        <w:numPr>
          <w:ilvl w:val="2"/>
          <w:numId w:val="3"/>
        </w:numPr>
        <w:spacing w:after="0"/>
        <w:ind w:left="0" w:firstLine="567"/>
        <w:rPr>
          <w:i/>
          <w:iCs/>
          <w:color w:val="auto"/>
          <w:sz w:val="22"/>
          <w:szCs w:val="22"/>
        </w:rPr>
      </w:pPr>
      <w:r>
        <w:rPr>
          <w:color w:val="auto"/>
          <w:sz w:val="22"/>
          <w:szCs w:val="22"/>
        </w:rPr>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pPr>
        <w:pStyle w:val="60"/>
        <w:numPr>
          <w:ilvl w:val="2"/>
          <w:numId w:val="3"/>
        </w:numPr>
        <w:spacing w:after="0"/>
        <w:ind w:left="0" w:firstLine="567"/>
        <w:rPr>
          <w:i/>
          <w:iCs/>
          <w:color w:val="auto"/>
          <w:sz w:val="22"/>
          <w:szCs w:val="22"/>
        </w:rPr>
      </w:pPr>
      <w:r>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F3867D8">
      <w:pPr>
        <w:pStyle w:val="58"/>
        <w:numPr>
          <w:ilvl w:val="1"/>
          <w:numId w:val="3"/>
        </w:numPr>
        <w:spacing w:after="0"/>
        <w:ind w:left="0" w:firstLine="567"/>
        <w:rPr>
          <w:i/>
          <w:iCs/>
          <w:sz w:val="22"/>
          <w:szCs w:val="22"/>
        </w:rPr>
      </w:pPr>
      <w:r>
        <w:rPr>
          <w:sz w:val="22"/>
          <w:szCs w:val="22"/>
        </w:rPr>
        <w:t>A verificação pelo pregoeiro, em sítios eletrônicos oficiais de órgãos e entidades emissores de certidões constitui meio legal de prova, para fins de habilitação.</w:t>
      </w:r>
    </w:p>
    <w:p w14:paraId="5E41FC6B">
      <w:pPr>
        <w:pStyle w:val="26"/>
        <w:numPr>
          <w:ilvl w:val="1"/>
          <w:numId w:val="3"/>
        </w:numPr>
        <w:spacing w:line="276" w:lineRule="auto"/>
        <w:ind w:left="0" w:firstLine="567"/>
        <w:rPr>
          <w:rFonts w:ascii="Arial" w:hAnsi="Arial" w:cs="Arial"/>
          <w:color w:val="000000"/>
          <w:sz w:val="22"/>
          <w:szCs w:val="22"/>
        </w:rPr>
      </w:pPr>
      <w:r>
        <w:rPr>
          <w:rFonts w:ascii="Arial" w:hAnsi="Arial" w:cs="Arial"/>
          <w:color w:val="000000"/>
          <w:sz w:val="22"/>
          <w:szCs w:val="22"/>
        </w:rPr>
        <w:t>Os documentos adicionais exigidos para habilitação serão enviados por meio do sistema, em formato digital, no prazo estipulado pelo pregoeiro.</w:t>
      </w:r>
    </w:p>
    <w:p w14:paraId="39ACA429">
      <w:pPr>
        <w:pStyle w:val="58"/>
        <w:numPr>
          <w:ilvl w:val="1"/>
          <w:numId w:val="3"/>
        </w:numPr>
        <w:spacing w:after="0"/>
        <w:ind w:left="0" w:firstLine="567"/>
        <w:rPr>
          <w:i/>
          <w:iCs/>
          <w:sz w:val="22"/>
          <w:szCs w:val="22"/>
        </w:rPr>
      </w:pPr>
      <w:r>
        <w:rPr>
          <w:sz w:val="22"/>
          <w:szCs w:val="22"/>
        </w:rPr>
        <w:t xml:space="preserve">Após a </w:t>
      </w:r>
      <w:r>
        <w:rPr>
          <w:color w:val="auto"/>
          <w:sz w:val="22"/>
          <w:szCs w:val="22"/>
        </w:rPr>
        <w:t xml:space="preserve">vinculação </w:t>
      </w:r>
      <w:r>
        <w:rPr>
          <w:sz w:val="22"/>
          <w:szCs w:val="22"/>
        </w:rPr>
        <w:t>dos documentos para habilitação, não será permitida a substituição ou a apresentação de novos documentos, salvo em sede de diligência:</w:t>
      </w:r>
    </w:p>
    <w:p w14:paraId="2F229CA0">
      <w:pPr>
        <w:pStyle w:val="60"/>
        <w:numPr>
          <w:ilvl w:val="2"/>
          <w:numId w:val="3"/>
        </w:numPr>
        <w:spacing w:after="0"/>
        <w:ind w:left="0" w:firstLine="567"/>
        <w:rPr>
          <w:i/>
          <w:iCs/>
          <w:sz w:val="22"/>
          <w:szCs w:val="22"/>
        </w:rPr>
      </w:pPr>
      <w:r>
        <w:rPr>
          <w:sz w:val="22"/>
          <w:szCs w:val="22"/>
        </w:rPr>
        <w:t>complementação de informações acerca dos documentos já apresentados pelos licitantes e desde que necessária para apurar fatos existentes à época da abertura do certame; e</w:t>
      </w:r>
    </w:p>
    <w:p w14:paraId="60E1280D">
      <w:pPr>
        <w:pStyle w:val="60"/>
        <w:numPr>
          <w:ilvl w:val="2"/>
          <w:numId w:val="3"/>
        </w:numPr>
        <w:spacing w:after="0"/>
        <w:ind w:left="0" w:firstLine="567"/>
        <w:rPr>
          <w:i/>
          <w:iCs/>
          <w:sz w:val="22"/>
          <w:szCs w:val="22"/>
        </w:rPr>
      </w:pPr>
      <w:r>
        <w:rPr>
          <w:sz w:val="22"/>
          <w:szCs w:val="22"/>
        </w:rPr>
        <w:t>atualização de documentos cuja validade tenha expirado após a data de recebimento das propostas;</w:t>
      </w:r>
    </w:p>
    <w:p w14:paraId="38CA540A">
      <w:pPr>
        <w:pStyle w:val="58"/>
        <w:numPr>
          <w:ilvl w:val="1"/>
          <w:numId w:val="3"/>
        </w:numPr>
        <w:spacing w:after="0"/>
        <w:ind w:left="0" w:firstLine="567"/>
        <w:rPr>
          <w:i/>
          <w:sz w:val="22"/>
          <w:szCs w:val="22"/>
        </w:rPr>
      </w:pPr>
      <w:bookmarkStart w:id="32" w:name="_Ref114670319"/>
      <w:r>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2"/>
    </w:p>
    <w:p w14:paraId="4506CAE4">
      <w:pPr>
        <w:pStyle w:val="58"/>
        <w:numPr>
          <w:ilvl w:val="1"/>
          <w:numId w:val="3"/>
        </w:numPr>
        <w:spacing w:after="0"/>
        <w:ind w:left="0" w:firstLine="567"/>
        <w:rPr>
          <w:i/>
          <w:iCs/>
          <w:color w:val="auto"/>
          <w:sz w:val="22"/>
          <w:szCs w:val="22"/>
        </w:rPr>
      </w:pPr>
      <w:bookmarkStart w:id="33" w:name="_Ref114665528"/>
      <w:r>
        <w:rPr>
          <w:sz w:val="22"/>
          <w:szCs w:val="22"/>
        </w:rPr>
        <w:t xml:space="preserve">Na hipótese de o licitante não atender às exigências para habilitação, o pregoeiro examinará a proposta subsequente e assim sucessivamente, na ordem </w:t>
      </w:r>
      <w:r>
        <w:rPr>
          <w:color w:val="auto"/>
          <w:sz w:val="22"/>
          <w:szCs w:val="22"/>
        </w:rPr>
        <w:t>de classificação, até a apuração de uma proposta que atenda ao presente edital.</w:t>
      </w:r>
      <w:bookmarkEnd w:id="33"/>
    </w:p>
    <w:bookmarkEnd w:id="31"/>
    <w:p w14:paraId="15DA29FA">
      <w:pPr>
        <w:pStyle w:val="41"/>
        <w:numPr>
          <w:ilvl w:val="0"/>
          <w:numId w:val="3"/>
        </w:numPr>
        <w:spacing w:before="120" w:line="276" w:lineRule="auto"/>
        <w:ind w:left="0" w:firstLine="567"/>
        <w:rPr>
          <w:sz w:val="22"/>
          <w:szCs w:val="22"/>
        </w:rPr>
      </w:pPr>
      <w:bookmarkStart w:id="34" w:name="_Toc122606110"/>
      <w:r>
        <w:rPr>
          <w:sz w:val="22"/>
          <w:szCs w:val="22"/>
        </w:rPr>
        <w:t xml:space="preserve"> DOS RECURSOS</w:t>
      </w:r>
      <w:bookmarkEnd w:id="34"/>
    </w:p>
    <w:p w14:paraId="6D890939">
      <w:pPr>
        <w:pStyle w:val="58"/>
        <w:numPr>
          <w:ilvl w:val="1"/>
          <w:numId w:val="3"/>
        </w:numPr>
        <w:spacing w:after="0"/>
        <w:ind w:left="0" w:firstLine="567"/>
        <w:rPr>
          <w:sz w:val="22"/>
          <w:szCs w:val="22"/>
        </w:rPr>
      </w:pPr>
      <w:r>
        <w:rPr>
          <w:sz w:val="22"/>
          <w:szCs w:val="22"/>
        </w:rPr>
        <w:t>A interposição de recurso contra a decisão proferida pelo pregoeiro observará o disposto no art. 165 da Lei nº 14.133, de 2021.</w:t>
      </w:r>
    </w:p>
    <w:p w14:paraId="2B466C5B">
      <w:pPr>
        <w:pStyle w:val="58"/>
        <w:numPr>
          <w:ilvl w:val="1"/>
          <w:numId w:val="3"/>
        </w:numPr>
        <w:spacing w:after="0"/>
        <w:ind w:left="0" w:firstLine="567"/>
        <w:rPr>
          <w:sz w:val="22"/>
          <w:szCs w:val="22"/>
        </w:rPr>
      </w:pPr>
      <w:r>
        <w:rPr>
          <w:sz w:val="22"/>
          <w:szCs w:val="22"/>
        </w:rPr>
        <w:t xml:space="preserve">O prazo para apresentação das razões recursais é de 3 (três) dias úteis, contados da data de intimação ou de lavratura da ata. </w:t>
      </w:r>
      <w:r>
        <w:rPr>
          <w:sz w:val="22"/>
          <w:szCs w:val="22"/>
          <w:lang w:eastAsia="en-US"/>
        </w:rPr>
        <w:t xml:space="preserve">A interposição do recurso será comunicada aos demais licitantes, os quais poderão apresentar contrarrazões em igual prazo, contado da interposição do recurso, sendo </w:t>
      </w:r>
      <w:r>
        <w:rPr>
          <w:sz w:val="22"/>
          <w:szCs w:val="22"/>
        </w:rPr>
        <w:t>assegurada a vista imediata dos elementos indispensáveis à defesa de seus interesses</w:t>
      </w:r>
    </w:p>
    <w:p w14:paraId="5E73CEC3">
      <w:pPr>
        <w:pStyle w:val="58"/>
        <w:numPr>
          <w:ilvl w:val="1"/>
          <w:numId w:val="3"/>
        </w:numPr>
        <w:spacing w:after="0"/>
        <w:ind w:left="0" w:firstLine="567"/>
        <w:rPr>
          <w:sz w:val="22"/>
          <w:szCs w:val="22"/>
        </w:rPr>
      </w:pPr>
      <w:r>
        <w:rPr>
          <w:sz w:val="22"/>
          <w:szCs w:val="22"/>
          <w:lang w:eastAsia="en-US"/>
        </w:rPr>
        <w:t xml:space="preserve">A </w:t>
      </w:r>
      <w:r>
        <w:rPr>
          <w:sz w:val="22"/>
          <w:szCs w:val="22"/>
        </w:rPr>
        <w:t xml:space="preserve">intenção de recorrer deverá ser manifestada imediatamente após a declaração de vencedor, sob pena de preclusão. </w:t>
      </w:r>
    </w:p>
    <w:p w14:paraId="2E4F6788">
      <w:pPr>
        <w:pStyle w:val="58"/>
        <w:numPr>
          <w:ilvl w:val="2"/>
          <w:numId w:val="3"/>
        </w:numPr>
        <w:spacing w:after="0"/>
        <w:ind w:left="0" w:firstLine="567"/>
        <w:rPr>
          <w:color w:val="auto"/>
          <w:sz w:val="22"/>
          <w:szCs w:val="22"/>
        </w:rPr>
      </w:pPr>
      <w:r>
        <w:rPr>
          <w:color w:val="auto"/>
          <w:sz w:val="22"/>
          <w:szCs w:val="22"/>
        </w:rPr>
        <w:t>O tempo mínimo para manifestação da intenção de recurso será de 30 minutos, podendo o pregoeiro dar provimento ou negar o mesmo.</w:t>
      </w:r>
    </w:p>
    <w:p w14:paraId="522F5186">
      <w:pPr>
        <w:pStyle w:val="58"/>
        <w:numPr>
          <w:ilvl w:val="1"/>
          <w:numId w:val="3"/>
        </w:numPr>
        <w:spacing w:after="0"/>
        <w:ind w:left="0" w:firstLine="567"/>
        <w:rPr>
          <w:sz w:val="22"/>
          <w:szCs w:val="22"/>
        </w:rPr>
      </w:pPr>
      <w:r>
        <w:rPr>
          <w:sz w:val="22"/>
          <w:szCs w:val="22"/>
        </w:rPr>
        <w:t>Os recursos deverão ser encaminhados em campo próprio do sistema.</w:t>
      </w:r>
    </w:p>
    <w:p w14:paraId="7C576EC6">
      <w:pPr>
        <w:pStyle w:val="58"/>
        <w:numPr>
          <w:ilvl w:val="1"/>
          <w:numId w:val="3"/>
        </w:numPr>
        <w:spacing w:after="0"/>
        <w:ind w:left="0" w:firstLine="567"/>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pPr>
        <w:pStyle w:val="58"/>
        <w:numPr>
          <w:ilvl w:val="1"/>
          <w:numId w:val="3"/>
        </w:numPr>
        <w:spacing w:after="0"/>
        <w:ind w:left="0" w:firstLine="567"/>
        <w:rPr>
          <w:sz w:val="22"/>
          <w:szCs w:val="22"/>
        </w:rPr>
      </w:pPr>
      <w:r>
        <w:rPr>
          <w:sz w:val="22"/>
          <w:szCs w:val="22"/>
        </w:rPr>
        <w:t xml:space="preserve">Os recursos interpostos fora do prazo não serão conhecidos. </w:t>
      </w:r>
    </w:p>
    <w:p w14:paraId="7DA0512D">
      <w:pPr>
        <w:pStyle w:val="58"/>
        <w:numPr>
          <w:ilvl w:val="1"/>
          <w:numId w:val="3"/>
        </w:numPr>
        <w:spacing w:after="0"/>
        <w:ind w:left="0" w:firstLine="567"/>
        <w:rPr>
          <w:sz w:val="22"/>
          <w:szCs w:val="22"/>
        </w:rPr>
      </w:pPr>
      <w:r>
        <w:rPr>
          <w:sz w:val="22"/>
          <w:szCs w:val="22"/>
        </w:rPr>
        <w:t xml:space="preserve">O recurso e o pedido de reconsideração terão efeito suspensivo do ato ou da decisão recorrida até que sobrevenha decisão final da autoridade competente. </w:t>
      </w:r>
    </w:p>
    <w:p w14:paraId="6948A72B">
      <w:pPr>
        <w:pStyle w:val="41"/>
        <w:numPr>
          <w:ilvl w:val="0"/>
          <w:numId w:val="3"/>
        </w:numPr>
        <w:spacing w:before="120" w:line="276" w:lineRule="auto"/>
        <w:ind w:left="0" w:firstLine="567"/>
        <w:rPr>
          <w:sz w:val="22"/>
          <w:szCs w:val="22"/>
        </w:rPr>
      </w:pPr>
      <w:bookmarkStart w:id="35" w:name="_Toc122606111"/>
      <w:r>
        <w:rPr>
          <w:sz w:val="22"/>
          <w:szCs w:val="22"/>
        </w:rPr>
        <w:t xml:space="preserve"> DAS INFRAÇÕES ADMINISTRATIVAS E SANÇÕES</w:t>
      </w:r>
      <w:bookmarkEnd w:id="35"/>
    </w:p>
    <w:p w14:paraId="36144D78">
      <w:pPr>
        <w:pStyle w:val="58"/>
        <w:numPr>
          <w:ilvl w:val="1"/>
          <w:numId w:val="3"/>
        </w:numPr>
        <w:tabs>
          <w:tab w:val="left" w:pos="1418"/>
        </w:tabs>
        <w:spacing w:after="0"/>
        <w:ind w:left="0" w:firstLine="567"/>
        <w:rPr>
          <w:sz w:val="22"/>
          <w:szCs w:val="22"/>
        </w:rPr>
      </w:pPr>
      <w:r>
        <w:rPr>
          <w:sz w:val="22"/>
          <w:szCs w:val="22"/>
        </w:rPr>
        <w:t xml:space="preserve">Comete infração administrativa, nos termos da lei, o licitante que, com dolo ou culpa: </w:t>
      </w:r>
    </w:p>
    <w:p w14:paraId="43ECC717">
      <w:pPr>
        <w:pStyle w:val="60"/>
        <w:numPr>
          <w:ilvl w:val="2"/>
          <w:numId w:val="3"/>
        </w:numPr>
        <w:tabs>
          <w:tab w:val="left" w:pos="1418"/>
        </w:tabs>
        <w:spacing w:after="0"/>
        <w:ind w:left="0" w:firstLine="567"/>
        <w:rPr>
          <w:sz w:val="22"/>
          <w:szCs w:val="22"/>
        </w:rPr>
      </w:pPr>
      <w:bookmarkStart w:id="36" w:name="_Ref114668085"/>
      <w:bookmarkStart w:id="37" w:name="_Hlk114652595"/>
      <w:r>
        <w:rPr>
          <w:sz w:val="22"/>
          <w:szCs w:val="22"/>
        </w:rPr>
        <w:t>deixar de entregar a documentação exigida para o certame ou não entregar qualquer documento que tenha sido solicitado pelo/a pregoeiro/a durante o certame;</w:t>
      </w:r>
      <w:bookmarkEnd w:id="36"/>
    </w:p>
    <w:p w14:paraId="6D9E96AB">
      <w:pPr>
        <w:pStyle w:val="60"/>
        <w:numPr>
          <w:ilvl w:val="2"/>
          <w:numId w:val="3"/>
        </w:numPr>
        <w:tabs>
          <w:tab w:val="left" w:pos="1418"/>
        </w:tabs>
        <w:spacing w:after="0"/>
        <w:ind w:left="0" w:firstLine="567"/>
        <w:rPr>
          <w:sz w:val="22"/>
          <w:szCs w:val="22"/>
        </w:rPr>
      </w:pPr>
      <w:bookmarkStart w:id="38" w:name="_Ref114668108"/>
      <w:r>
        <w:rPr>
          <w:sz w:val="22"/>
          <w:szCs w:val="22"/>
        </w:rPr>
        <w:t>Salvo em decorrência de fato superveniente devidamente justificado, não mantiver a proposta em especial quando:</w:t>
      </w:r>
      <w:bookmarkEnd w:id="38"/>
    </w:p>
    <w:p w14:paraId="78070BBD">
      <w:pPr>
        <w:pStyle w:val="61"/>
        <w:numPr>
          <w:ilvl w:val="3"/>
          <w:numId w:val="3"/>
        </w:numPr>
        <w:tabs>
          <w:tab w:val="left" w:pos="1418"/>
          <w:tab w:val="left" w:pos="1701"/>
        </w:tabs>
        <w:spacing w:after="0"/>
        <w:ind w:left="0" w:firstLine="567"/>
        <w:rPr>
          <w:sz w:val="22"/>
          <w:szCs w:val="22"/>
        </w:rPr>
      </w:pPr>
      <w:r>
        <w:rPr>
          <w:sz w:val="22"/>
          <w:szCs w:val="22"/>
        </w:rPr>
        <w:t xml:space="preserve">não enviar a proposta adequada ao último lance ofertado ou após a negociação; </w:t>
      </w:r>
    </w:p>
    <w:p w14:paraId="415A47F9">
      <w:pPr>
        <w:pStyle w:val="61"/>
        <w:numPr>
          <w:ilvl w:val="3"/>
          <w:numId w:val="3"/>
        </w:numPr>
        <w:tabs>
          <w:tab w:val="left" w:pos="1418"/>
          <w:tab w:val="left" w:pos="1701"/>
        </w:tabs>
        <w:spacing w:after="0"/>
        <w:ind w:left="0" w:firstLine="567"/>
        <w:rPr>
          <w:sz w:val="22"/>
          <w:szCs w:val="22"/>
        </w:rPr>
      </w:pPr>
      <w:r>
        <w:rPr>
          <w:sz w:val="22"/>
          <w:szCs w:val="22"/>
        </w:rPr>
        <w:t xml:space="preserve">recusar-se a enviar o detalhamento da proposta quando exigível; </w:t>
      </w:r>
    </w:p>
    <w:p w14:paraId="3F87EE1A">
      <w:pPr>
        <w:pStyle w:val="61"/>
        <w:numPr>
          <w:ilvl w:val="3"/>
          <w:numId w:val="3"/>
        </w:numPr>
        <w:tabs>
          <w:tab w:val="left" w:pos="1418"/>
          <w:tab w:val="left" w:pos="1701"/>
        </w:tabs>
        <w:spacing w:after="0"/>
        <w:ind w:left="0" w:firstLine="567"/>
        <w:rPr>
          <w:sz w:val="22"/>
          <w:szCs w:val="22"/>
        </w:rPr>
      </w:pPr>
      <w:r>
        <w:rPr>
          <w:sz w:val="22"/>
          <w:szCs w:val="22"/>
        </w:rPr>
        <w:t xml:space="preserve">injustificadamente, pedir para ser desclassificado quando encerrada a etapa competitiva; ou </w:t>
      </w:r>
    </w:p>
    <w:p w14:paraId="5CC642B2">
      <w:pPr>
        <w:pStyle w:val="61"/>
        <w:numPr>
          <w:ilvl w:val="3"/>
          <w:numId w:val="3"/>
        </w:numPr>
        <w:tabs>
          <w:tab w:val="left" w:pos="1418"/>
          <w:tab w:val="left" w:pos="1701"/>
        </w:tabs>
        <w:spacing w:after="0"/>
        <w:ind w:left="0" w:firstLine="567"/>
        <w:rPr>
          <w:sz w:val="22"/>
          <w:szCs w:val="22"/>
        </w:rPr>
      </w:pPr>
      <w:r>
        <w:rPr>
          <w:sz w:val="22"/>
          <w:szCs w:val="22"/>
        </w:rPr>
        <w:t>deixar de apresentar amostra;</w:t>
      </w:r>
    </w:p>
    <w:p w14:paraId="3CF98C0B">
      <w:pPr>
        <w:pStyle w:val="61"/>
        <w:numPr>
          <w:ilvl w:val="3"/>
          <w:numId w:val="3"/>
        </w:numPr>
        <w:tabs>
          <w:tab w:val="left" w:pos="1418"/>
          <w:tab w:val="left" w:pos="1701"/>
        </w:tabs>
        <w:spacing w:after="0"/>
        <w:ind w:left="0" w:firstLine="567"/>
        <w:rPr>
          <w:sz w:val="22"/>
          <w:szCs w:val="22"/>
        </w:rPr>
      </w:pPr>
      <w:r>
        <w:rPr>
          <w:sz w:val="22"/>
          <w:szCs w:val="22"/>
        </w:rPr>
        <w:t xml:space="preserve">apresentar proposta ou amostra em desacordo com as especificações do edital; </w:t>
      </w:r>
    </w:p>
    <w:p w14:paraId="4C7E529E">
      <w:pPr>
        <w:pStyle w:val="60"/>
        <w:numPr>
          <w:ilvl w:val="2"/>
          <w:numId w:val="3"/>
        </w:numPr>
        <w:tabs>
          <w:tab w:val="left" w:pos="1418"/>
        </w:tabs>
        <w:spacing w:after="0"/>
        <w:ind w:left="0" w:firstLine="567"/>
        <w:rPr>
          <w:sz w:val="22"/>
          <w:szCs w:val="22"/>
        </w:rPr>
      </w:pPr>
      <w:bookmarkStart w:id="39" w:name="_Ref114668139"/>
      <w:r>
        <w:rPr>
          <w:sz w:val="22"/>
          <w:szCs w:val="22"/>
        </w:rPr>
        <w:t>não celebrar o contrato ou não entregar a documentação exigida para a contratação, quando convocado dentro do prazo de validade de sua proposta;</w:t>
      </w:r>
      <w:bookmarkEnd w:id="39"/>
    </w:p>
    <w:p w14:paraId="25346253">
      <w:pPr>
        <w:pStyle w:val="61"/>
        <w:numPr>
          <w:ilvl w:val="3"/>
          <w:numId w:val="3"/>
        </w:numPr>
        <w:tabs>
          <w:tab w:val="left" w:pos="1418"/>
          <w:tab w:val="left" w:pos="1701"/>
        </w:tabs>
        <w:spacing w:after="0"/>
        <w:ind w:left="0" w:firstLine="567"/>
        <w:rPr>
          <w:sz w:val="22"/>
          <w:szCs w:val="22"/>
        </w:rPr>
      </w:pPr>
      <w:r>
        <w:rPr>
          <w:sz w:val="22"/>
          <w:szCs w:val="22"/>
        </w:rPr>
        <w:t>recusar-se, sem justificativa, a assinar o contrato ou a ata de registro de preço, ou a aceitar ou retirar o instrumento equivalente no prazo estabelecido pela Administração;</w:t>
      </w:r>
    </w:p>
    <w:p w14:paraId="65ACC558">
      <w:pPr>
        <w:pStyle w:val="60"/>
        <w:numPr>
          <w:ilvl w:val="2"/>
          <w:numId w:val="3"/>
        </w:numPr>
        <w:tabs>
          <w:tab w:val="left" w:pos="1418"/>
        </w:tabs>
        <w:spacing w:after="0"/>
        <w:ind w:left="0" w:firstLine="567"/>
        <w:rPr>
          <w:sz w:val="22"/>
          <w:szCs w:val="22"/>
        </w:rPr>
      </w:pPr>
      <w:bookmarkStart w:id="40" w:name="_Ref114668249"/>
      <w:r>
        <w:rPr>
          <w:sz w:val="22"/>
          <w:szCs w:val="22"/>
        </w:rPr>
        <w:t>apresentar declaração ou documentação falsa exigida para o certame ou prestar declaração falsa durante a licitação</w:t>
      </w:r>
      <w:bookmarkEnd w:id="40"/>
    </w:p>
    <w:p w14:paraId="301BADD7">
      <w:pPr>
        <w:pStyle w:val="60"/>
        <w:numPr>
          <w:ilvl w:val="2"/>
          <w:numId w:val="3"/>
        </w:numPr>
        <w:tabs>
          <w:tab w:val="left" w:pos="1418"/>
        </w:tabs>
        <w:spacing w:after="0"/>
        <w:ind w:left="0" w:firstLine="567"/>
        <w:rPr>
          <w:sz w:val="22"/>
          <w:szCs w:val="22"/>
        </w:rPr>
      </w:pPr>
      <w:bookmarkStart w:id="41" w:name="_Ref114668245"/>
      <w:r>
        <w:rPr>
          <w:sz w:val="22"/>
          <w:szCs w:val="22"/>
        </w:rPr>
        <w:t>fraudar a licitação</w:t>
      </w:r>
      <w:bookmarkEnd w:id="41"/>
    </w:p>
    <w:p w14:paraId="30E8E806">
      <w:pPr>
        <w:pStyle w:val="60"/>
        <w:numPr>
          <w:ilvl w:val="2"/>
          <w:numId w:val="3"/>
        </w:numPr>
        <w:tabs>
          <w:tab w:val="left" w:pos="1418"/>
        </w:tabs>
        <w:spacing w:after="0"/>
        <w:ind w:left="0" w:firstLine="567"/>
        <w:rPr>
          <w:sz w:val="22"/>
          <w:szCs w:val="22"/>
        </w:rPr>
      </w:pPr>
      <w:bookmarkStart w:id="42" w:name="_Ref114668247"/>
      <w:r>
        <w:rPr>
          <w:sz w:val="22"/>
          <w:szCs w:val="22"/>
        </w:rPr>
        <w:t>comportar-se de modo inidôneo ou cometer fraude de qualquer natureza, em especial quando:</w:t>
      </w:r>
      <w:bookmarkEnd w:id="42"/>
    </w:p>
    <w:p w14:paraId="7219FCA0">
      <w:pPr>
        <w:pStyle w:val="61"/>
        <w:numPr>
          <w:ilvl w:val="3"/>
          <w:numId w:val="3"/>
        </w:numPr>
        <w:tabs>
          <w:tab w:val="left" w:pos="1418"/>
          <w:tab w:val="left" w:pos="1843"/>
        </w:tabs>
        <w:spacing w:after="0"/>
        <w:ind w:left="0" w:firstLine="567"/>
        <w:rPr>
          <w:sz w:val="22"/>
          <w:szCs w:val="22"/>
        </w:rPr>
      </w:pPr>
      <w:r>
        <w:rPr>
          <w:sz w:val="22"/>
          <w:szCs w:val="22"/>
        </w:rPr>
        <w:t xml:space="preserve">agir em conluio ou em desconformidade com a lei; </w:t>
      </w:r>
    </w:p>
    <w:p w14:paraId="69FD8D25">
      <w:pPr>
        <w:pStyle w:val="61"/>
        <w:numPr>
          <w:ilvl w:val="3"/>
          <w:numId w:val="3"/>
        </w:numPr>
        <w:tabs>
          <w:tab w:val="left" w:pos="1418"/>
          <w:tab w:val="left" w:pos="1843"/>
        </w:tabs>
        <w:spacing w:after="0"/>
        <w:ind w:left="0" w:firstLine="567"/>
        <w:rPr>
          <w:sz w:val="22"/>
          <w:szCs w:val="22"/>
        </w:rPr>
      </w:pPr>
      <w:r>
        <w:rPr>
          <w:sz w:val="22"/>
          <w:szCs w:val="22"/>
        </w:rPr>
        <w:t xml:space="preserve">induzir deliberadamente a erro no julgamento; </w:t>
      </w:r>
    </w:p>
    <w:p w14:paraId="3F1CAA92">
      <w:pPr>
        <w:pStyle w:val="61"/>
        <w:numPr>
          <w:ilvl w:val="3"/>
          <w:numId w:val="3"/>
        </w:numPr>
        <w:tabs>
          <w:tab w:val="left" w:pos="1418"/>
          <w:tab w:val="left" w:pos="1843"/>
        </w:tabs>
        <w:spacing w:after="0"/>
        <w:ind w:left="0" w:firstLine="567"/>
        <w:rPr>
          <w:sz w:val="22"/>
          <w:szCs w:val="22"/>
        </w:rPr>
      </w:pPr>
      <w:r>
        <w:rPr>
          <w:sz w:val="22"/>
          <w:szCs w:val="22"/>
        </w:rPr>
        <w:t xml:space="preserve">apresentar amostra falsificada ou deteriorada; </w:t>
      </w:r>
    </w:p>
    <w:p w14:paraId="49C86C9E">
      <w:pPr>
        <w:pStyle w:val="60"/>
        <w:numPr>
          <w:ilvl w:val="2"/>
          <w:numId w:val="3"/>
        </w:numPr>
        <w:tabs>
          <w:tab w:val="left" w:pos="1418"/>
        </w:tabs>
        <w:spacing w:after="0"/>
        <w:ind w:left="0" w:firstLine="567"/>
        <w:rPr>
          <w:sz w:val="22"/>
          <w:szCs w:val="22"/>
        </w:rPr>
      </w:pPr>
      <w:bookmarkStart w:id="43" w:name="_Ref114668251"/>
      <w:r>
        <w:rPr>
          <w:sz w:val="22"/>
          <w:szCs w:val="22"/>
        </w:rPr>
        <w:t>praticar atos ilícitos com vistas a frustrar os objetivos da licitação</w:t>
      </w:r>
      <w:bookmarkEnd w:id="43"/>
    </w:p>
    <w:p w14:paraId="28FBD17A">
      <w:pPr>
        <w:pStyle w:val="60"/>
        <w:numPr>
          <w:ilvl w:val="2"/>
          <w:numId w:val="3"/>
        </w:numPr>
        <w:tabs>
          <w:tab w:val="left" w:pos="1418"/>
        </w:tabs>
        <w:spacing w:after="0"/>
        <w:ind w:left="0" w:firstLine="567"/>
        <w:rPr>
          <w:sz w:val="22"/>
          <w:szCs w:val="22"/>
        </w:rPr>
      </w:pPr>
      <w:bookmarkStart w:id="44" w:name="_Ref114668252"/>
      <w:r>
        <w:rPr>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3"/>
          <w:sz w:val="22"/>
          <w:szCs w:val="22"/>
        </w:rPr>
        <w:t>art. 5º da Lei n.º 12.846, de 2013</w:t>
      </w:r>
      <w:r>
        <w:rPr>
          <w:rStyle w:val="13"/>
          <w:sz w:val="22"/>
          <w:szCs w:val="22"/>
        </w:rPr>
        <w:fldChar w:fldCharType="end"/>
      </w:r>
      <w:r>
        <w:rPr>
          <w:sz w:val="22"/>
          <w:szCs w:val="22"/>
        </w:rPr>
        <w:t>.</w:t>
      </w:r>
      <w:bookmarkEnd w:id="44"/>
    </w:p>
    <w:bookmarkEnd w:id="37"/>
    <w:p w14:paraId="5F9FF442">
      <w:pPr>
        <w:pStyle w:val="58"/>
        <w:numPr>
          <w:ilvl w:val="1"/>
          <w:numId w:val="3"/>
        </w:numPr>
        <w:tabs>
          <w:tab w:val="left" w:pos="1418"/>
        </w:tabs>
        <w:spacing w:after="0"/>
        <w:ind w:left="0" w:firstLine="567"/>
        <w:rPr>
          <w:sz w:val="22"/>
          <w:szCs w:val="22"/>
        </w:rPr>
      </w:pPr>
      <w:r>
        <w:rPr>
          <w:sz w:val="22"/>
          <w:szCs w:val="22"/>
        </w:rPr>
        <w:t xml:space="preserve">Com fulcro na </w:t>
      </w:r>
      <w:r>
        <w:fldChar w:fldCharType="begin"/>
      </w:r>
      <w:r>
        <w:instrText xml:space="preserve"> HYPERLINK "http://www.planalto.gov.br/ccivil_03/_ato2019-2022/2021/lei/L14133.htm" </w:instrText>
      </w:r>
      <w:r>
        <w:fldChar w:fldCharType="separate"/>
      </w:r>
      <w:r>
        <w:rPr>
          <w:rStyle w:val="13"/>
          <w:sz w:val="22"/>
          <w:szCs w:val="22"/>
        </w:rPr>
        <w:t>Lei nº 14.133, de 2021</w:t>
      </w:r>
      <w:r>
        <w:rPr>
          <w:rStyle w:val="13"/>
          <w:sz w:val="22"/>
          <w:szCs w:val="22"/>
        </w:rPr>
        <w:fldChar w:fldCharType="end"/>
      </w:r>
      <w:r>
        <w:rPr>
          <w:sz w:val="22"/>
          <w:szCs w:val="22"/>
        </w:rPr>
        <w:t xml:space="preserve">, a Administração poderá, garantida a prévia defesa, aplicar aos licitantes e/ou adjudicatários as seguintes sanções, sem prejuízo das responsabilidades civil e criminal: </w:t>
      </w:r>
    </w:p>
    <w:p w14:paraId="166A77FF">
      <w:pPr>
        <w:pStyle w:val="60"/>
        <w:numPr>
          <w:ilvl w:val="2"/>
          <w:numId w:val="3"/>
        </w:numPr>
        <w:tabs>
          <w:tab w:val="left" w:pos="1418"/>
        </w:tabs>
        <w:spacing w:after="0"/>
        <w:ind w:left="0" w:firstLine="567"/>
        <w:rPr>
          <w:sz w:val="22"/>
          <w:szCs w:val="22"/>
        </w:rPr>
      </w:pPr>
      <w:r>
        <w:rPr>
          <w:sz w:val="22"/>
          <w:szCs w:val="22"/>
        </w:rPr>
        <w:t xml:space="preserve">advertência; </w:t>
      </w:r>
    </w:p>
    <w:p w14:paraId="0D8A3A52">
      <w:pPr>
        <w:pStyle w:val="60"/>
        <w:numPr>
          <w:ilvl w:val="2"/>
          <w:numId w:val="3"/>
        </w:numPr>
        <w:tabs>
          <w:tab w:val="left" w:pos="1418"/>
        </w:tabs>
        <w:spacing w:after="0"/>
        <w:ind w:left="0" w:firstLine="567"/>
        <w:rPr>
          <w:sz w:val="22"/>
          <w:szCs w:val="22"/>
        </w:rPr>
      </w:pPr>
      <w:r>
        <w:rPr>
          <w:sz w:val="22"/>
          <w:szCs w:val="22"/>
        </w:rPr>
        <w:t>multa;</w:t>
      </w:r>
    </w:p>
    <w:p w14:paraId="0AEC169D">
      <w:pPr>
        <w:pStyle w:val="60"/>
        <w:numPr>
          <w:ilvl w:val="2"/>
          <w:numId w:val="3"/>
        </w:numPr>
        <w:tabs>
          <w:tab w:val="left" w:pos="1418"/>
        </w:tabs>
        <w:spacing w:after="0"/>
        <w:ind w:left="0" w:firstLine="567"/>
        <w:rPr>
          <w:sz w:val="22"/>
          <w:szCs w:val="22"/>
        </w:rPr>
      </w:pPr>
      <w:r>
        <w:rPr>
          <w:sz w:val="22"/>
          <w:szCs w:val="22"/>
        </w:rPr>
        <w:t>impedimento de licitar e contratar e</w:t>
      </w:r>
    </w:p>
    <w:p w14:paraId="1E2C28B4">
      <w:pPr>
        <w:pStyle w:val="60"/>
        <w:numPr>
          <w:ilvl w:val="2"/>
          <w:numId w:val="3"/>
        </w:numPr>
        <w:tabs>
          <w:tab w:val="left" w:pos="1418"/>
        </w:tabs>
        <w:spacing w:after="0"/>
        <w:ind w:left="0" w:firstLine="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1F22468D">
      <w:pPr>
        <w:pStyle w:val="58"/>
        <w:numPr>
          <w:ilvl w:val="1"/>
          <w:numId w:val="3"/>
        </w:numPr>
        <w:tabs>
          <w:tab w:val="left" w:pos="1134"/>
          <w:tab w:val="left" w:pos="1418"/>
        </w:tabs>
        <w:spacing w:after="0"/>
        <w:ind w:left="0" w:firstLine="567"/>
        <w:rPr>
          <w:sz w:val="22"/>
          <w:szCs w:val="22"/>
        </w:rPr>
      </w:pPr>
      <w:r>
        <w:rPr>
          <w:sz w:val="22"/>
          <w:szCs w:val="22"/>
        </w:rPr>
        <w:t>Na aplicação das sanções serão considerados os elementos previstos no art. 156, § 1º, da Lei 14.133/2021.</w:t>
      </w:r>
    </w:p>
    <w:p w14:paraId="2DF1698A">
      <w:pPr>
        <w:pStyle w:val="58"/>
        <w:numPr>
          <w:ilvl w:val="1"/>
          <w:numId w:val="3"/>
        </w:numPr>
        <w:spacing w:after="0"/>
        <w:ind w:left="0" w:firstLine="567"/>
        <w:rPr>
          <w:sz w:val="22"/>
          <w:szCs w:val="22"/>
        </w:rPr>
      </w:pPr>
      <w:r>
        <w:rPr>
          <w:sz w:val="22"/>
          <w:szCs w:val="22"/>
        </w:rPr>
        <w:t>As sanções de advertência, impedimento de licitar e contratar e declaração de inidoneidade, bem como a sanção de multa aplicada em percentual de 0,5% a 30% incidente sobre o valor da proposta, respeitarão o devido processo legal, obedecerão ao prazo de defesa previsto nos arts. 156 e seguintes, da Lei 14.133/2021.</w:t>
      </w:r>
    </w:p>
    <w:p w14:paraId="7A500125">
      <w:pPr>
        <w:pStyle w:val="58"/>
        <w:numPr>
          <w:ilvl w:val="1"/>
          <w:numId w:val="3"/>
        </w:numPr>
        <w:spacing w:after="0"/>
        <w:ind w:left="0" w:firstLine="567"/>
        <w:rPr>
          <w:sz w:val="22"/>
          <w:szCs w:val="22"/>
        </w:rPr>
      </w:pPr>
      <w:r>
        <w:rPr>
          <w:sz w:val="22"/>
          <w:szCs w:val="22"/>
        </w:rPr>
        <w:t>A recusa injustificada do adjudicatário em assinar o contrato ou a ata de registro de preço, ou em aceitar ou retirar o instrumento equivalente no prazo estabelecido pela Administração, caracterizará o descumprimento total da obrigação assumida.</w:t>
      </w:r>
    </w:p>
    <w:p w14:paraId="1286CD81">
      <w:pPr>
        <w:pStyle w:val="41"/>
        <w:numPr>
          <w:ilvl w:val="0"/>
          <w:numId w:val="3"/>
        </w:numPr>
        <w:spacing w:before="120" w:line="276" w:lineRule="auto"/>
        <w:ind w:left="0" w:firstLine="567"/>
        <w:rPr>
          <w:sz w:val="22"/>
          <w:szCs w:val="22"/>
        </w:rPr>
      </w:pPr>
      <w:bookmarkStart w:id="45" w:name="_Toc122606112"/>
      <w:r>
        <w:rPr>
          <w:sz w:val="22"/>
          <w:szCs w:val="22"/>
        </w:rPr>
        <w:t xml:space="preserve"> DA IMPUGNAÇÃO AO EDITAL E DO PEDIDO DE ESCLARECIMENTO</w:t>
      </w:r>
      <w:bookmarkEnd w:id="45"/>
    </w:p>
    <w:p w14:paraId="58868A7B">
      <w:pPr>
        <w:pStyle w:val="58"/>
        <w:numPr>
          <w:ilvl w:val="1"/>
          <w:numId w:val="3"/>
        </w:numPr>
        <w:spacing w:after="0"/>
        <w:ind w:left="0" w:firstLine="567"/>
        <w:rPr>
          <w:sz w:val="22"/>
          <w:szCs w:val="22"/>
        </w:rPr>
      </w:pPr>
      <w:r>
        <w:rPr>
          <w:sz w:val="22"/>
          <w:szCs w:val="22"/>
        </w:rPr>
        <w:t>Qualquer pessoa é parte legítima para impugnar o Edital ou solicitar esclarecimentos, devendo protocolar o pedido no prazo de até 3 (cinco) dias úteis antes da data da abertura do certame.</w:t>
      </w:r>
    </w:p>
    <w:p w14:paraId="3C7B6880">
      <w:pPr>
        <w:pStyle w:val="58"/>
        <w:numPr>
          <w:ilvl w:val="1"/>
          <w:numId w:val="3"/>
        </w:numPr>
        <w:spacing w:after="0"/>
        <w:ind w:left="0" w:firstLine="567"/>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6564CBD7">
      <w:pPr>
        <w:pStyle w:val="58"/>
        <w:numPr>
          <w:ilvl w:val="1"/>
          <w:numId w:val="3"/>
        </w:numPr>
        <w:spacing w:after="0"/>
        <w:ind w:left="0" w:firstLine="567"/>
        <w:rPr>
          <w:sz w:val="22"/>
          <w:szCs w:val="22"/>
        </w:rPr>
      </w:pPr>
      <w:r>
        <w:rPr>
          <w:sz w:val="22"/>
          <w:szCs w:val="22"/>
        </w:rPr>
        <w:t>A impugnação ao edital e o pedido de esclarecimento poderão ser realizados na forma eletrônica, via Sistema BBMNET.</w:t>
      </w:r>
    </w:p>
    <w:p w14:paraId="7EDB0B28">
      <w:pPr>
        <w:pStyle w:val="58"/>
        <w:numPr>
          <w:ilvl w:val="1"/>
          <w:numId w:val="3"/>
        </w:numPr>
        <w:spacing w:after="0"/>
        <w:ind w:left="0" w:firstLine="567"/>
        <w:rPr>
          <w:sz w:val="22"/>
          <w:szCs w:val="22"/>
        </w:rPr>
      </w:pPr>
      <w:r>
        <w:rPr>
          <w:sz w:val="22"/>
          <w:szCs w:val="22"/>
        </w:rPr>
        <w:t>Acolhida a impugnação, será definida e publicada nova data para a realização do certame.</w:t>
      </w:r>
    </w:p>
    <w:p w14:paraId="3448077A">
      <w:pPr>
        <w:pStyle w:val="41"/>
        <w:numPr>
          <w:ilvl w:val="0"/>
          <w:numId w:val="3"/>
        </w:numPr>
        <w:spacing w:before="120" w:line="276" w:lineRule="auto"/>
        <w:ind w:left="0" w:firstLine="567"/>
        <w:rPr>
          <w:sz w:val="22"/>
          <w:szCs w:val="22"/>
        </w:rPr>
      </w:pPr>
      <w:bookmarkStart w:id="46" w:name="_Toc122606113"/>
      <w:r>
        <w:rPr>
          <w:sz w:val="22"/>
          <w:szCs w:val="22"/>
        </w:rPr>
        <w:t>DAS DISPOSIÇÕES GERAIS</w:t>
      </w:r>
      <w:bookmarkEnd w:id="46"/>
    </w:p>
    <w:p w14:paraId="4A53963B">
      <w:pPr>
        <w:pStyle w:val="58"/>
        <w:numPr>
          <w:ilvl w:val="1"/>
          <w:numId w:val="3"/>
        </w:numPr>
        <w:spacing w:after="0"/>
        <w:ind w:left="0" w:firstLine="567"/>
        <w:rPr>
          <w:sz w:val="22"/>
          <w:szCs w:val="22"/>
        </w:rPr>
      </w:pPr>
      <w:r>
        <w:rPr>
          <w:sz w:val="22"/>
          <w:szCs w:val="22"/>
        </w:rPr>
        <w:t>Será divulgada ata da sessão pública no sistema eletrônico.</w:t>
      </w:r>
    </w:p>
    <w:p w14:paraId="03B73725">
      <w:pPr>
        <w:pStyle w:val="58"/>
        <w:numPr>
          <w:ilvl w:val="1"/>
          <w:numId w:val="3"/>
        </w:numPr>
        <w:spacing w:after="0"/>
        <w:ind w:left="0" w:firstLine="567"/>
        <w:rPr>
          <w:rFonts w:eastAsia="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pPr>
        <w:pStyle w:val="58"/>
        <w:numPr>
          <w:ilvl w:val="1"/>
          <w:numId w:val="3"/>
        </w:numPr>
        <w:spacing w:after="0"/>
        <w:ind w:left="0" w:firstLine="567"/>
        <w:rPr>
          <w:rFonts w:eastAsia="Times New Roman"/>
          <w:sz w:val="22"/>
          <w:szCs w:val="22"/>
        </w:rPr>
      </w:pPr>
      <w:r>
        <w:rPr>
          <w:sz w:val="22"/>
          <w:szCs w:val="22"/>
        </w:rPr>
        <w:t>Todas as referências de tempo no Edital, no aviso e durante a sessão pública observarão o horário de Brasília - DF.</w:t>
      </w:r>
    </w:p>
    <w:p w14:paraId="5CAAC75A">
      <w:pPr>
        <w:pStyle w:val="58"/>
        <w:numPr>
          <w:ilvl w:val="1"/>
          <w:numId w:val="3"/>
        </w:numPr>
        <w:spacing w:after="0"/>
        <w:ind w:left="0" w:firstLine="567"/>
        <w:rPr>
          <w:rFonts w:eastAsia="Times New Roman"/>
          <w:sz w:val="22"/>
          <w:szCs w:val="22"/>
        </w:rPr>
      </w:pPr>
      <w:r>
        <w:rPr>
          <w:sz w:val="22"/>
          <w:szCs w:val="22"/>
        </w:rPr>
        <w:t>A homologação do resultado desta licitação não implicará direito à contratação.</w:t>
      </w:r>
    </w:p>
    <w:p w14:paraId="1EAEBD43">
      <w:pPr>
        <w:pStyle w:val="58"/>
        <w:numPr>
          <w:ilvl w:val="1"/>
          <w:numId w:val="3"/>
        </w:numPr>
        <w:spacing w:after="0"/>
        <w:ind w:left="0" w:firstLine="567"/>
        <w:rPr>
          <w:rFonts w:eastAsia="Times New Roman"/>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pPr>
        <w:pStyle w:val="58"/>
        <w:numPr>
          <w:ilvl w:val="1"/>
          <w:numId w:val="3"/>
        </w:numPr>
        <w:spacing w:after="0"/>
        <w:ind w:left="0" w:firstLine="567"/>
        <w:rPr>
          <w:rFonts w:eastAsia="Times New Roman"/>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E2F91FC">
      <w:pPr>
        <w:pStyle w:val="58"/>
        <w:numPr>
          <w:ilvl w:val="1"/>
          <w:numId w:val="3"/>
        </w:numPr>
        <w:spacing w:after="0"/>
        <w:ind w:left="0" w:firstLine="567"/>
        <w:rPr>
          <w:rFonts w:eastAsia="Times New Roman"/>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3200564D">
      <w:pPr>
        <w:pStyle w:val="58"/>
        <w:numPr>
          <w:ilvl w:val="1"/>
          <w:numId w:val="3"/>
        </w:numPr>
        <w:spacing w:after="0"/>
        <w:ind w:left="0" w:firstLine="567"/>
        <w:rPr>
          <w:rFonts w:eastAsia="Times New Roman"/>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4D91D246">
      <w:pPr>
        <w:pStyle w:val="58"/>
        <w:numPr>
          <w:ilvl w:val="1"/>
          <w:numId w:val="3"/>
        </w:numPr>
        <w:spacing w:after="0"/>
        <w:ind w:left="0" w:firstLine="567"/>
        <w:rPr>
          <w:rFonts w:eastAsia="Times New Roman"/>
          <w:sz w:val="22"/>
          <w:szCs w:val="22"/>
        </w:rPr>
      </w:pPr>
      <w:r>
        <w:rPr>
          <w:sz w:val="22"/>
          <w:szCs w:val="22"/>
        </w:rPr>
        <w:t xml:space="preserve">O Manual de operações da Plataforma BBMNET Licitações encontra-se disponível aos interessados no Portal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sz w:val="22"/>
          <w:szCs w:val="22"/>
        </w:rPr>
        <w:t xml:space="preserve"> . </w:t>
      </w:r>
    </w:p>
    <w:p w14:paraId="501C63DD">
      <w:pPr>
        <w:pStyle w:val="58"/>
        <w:numPr>
          <w:ilvl w:val="1"/>
          <w:numId w:val="3"/>
        </w:numPr>
        <w:spacing w:after="0"/>
        <w:ind w:left="0" w:firstLine="567"/>
        <w:rPr>
          <w:rFonts w:eastAsia="Times New Roman"/>
          <w:sz w:val="22"/>
          <w:szCs w:val="22"/>
        </w:rPr>
      </w:pPr>
      <w:r>
        <w:rPr>
          <w:sz w:val="22"/>
          <w:szCs w:val="22"/>
        </w:rPr>
        <w:t xml:space="preserve">Dúvidas ou esclarecimentos adicionais sobre o uso da Plataforma BBMNET Licitações podem ser obtidas nos canais de atendimento da Plataforma BBMNET Licitações, por e-mail, whatsapp, telefone e chat disponíveis no Portal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sz w:val="22"/>
          <w:szCs w:val="22"/>
        </w:rPr>
        <w:t xml:space="preserve"> .</w:t>
      </w:r>
    </w:p>
    <w:p w14:paraId="51FB9539">
      <w:pPr>
        <w:pStyle w:val="58"/>
        <w:numPr>
          <w:ilvl w:val="1"/>
          <w:numId w:val="3"/>
        </w:numPr>
        <w:spacing w:after="0"/>
        <w:ind w:left="0" w:firstLine="567"/>
        <w:rPr>
          <w:rFonts w:eastAsia="Times New Roman"/>
          <w:sz w:val="22"/>
          <w:szCs w:val="22"/>
        </w:rPr>
      </w:pPr>
      <w:r>
        <w:rPr>
          <w:sz w:val="22"/>
          <w:szCs w:val="22"/>
        </w:rPr>
        <w:t>Em caso de divergência entre disposições deste Edital e de seus anexos ou demais peças que compõem o processo, prevalecerá as deste Edital.</w:t>
      </w:r>
    </w:p>
    <w:p w14:paraId="3B988FF6">
      <w:pPr>
        <w:pStyle w:val="58"/>
        <w:numPr>
          <w:ilvl w:val="1"/>
          <w:numId w:val="3"/>
        </w:numPr>
        <w:spacing w:after="0"/>
        <w:ind w:left="0" w:firstLine="567"/>
        <w:rPr>
          <w:rFonts w:eastAsia="Times New Roman"/>
          <w:sz w:val="22"/>
          <w:szCs w:val="22"/>
        </w:rPr>
      </w:pPr>
      <w:r>
        <w:rPr>
          <w:sz w:val="22"/>
          <w:szCs w:val="22"/>
        </w:rPr>
        <w:t xml:space="preserve">O Edital e seus anexos </w:t>
      </w:r>
      <w:r>
        <w:rPr>
          <w:color w:val="auto"/>
          <w:sz w:val="22"/>
          <w:szCs w:val="22"/>
        </w:rPr>
        <w:t>estão disponíveis, na íntegra, no Portal Nacional de Contratações Públicas (PNCP) e endereço eletrô</w:t>
      </w:r>
      <w:r>
        <w:rPr>
          <w:sz w:val="22"/>
          <w:szCs w:val="22"/>
        </w:rPr>
        <w:t xml:space="preserve">nico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sz w:val="22"/>
          <w:szCs w:val="22"/>
        </w:rPr>
        <w:t>.</w:t>
      </w:r>
    </w:p>
    <w:p w14:paraId="66D7AB8E">
      <w:pPr>
        <w:pStyle w:val="58"/>
        <w:numPr>
          <w:ilvl w:val="1"/>
          <w:numId w:val="3"/>
        </w:numPr>
        <w:spacing w:after="0"/>
        <w:ind w:left="0" w:firstLine="567"/>
        <w:rPr>
          <w:rFonts w:eastAsia="Times New Roman"/>
          <w:sz w:val="22"/>
          <w:szCs w:val="22"/>
        </w:rPr>
      </w:pPr>
      <w:r>
        <w:rPr>
          <w:sz w:val="22"/>
          <w:szCs w:val="22"/>
        </w:rPr>
        <w:t>Integram este Edital, para todos os fins e efeitos, os seguintes anexos:</w:t>
      </w:r>
    </w:p>
    <w:p w14:paraId="7ADD4298">
      <w:pPr>
        <w:pStyle w:val="60"/>
        <w:numPr>
          <w:ilvl w:val="2"/>
          <w:numId w:val="3"/>
        </w:numPr>
        <w:spacing w:after="0"/>
        <w:ind w:left="0" w:firstLine="567"/>
        <w:rPr>
          <w:sz w:val="22"/>
          <w:szCs w:val="22"/>
        </w:rPr>
      </w:pPr>
      <w:r>
        <w:rPr>
          <w:sz w:val="22"/>
          <w:szCs w:val="22"/>
        </w:rPr>
        <w:t>ANEXO I - Termo de Referência</w:t>
      </w:r>
    </w:p>
    <w:p w14:paraId="56699A5C">
      <w:pPr>
        <w:pStyle w:val="60"/>
        <w:numPr>
          <w:ilvl w:val="2"/>
          <w:numId w:val="3"/>
        </w:numPr>
        <w:spacing w:after="0"/>
        <w:ind w:left="0" w:firstLine="567"/>
        <w:rPr>
          <w:sz w:val="22"/>
          <w:szCs w:val="22"/>
        </w:rPr>
      </w:pPr>
      <w:r>
        <w:rPr>
          <w:sz w:val="22"/>
          <w:szCs w:val="22"/>
        </w:rPr>
        <w:t>ANEXO II – Minuta de Termo de Contrato (com todas as condições contratuais e exigências específicas de cada caso – serviços, obras ou fornecimentos).</w:t>
      </w:r>
    </w:p>
    <w:p w14:paraId="093C2AA0">
      <w:pPr>
        <w:spacing w:before="120" w:line="276" w:lineRule="auto"/>
        <w:ind w:firstLine="567"/>
        <w:jc w:val="right"/>
        <w:rPr>
          <w:rFonts w:ascii="Arial" w:hAnsi="Arial" w:eastAsia="MS Mincho" w:cs="Arial"/>
          <w:sz w:val="22"/>
          <w:szCs w:val="22"/>
        </w:rPr>
      </w:pPr>
    </w:p>
    <w:p w14:paraId="1E809248">
      <w:pPr>
        <w:spacing w:before="120" w:line="276" w:lineRule="auto"/>
        <w:ind w:firstLine="567"/>
        <w:jc w:val="right"/>
        <w:rPr>
          <w:rFonts w:ascii="Arial" w:hAnsi="Arial" w:eastAsia="MS Mincho" w:cs="Arial"/>
          <w:sz w:val="22"/>
          <w:szCs w:val="22"/>
        </w:rPr>
      </w:pPr>
      <w:r>
        <w:rPr>
          <w:rFonts w:ascii="Arial" w:hAnsi="Arial" w:eastAsia="MS Mincho" w:cs="Arial"/>
          <w:sz w:val="22"/>
          <w:szCs w:val="22"/>
        </w:rPr>
        <w:t>RAFAEL FERNANDES/RN, 03 de Junho de 2025.</w:t>
      </w:r>
    </w:p>
    <w:p w14:paraId="450F74ED">
      <w:pPr>
        <w:spacing w:before="120" w:line="276" w:lineRule="auto"/>
        <w:ind w:firstLine="567"/>
        <w:rPr>
          <w:rFonts w:ascii="Arial" w:hAnsi="Arial" w:eastAsia="MS Mincho" w:cs="Arial"/>
          <w:sz w:val="22"/>
          <w:szCs w:val="22"/>
        </w:rPr>
      </w:pPr>
    </w:p>
    <w:p w14:paraId="46464017">
      <w:pPr>
        <w:spacing w:before="120" w:line="276" w:lineRule="auto"/>
        <w:ind w:firstLine="567"/>
        <w:rPr>
          <w:rFonts w:ascii="Arial" w:hAnsi="Arial" w:eastAsia="MS Mincho" w:cs="Arial"/>
          <w:sz w:val="22"/>
          <w:szCs w:val="22"/>
        </w:rPr>
      </w:pPr>
    </w:p>
    <w:bookmarkEnd w:id="29"/>
    <w:p w14:paraId="0BC0FE6F">
      <w:pPr>
        <w:spacing w:before="120" w:line="276" w:lineRule="auto"/>
        <w:ind w:firstLine="567"/>
        <w:jc w:val="center"/>
        <w:rPr>
          <w:rFonts w:ascii="Arial" w:hAnsi="Arial" w:eastAsia="MS Mincho" w:cs="Arial"/>
          <w:b/>
          <w:bCs/>
          <w:sz w:val="22"/>
          <w:szCs w:val="22"/>
        </w:rPr>
      </w:pPr>
      <w:r>
        <w:rPr>
          <w:rFonts w:ascii="Arial" w:hAnsi="Arial" w:eastAsia="MS Mincho" w:cs="Arial"/>
          <w:b/>
          <w:bCs/>
          <w:sz w:val="22"/>
          <w:szCs w:val="22"/>
        </w:rPr>
        <w:t>Benilton Rodrigues Ferreira</w:t>
      </w:r>
    </w:p>
    <w:p w14:paraId="61805964">
      <w:pPr>
        <w:spacing w:before="120" w:line="276" w:lineRule="auto"/>
        <w:ind w:firstLine="567"/>
        <w:jc w:val="center"/>
        <w:rPr>
          <w:rFonts w:ascii="Arial" w:hAnsi="Arial" w:eastAsia="MS Mincho" w:cs="Arial"/>
          <w:b/>
          <w:bCs/>
          <w:sz w:val="22"/>
          <w:szCs w:val="22"/>
        </w:rPr>
      </w:pPr>
      <w:r>
        <w:rPr>
          <w:rFonts w:ascii="Arial" w:hAnsi="Arial" w:eastAsia="MS Mincho" w:cs="Arial"/>
          <w:b/>
          <w:bCs/>
          <w:sz w:val="22"/>
          <w:szCs w:val="22"/>
        </w:rPr>
        <w:t>PREFEITO MUNICIPAL</w:t>
      </w:r>
      <w:r>
        <w:rPr>
          <w:rFonts w:ascii="Arial" w:hAnsi="Arial" w:eastAsia="MS Mincho" w:cs="Arial"/>
          <w:b/>
          <w:bCs/>
          <w:sz w:val="22"/>
          <w:szCs w:val="22"/>
        </w:rPr>
        <w:br w:type="page"/>
      </w:r>
    </w:p>
    <w:p w14:paraId="50C11130">
      <w:pPr>
        <w:jc w:val="center"/>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ANEXO I</w:t>
      </w:r>
    </w:p>
    <w:p w14:paraId="19BD3462">
      <w:pPr>
        <w:jc w:val="center"/>
        <w:rPr>
          <w:rFonts w:ascii="Arial" w:hAnsi="Arial" w:eastAsia="Times New Roman" w:cs="Arial"/>
          <w:b/>
          <w:color w:val="000000" w:themeColor="text1"/>
          <w:sz w:val="22"/>
          <w:szCs w:val="22"/>
          <w14:textFill>
            <w14:solidFill>
              <w14:schemeClr w14:val="tx1"/>
            </w14:solidFill>
          </w14:textFill>
        </w:rPr>
      </w:pPr>
    </w:p>
    <w:p w14:paraId="0A8F5431">
      <w:pPr>
        <w:spacing w:before="120" w:after="288" w:afterLines="120" w:line="312" w:lineRule="auto"/>
        <w:jc w:val="center"/>
        <w:rPr>
          <w:rFonts w:ascii="Arial" w:hAnsi="Arial" w:cs="Arial"/>
          <w:bCs/>
          <w:color w:val="000000" w:themeColor="text1"/>
          <w:sz w:val="22"/>
          <w:szCs w:val="22"/>
          <w14:textFill>
            <w14:solidFill>
              <w14:schemeClr w14:val="tx1"/>
            </w14:solidFill>
          </w14:textFill>
        </w:rPr>
      </w:pPr>
      <w:r>
        <w:rPr>
          <w:rFonts w:ascii="Arial" w:hAnsi="Arial" w:cs="Arial"/>
          <w:color w:val="000000"/>
          <w:sz w:val="22"/>
          <w:szCs w:val="22"/>
        </w:rPr>
        <w:t>Processo Administrativo n</w:t>
      </w:r>
      <w:r>
        <w:rPr>
          <w:rFonts w:ascii="Arial" w:hAnsi="Arial" w:cs="Arial"/>
          <w:bCs/>
          <w:color w:val="000000" w:themeColor="text1"/>
          <w:sz w:val="22"/>
          <w:szCs w:val="22"/>
          <w14:textFill>
            <w14:solidFill>
              <w14:schemeClr w14:val="tx1"/>
            </w14:solidFill>
          </w14:textFill>
        </w:rPr>
        <w:t>° 250424PE00063</w:t>
      </w:r>
    </w:p>
    <w:p w14:paraId="379DA54E">
      <w:pPr>
        <w:spacing w:before="120" w:after="288" w:afterLines="120" w:line="312" w:lineRule="auto"/>
        <w:jc w:val="center"/>
        <w:rPr>
          <w:rFonts w:ascii="Arial" w:hAnsi="Arial" w:eastAsia="Arial" w:cs="Arial"/>
          <w:sz w:val="22"/>
          <w:szCs w:val="22"/>
        </w:rPr>
      </w:pPr>
      <w:r>
        <w:rPr>
          <w:rFonts w:ascii="Arial" w:hAnsi="Arial" w:cs="Arial"/>
          <w:sz w:val="22"/>
          <w:szCs w:val="22"/>
        </w:rPr>
        <w:t xml:space="preserve"> CONDIÇÕES GERAIS DA CONTRATAÇÃO</w:t>
      </w:r>
    </w:p>
    <w:p w14:paraId="35DB8272">
      <w:pPr>
        <w:pStyle w:val="58"/>
        <w:ind w:left="0" w:firstLine="0"/>
        <w:rPr>
          <w:b/>
          <w:bCs/>
          <w:sz w:val="22"/>
          <w:szCs w:val="22"/>
        </w:rPr>
      </w:pPr>
      <w:r>
        <w:rPr>
          <w:b/>
          <w:bCs/>
          <w:sz w:val="22"/>
          <w:szCs w:val="22"/>
          <w:lang w:eastAsia="en-US"/>
        </w:rPr>
        <w:t>Contratação de empresa especializada para o fornecimento e entrega de medicamentos destinados à Controle Especial para atendimento da Secretaria Municipal de Saúde no município</w:t>
      </w:r>
      <w:r>
        <w:rPr>
          <w:b/>
          <w:bCs/>
          <w:sz w:val="22"/>
          <w:szCs w:val="22"/>
        </w:rPr>
        <w:t>,</w:t>
      </w:r>
      <w:r>
        <w:rPr>
          <w:sz w:val="22"/>
          <w:szCs w:val="22"/>
        </w:rPr>
        <w:t xml:space="preserve"> nos termos da tabela abaixo, conforme condições e exigências estabelecidas neste instrumento.</w:t>
      </w:r>
    </w:p>
    <w:p w14:paraId="6C83C2F2">
      <w:pPr>
        <w:pStyle w:val="58"/>
        <w:numPr>
          <w:ilvl w:val="0"/>
          <w:numId w:val="0"/>
        </w:numPr>
        <w:rPr>
          <w:b/>
          <w:bCs/>
          <w:sz w:val="22"/>
          <w:szCs w:val="22"/>
        </w:rPr>
      </w:pPr>
    </w:p>
    <w:tbl>
      <w:tblPr>
        <w:tblStyle w:val="25"/>
        <w:tblW w:w="914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441"/>
        <w:gridCol w:w="1803"/>
        <w:gridCol w:w="1790"/>
        <w:gridCol w:w="1319"/>
      </w:tblGrid>
      <w:tr w14:paraId="7CBB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FEB9387">
            <w:pPr>
              <w:spacing w:line="360" w:lineRule="auto"/>
              <w:jc w:val="both"/>
              <w:rPr>
                <w:rFonts w:ascii="Arial" w:hAnsi="Arial" w:cs="Arial"/>
                <w:sz w:val="22"/>
                <w:szCs w:val="22"/>
                <w:u w:val="single"/>
              </w:rPr>
            </w:pPr>
            <w:r>
              <w:rPr>
                <w:rFonts w:ascii="Arial" w:hAnsi="Arial" w:cs="Arial"/>
                <w:sz w:val="22"/>
                <w:szCs w:val="22"/>
                <w:u w:val="single"/>
              </w:rPr>
              <w:t>ITEM</w:t>
            </w:r>
          </w:p>
        </w:tc>
        <w:tc>
          <w:tcPr>
            <w:tcW w:w="3441" w:type="dxa"/>
          </w:tcPr>
          <w:p w14:paraId="0B87A6BF">
            <w:pPr>
              <w:spacing w:line="360" w:lineRule="auto"/>
              <w:jc w:val="both"/>
              <w:rPr>
                <w:rFonts w:ascii="Arial" w:hAnsi="Arial" w:cs="Arial"/>
                <w:sz w:val="22"/>
                <w:szCs w:val="22"/>
                <w:u w:val="single"/>
              </w:rPr>
            </w:pPr>
            <w:r>
              <w:rPr>
                <w:rFonts w:ascii="Arial" w:hAnsi="Arial" w:cs="Arial"/>
                <w:sz w:val="22"/>
                <w:szCs w:val="22"/>
                <w:u w:val="single"/>
              </w:rPr>
              <w:t>ESPECIFICAÇÃO</w:t>
            </w:r>
          </w:p>
        </w:tc>
        <w:tc>
          <w:tcPr>
            <w:tcW w:w="1803" w:type="dxa"/>
          </w:tcPr>
          <w:p w14:paraId="6E1494DF">
            <w:pPr>
              <w:spacing w:line="360" w:lineRule="auto"/>
              <w:jc w:val="both"/>
              <w:rPr>
                <w:rFonts w:ascii="Arial" w:hAnsi="Arial" w:cs="Arial"/>
                <w:sz w:val="22"/>
                <w:szCs w:val="22"/>
                <w:u w:val="single"/>
              </w:rPr>
            </w:pPr>
            <w:r>
              <w:rPr>
                <w:rFonts w:ascii="Arial" w:hAnsi="Arial" w:cs="Arial"/>
                <w:sz w:val="22"/>
                <w:szCs w:val="22"/>
                <w:u w:val="single"/>
              </w:rPr>
              <w:t>UNIDADE</w:t>
            </w:r>
          </w:p>
        </w:tc>
        <w:tc>
          <w:tcPr>
            <w:tcW w:w="1790" w:type="dxa"/>
          </w:tcPr>
          <w:p w14:paraId="26A024A7">
            <w:pPr>
              <w:spacing w:line="360" w:lineRule="auto"/>
              <w:jc w:val="both"/>
              <w:rPr>
                <w:rFonts w:ascii="Arial" w:hAnsi="Arial" w:cs="Arial"/>
                <w:sz w:val="22"/>
                <w:szCs w:val="22"/>
                <w:u w:val="single"/>
              </w:rPr>
            </w:pPr>
            <w:r>
              <w:rPr>
                <w:rFonts w:ascii="Arial" w:hAnsi="Arial" w:cs="Arial"/>
                <w:sz w:val="22"/>
                <w:szCs w:val="22"/>
                <w:u w:val="single"/>
              </w:rPr>
              <w:t>QUANTIDADE</w:t>
            </w:r>
          </w:p>
        </w:tc>
        <w:tc>
          <w:tcPr>
            <w:tcW w:w="1319" w:type="dxa"/>
          </w:tcPr>
          <w:p w14:paraId="68AAD509">
            <w:pPr>
              <w:spacing w:line="360" w:lineRule="auto"/>
              <w:jc w:val="both"/>
              <w:rPr>
                <w:rFonts w:ascii="Arial" w:hAnsi="Arial" w:cs="Arial"/>
                <w:sz w:val="22"/>
                <w:szCs w:val="22"/>
                <w:u w:val="single"/>
              </w:rPr>
            </w:pPr>
            <w:r>
              <w:rPr>
                <w:rFonts w:ascii="Arial" w:hAnsi="Arial" w:cs="Arial"/>
                <w:sz w:val="22"/>
                <w:szCs w:val="22"/>
                <w:u w:val="single"/>
              </w:rPr>
              <w:t>VALOR MEDIO</w:t>
            </w:r>
          </w:p>
        </w:tc>
      </w:tr>
      <w:tr w14:paraId="2556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60AC6DE">
            <w:pPr>
              <w:spacing w:line="360" w:lineRule="auto"/>
              <w:jc w:val="center"/>
              <w:rPr>
                <w:rFonts w:ascii="Arial" w:hAnsi="Arial" w:cs="Arial"/>
                <w:sz w:val="22"/>
                <w:szCs w:val="22"/>
                <w:u w:val="single"/>
              </w:rPr>
            </w:pPr>
            <w:r>
              <w:rPr>
                <w:rFonts w:ascii="Arial" w:hAnsi="Arial" w:cs="Arial"/>
                <w:sz w:val="22"/>
                <w:szCs w:val="22"/>
                <w:u w:val="single"/>
              </w:rPr>
              <w:t>1</w:t>
            </w:r>
          </w:p>
        </w:tc>
        <w:tc>
          <w:tcPr>
            <w:tcW w:w="3441" w:type="dxa"/>
          </w:tcPr>
          <w:p w14:paraId="267BFD0E">
            <w:pPr>
              <w:spacing w:line="360" w:lineRule="auto"/>
              <w:jc w:val="both"/>
              <w:rPr>
                <w:rFonts w:ascii="Arial" w:hAnsi="Arial" w:cs="Arial"/>
                <w:sz w:val="22"/>
                <w:szCs w:val="22"/>
                <w:u w:val="single"/>
              </w:rPr>
            </w:pPr>
            <w:r>
              <w:rPr>
                <w:rFonts w:ascii="Arial" w:hAnsi="Arial" w:cs="Arial"/>
                <w:sz w:val="22"/>
                <w:szCs w:val="22"/>
                <w:u w:val="single"/>
              </w:rPr>
              <w:t>ACIDO VALPROICO 250MG</w:t>
            </w:r>
          </w:p>
        </w:tc>
        <w:tc>
          <w:tcPr>
            <w:tcW w:w="1803" w:type="dxa"/>
          </w:tcPr>
          <w:p w14:paraId="7DA7C3B8">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280C6E8B">
            <w:pPr>
              <w:spacing w:line="360" w:lineRule="auto"/>
              <w:jc w:val="center"/>
              <w:rPr>
                <w:rFonts w:ascii="Arial" w:hAnsi="Arial" w:cs="Arial"/>
                <w:sz w:val="22"/>
                <w:szCs w:val="22"/>
                <w:u w:val="single"/>
              </w:rPr>
            </w:pPr>
            <w:r>
              <w:rPr>
                <w:rFonts w:ascii="Arial" w:hAnsi="Arial" w:cs="Arial"/>
                <w:sz w:val="22"/>
                <w:szCs w:val="22"/>
              </w:rPr>
              <w:t>9000</w:t>
            </w:r>
          </w:p>
        </w:tc>
        <w:tc>
          <w:tcPr>
            <w:tcW w:w="1319" w:type="dxa"/>
          </w:tcPr>
          <w:p w14:paraId="7FF99858">
            <w:pPr>
              <w:spacing w:line="360" w:lineRule="auto"/>
              <w:ind w:left="720" w:hanging="720"/>
              <w:jc w:val="center"/>
              <w:rPr>
                <w:rFonts w:ascii="Arial" w:hAnsi="Arial" w:cs="Arial"/>
                <w:sz w:val="22"/>
                <w:szCs w:val="22"/>
                <w:u w:val="single"/>
              </w:rPr>
            </w:pPr>
            <w:r>
              <w:rPr>
                <w:rFonts w:ascii="Arial" w:hAnsi="Arial" w:cs="Arial"/>
                <w:sz w:val="22"/>
                <w:szCs w:val="22"/>
                <w:u w:val="single"/>
              </w:rPr>
              <w:t>0,35</w:t>
            </w:r>
          </w:p>
        </w:tc>
      </w:tr>
      <w:tr w14:paraId="01BA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D51E40A">
            <w:pPr>
              <w:spacing w:line="360" w:lineRule="auto"/>
              <w:jc w:val="center"/>
              <w:rPr>
                <w:rFonts w:ascii="Arial" w:hAnsi="Arial" w:cs="Arial"/>
                <w:sz w:val="22"/>
                <w:szCs w:val="22"/>
                <w:u w:val="single"/>
              </w:rPr>
            </w:pPr>
            <w:r>
              <w:rPr>
                <w:rFonts w:ascii="Arial" w:hAnsi="Arial" w:cs="Arial"/>
                <w:sz w:val="22"/>
                <w:szCs w:val="22"/>
                <w:u w:val="single"/>
              </w:rPr>
              <w:t>2</w:t>
            </w:r>
          </w:p>
        </w:tc>
        <w:tc>
          <w:tcPr>
            <w:tcW w:w="3441" w:type="dxa"/>
          </w:tcPr>
          <w:p w14:paraId="49A64094">
            <w:pPr>
              <w:spacing w:line="360" w:lineRule="auto"/>
              <w:jc w:val="both"/>
              <w:rPr>
                <w:rFonts w:ascii="Arial" w:hAnsi="Arial" w:cs="Arial"/>
                <w:sz w:val="22"/>
                <w:szCs w:val="22"/>
                <w:u w:val="single"/>
              </w:rPr>
            </w:pPr>
            <w:r>
              <w:rPr>
                <w:rFonts w:ascii="Arial" w:hAnsi="Arial" w:cs="Arial"/>
                <w:sz w:val="22"/>
                <w:szCs w:val="22"/>
                <w:u w:val="single"/>
              </w:rPr>
              <w:t>ACIDO VALPROICO 500MG</w:t>
            </w:r>
          </w:p>
        </w:tc>
        <w:tc>
          <w:tcPr>
            <w:tcW w:w="1803" w:type="dxa"/>
          </w:tcPr>
          <w:p w14:paraId="0A084BCE">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B50CFBC">
            <w:pPr>
              <w:spacing w:line="360" w:lineRule="auto"/>
              <w:jc w:val="center"/>
              <w:rPr>
                <w:rFonts w:ascii="Arial" w:hAnsi="Arial" w:cs="Arial"/>
                <w:sz w:val="22"/>
                <w:szCs w:val="22"/>
                <w:u w:val="single"/>
              </w:rPr>
            </w:pPr>
            <w:r>
              <w:rPr>
                <w:rFonts w:ascii="Arial" w:hAnsi="Arial" w:cs="Arial"/>
                <w:sz w:val="22"/>
                <w:szCs w:val="22"/>
              </w:rPr>
              <w:t>7200</w:t>
            </w:r>
          </w:p>
        </w:tc>
        <w:tc>
          <w:tcPr>
            <w:tcW w:w="1319" w:type="dxa"/>
          </w:tcPr>
          <w:p w14:paraId="663E5E73">
            <w:pPr>
              <w:spacing w:line="360" w:lineRule="auto"/>
              <w:ind w:left="720" w:hanging="720"/>
              <w:jc w:val="center"/>
              <w:rPr>
                <w:rFonts w:ascii="Arial" w:hAnsi="Arial" w:cs="Arial"/>
                <w:sz w:val="22"/>
                <w:szCs w:val="22"/>
                <w:u w:val="single"/>
              </w:rPr>
            </w:pPr>
            <w:r>
              <w:rPr>
                <w:rFonts w:ascii="Arial" w:hAnsi="Arial" w:cs="Arial"/>
                <w:sz w:val="22"/>
                <w:szCs w:val="22"/>
                <w:u w:val="single"/>
              </w:rPr>
              <w:t>0,64</w:t>
            </w:r>
          </w:p>
        </w:tc>
      </w:tr>
      <w:tr w14:paraId="1143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61F81DC6">
            <w:pPr>
              <w:spacing w:line="360" w:lineRule="auto"/>
              <w:jc w:val="center"/>
              <w:rPr>
                <w:rFonts w:ascii="Arial" w:hAnsi="Arial" w:cs="Arial"/>
                <w:sz w:val="22"/>
                <w:szCs w:val="22"/>
                <w:u w:val="single"/>
              </w:rPr>
            </w:pPr>
            <w:r>
              <w:rPr>
                <w:rFonts w:ascii="Arial" w:hAnsi="Arial" w:cs="Arial"/>
                <w:sz w:val="22"/>
                <w:szCs w:val="22"/>
                <w:u w:val="single"/>
              </w:rPr>
              <w:t>3</w:t>
            </w:r>
          </w:p>
        </w:tc>
        <w:tc>
          <w:tcPr>
            <w:tcW w:w="3441" w:type="dxa"/>
          </w:tcPr>
          <w:p w14:paraId="069B2029">
            <w:pPr>
              <w:spacing w:line="360" w:lineRule="auto"/>
              <w:jc w:val="both"/>
              <w:rPr>
                <w:rFonts w:ascii="Arial" w:hAnsi="Arial" w:cs="Arial"/>
                <w:sz w:val="22"/>
                <w:szCs w:val="22"/>
                <w:u w:val="single"/>
              </w:rPr>
            </w:pPr>
            <w:r>
              <w:rPr>
                <w:rFonts w:ascii="Arial" w:hAnsi="Arial" w:cs="Arial"/>
                <w:sz w:val="22"/>
                <w:szCs w:val="22"/>
                <w:u w:val="single"/>
              </w:rPr>
              <w:t xml:space="preserve">ACIDO VALPROICO 50MG/ML </w:t>
            </w:r>
          </w:p>
        </w:tc>
        <w:tc>
          <w:tcPr>
            <w:tcW w:w="1803" w:type="dxa"/>
          </w:tcPr>
          <w:p w14:paraId="082D663E">
            <w:pPr>
              <w:spacing w:line="360" w:lineRule="auto"/>
              <w:jc w:val="center"/>
              <w:rPr>
                <w:rFonts w:ascii="Arial" w:hAnsi="Arial" w:cs="Arial"/>
                <w:sz w:val="22"/>
                <w:szCs w:val="22"/>
                <w:u w:val="single"/>
              </w:rPr>
            </w:pPr>
            <w:r>
              <w:rPr>
                <w:rFonts w:ascii="Arial" w:hAnsi="Arial" w:cs="Arial"/>
                <w:sz w:val="22"/>
                <w:szCs w:val="22"/>
              </w:rPr>
              <w:t>SOLUÇÃO ORAL, 60ML,100ML</w:t>
            </w:r>
          </w:p>
        </w:tc>
        <w:tc>
          <w:tcPr>
            <w:tcW w:w="1790" w:type="dxa"/>
          </w:tcPr>
          <w:p w14:paraId="50B8057B">
            <w:pPr>
              <w:spacing w:line="360" w:lineRule="auto"/>
              <w:jc w:val="center"/>
              <w:rPr>
                <w:rFonts w:ascii="Arial" w:hAnsi="Arial" w:cs="Arial"/>
                <w:sz w:val="22"/>
                <w:szCs w:val="22"/>
                <w:u w:val="single"/>
              </w:rPr>
            </w:pPr>
            <w:r>
              <w:rPr>
                <w:rFonts w:ascii="Arial" w:hAnsi="Arial" w:cs="Arial"/>
                <w:sz w:val="22"/>
                <w:szCs w:val="22"/>
              </w:rPr>
              <w:t>240</w:t>
            </w:r>
          </w:p>
        </w:tc>
        <w:tc>
          <w:tcPr>
            <w:tcW w:w="1319" w:type="dxa"/>
          </w:tcPr>
          <w:p w14:paraId="3EB718EC">
            <w:pPr>
              <w:spacing w:line="360" w:lineRule="auto"/>
              <w:ind w:left="2160" w:hanging="2160"/>
              <w:jc w:val="center"/>
              <w:rPr>
                <w:rFonts w:ascii="Arial" w:hAnsi="Arial" w:cs="Arial"/>
                <w:sz w:val="22"/>
                <w:szCs w:val="22"/>
                <w:u w:val="single"/>
              </w:rPr>
            </w:pPr>
            <w:r>
              <w:rPr>
                <w:rFonts w:ascii="Arial" w:hAnsi="Arial" w:cs="Arial"/>
                <w:sz w:val="22"/>
                <w:szCs w:val="22"/>
                <w:u w:val="single"/>
              </w:rPr>
              <w:t>6,56</w:t>
            </w:r>
          </w:p>
        </w:tc>
      </w:tr>
      <w:tr w14:paraId="6058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83635F5">
            <w:pPr>
              <w:spacing w:line="360" w:lineRule="auto"/>
              <w:jc w:val="center"/>
              <w:rPr>
                <w:rFonts w:ascii="Arial" w:hAnsi="Arial" w:cs="Arial"/>
                <w:sz w:val="22"/>
                <w:szCs w:val="22"/>
                <w:u w:val="single"/>
              </w:rPr>
            </w:pPr>
            <w:r>
              <w:rPr>
                <w:rFonts w:ascii="Arial" w:hAnsi="Arial" w:cs="Arial"/>
                <w:sz w:val="22"/>
                <w:szCs w:val="22"/>
                <w:u w:val="single"/>
              </w:rPr>
              <w:t>4</w:t>
            </w:r>
          </w:p>
        </w:tc>
        <w:tc>
          <w:tcPr>
            <w:tcW w:w="3441" w:type="dxa"/>
          </w:tcPr>
          <w:p w14:paraId="52C0E998">
            <w:pPr>
              <w:spacing w:line="360" w:lineRule="auto"/>
              <w:jc w:val="both"/>
              <w:rPr>
                <w:rFonts w:ascii="Arial" w:hAnsi="Arial" w:cs="Arial"/>
                <w:sz w:val="22"/>
                <w:szCs w:val="22"/>
                <w:u w:val="single"/>
              </w:rPr>
            </w:pPr>
            <w:r>
              <w:rPr>
                <w:rFonts w:ascii="Arial" w:hAnsi="Arial" w:cs="Arial"/>
                <w:sz w:val="22"/>
                <w:szCs w:val="22"/>
                <w:u w:val="single"/>
              </w:rPr>
              <w:t xml:space="preserve">ALPRAZOLAM 0,5MG </w:t>
            </w:r>
          </w:p>
        </w:tc>
        <w:tc>
          <w:tcPr>
            <w:tcW w:w="1803" w:type="dxa"/>
          </w:tcPr>
          <w:p w14:paraId="4DCE5425">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F7EE6CE">
            <w:pPr>
              <w:spacing w:line="360" w:lineRule="auto"/>
              <w:jc w:val="center"/>
              <w:rPr>
                <w:rFonts w:ascii="Arial" w:hAnsi="Arial" w:cs="Arial"/>
                <w:sz w:val="22"/>
                <w:szCs w:val="22"/>
                <w:u w:val="single"/>
              </w:rPr>
            </w:pPr>
            <w:r>
              <w:rPr>
                <w:rFonts w:ascii="Arial" w:hAnsi="Arial" w:cs="Arial"/>
                <w:sz w:val="22"/>
                <w:szCs w:val="22"/>
              </w:rPr>
              <w:t>7200</w:t>
            </w:r>
          </w:p>
        </w:tc>
        <w:tc>
          <w:tcPr>
            <w:tcW w:w="1319" w:type="dxa"/>
          </w:tcPr>
          <w:p w14:paraId="42696519">
            <w:pPr>
              <w:spacing w:line="360" w:lineRule="auto"/>
              <w:ind w:left="720" w:hanging="720"/>
              <w:jc w:val="center"/>
              <w:rPr>
                <w:rFonts w:ascii="Arial" w:hAnsi="Arial" w:cs="Arial"/>
                <w:sz w:val="22"/>
                <w:szCs w:val="22"/>
                <w:u w:val="single"/>
              </w:rPr>
            </w:pPr>
            <w:r>
              <w:rPr>
                <w:rFonts w:ascii="Arial" w:hAnsi="Arial" w:cs="Arial"/>
                <w:sz w:val="22"/>
                <w:szCs w:val="22"/>
                <w:u w:val="single"/>
              </w:rPr>
              <w:t>0,22</w:t>
            </w:r>
          </w:p>
        </w:tc>
      </w:tr>
      <w:tr w14:paraId="5AD3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36C9330">
            <w:pPr>
              <w:spacing w:line="360" w:lineRule="auto"/>
              <w:jc w:val="center"/>
              <w:rPr>
                <w:rFonts w:ascii="Arial" w:hAnsi="Arial" w:cs="Arial"/>
                <w:sz w:val="22"/>
                <w:szCs w:val="22"/>
                <w:u w:val="single"/>
              </w:rPr>
            </w:pPr>
            <w:r>
              <w:rPr>
                <w:rFonts w:ascii="Arial" w:hAnsi="Arial" w:cs="Arial"/>
                <w:sz w:val="22"/>
                <w:szCs w:val="22"/>
                <w:u w:val="single"/>
              </w:rPr>
              <w:t>5</w:t>
            </w:r>
          </w:p>
        </w:tc>
        <w:tc>
          <w:tcPr>
            <w:tcW w:w="3441" w:type="dxa"/>
          </w:tcPr>
          <w:p w14:paraId="67576131">
            <w:pPr>
              <w:spacing w:line="360" w:lineRule="auto"/>
              <w:jc w:val="both"/>
              <w:rPr>
                <w:rFonts w:ascii="Arial" w:hAnsi="Arial" w:cs="Arial"/>
                <w:sz w:val="22"/>
                <w:szCs w:val="22"/>
                <w:u w:val="single"/>
              </w:rPr>
            </w:pPr>
            <w:r>
              <w:rPr>
                <w:rFonts w:ascii="Arial" w:hAnsi="Arial" w:cs="Arial"/>
                <w:sz w:val="22"/>
                <w:szCs w:val="22"/>
                <w:u w:val="single"/>
              </w:rPr>
              <w:t xml:space="preserve">ALPRAZOLAM 2MG </w:t>
            </w:r>
          </w:p>
        </w:tc>
        <w:tc>
          <w:tcPr>
            <w:tcW w:w="1803" w:type="dxa"/>
          </w:tcPr>
          <w:p w14:paraId="1E387CF4">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81E628C">
            <w:pPr>
              <w:spacing w:line="360" w:lineRule="auto"/>
              <w:jc w:val="center"/>
              <w:rPr>
                <w:rFonts w:ascii="Arial" w:hAnsi="Arial" w:cs="Arial"/>
                <w:sz w:val="22"/>
                <w:szCs w:val="22"/>
                <w:u w:val="single"/>
              </w:rPr>
            </w:pPr>
            <w:r>
              <w:rPr>
                <w:rFonts w:ascii="Arial" w:hAnsi="Arial" w:cs="Arial"/>
                <w:sz w:val="22"/>
                <w:szCs w:val="22"/>
              </w:rPr>
              <w:t>15840</w:t>
            </w:r>
          </w:p>
        </w:tc>
        <w:tc>
          <w:tcPr>
            <w:tcW w:w="1319" w:type="dxa"/>
          </w:tcPr>
          <w:p w14:paraId="40B780C2">
            <w:pPr>
              <w:spacing w:line="360" w:lineRule="auto"/>
              <w:ind w:left="720" w:hanging="720"/>
              <w:jc w:val="center"/>
              <w:rPr>
                <w:rFonts w:ascii="Arial" w:hAnsi="Arial" w:cs="Arial"/>
                <w:sz w:val="22"/>
                <w:szCs w:val="22"/>
                <w:u w:val="single"/>
              </w:rPr>
            </w:pPr>
            <w:r>
              <w:rPr>
                <w:rFonts w:ascii="Arial" w:hAnsi="Arial" w:cs="Arial"/>
                <w:sz w:val="22"/>
                <w:szCs w:val="22"/>
                <w:u w:val="single"/>
              </w:rPr>
              <w:t>0,54</w:t>
            </w:r>
          </w:p>
        </w:tc>
      </w:tr>
      <w:tr w14:paraId="75B3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96B4E10">
            <w:pPr>
              <w:spacing w:line="360" w:lineRule="auto"/>
              <w:jc w:val="center"/>
              <w:rPr>
                <w:rFonts w:ascii="Arial" w:hAnsi="Arial" w:cs="Arial"/>
                <w:sz w:val="22"/>
                <w:szCs w:val="22"/>
                <w:u w:val="single"/>
              </w:rPr>
            </w:pPr>
            <w:r>
              <w:rPr>
                <w:rFonts w:ascii="Arial" w:hAnsi="Arial" w:cs="Arial"/>
                <w:sz w:val="22"/>
                <w:szCs w:val="22"/>
                <w:u w:val="single"/>
              </w:rPr>
              <w:t>6</w:t>
            </w:r>
          </w:p>
        </w:tc>
        <w:tc>
          <w:tcPr>
            <w:tcW w:w="3441" w:type="dxa"/>
          </w:tcPr>
          <w:p w14:paraId="249EBDF7">
            <w:pPr>
              <w:spacing w:line="360" w:lineRule="auto"/>
              <w:jc w:val="both"/>
              <w:rPr>
                <w:rFonts w:ascii="Arial" w:hAnsi="Arial" w:cs="Arial"/>
                <w:sz w:val="22"/>
                <w:szCs w:val="22"/>
                <w:u w:val="single"/>
              </w:rPr>
            </w:pPr>
            <w:r>
              <w:rPr>
                <w:rFonts w:ascii="Arial" w:hAnsi="Arial" w:cs="Arial"/>
                <w:sz w:val="22"/>
                <w:szCs w:val="22"/>
                <w:u w:val="single"/>
              </w:rPr>
              <w:t xml:space="preserve">CARBAMAZEPINA 200MG </w:t>
            </w:r>
          </w:p>
        </w:tc>
        <w:tc>
          <w:tcPr>
            <w:tcW w:w="1803" w:type="dxa"/>
          </w:tcPr>
          <w:p w14:paraId="78EA73D6">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56AC10B">
            <w:pPr>
              <w:spacing w:line="360" w:lineRule="auto"/>
              <w:jc w:val="center"/>
              <w:rPr>
                <w:rFonts w:ascii="Arial" w:hAnsi="Arial" w:cs="Arial"/>
                <w:sz w:val="22"/>
                <w:szCs w:val="22"/>
                <w:u w:val="single"/>
              </w:rPr>
            </w:pPr>
            <w:r>
              <w:rPr>
                <w:rFonts w:ascii="Arial" w:hAnsi="Arial" w:cs="Arial"/>
                <w:sz w:val="22"/>
                <w:szCs w:val="22"/>
              </w:rPr>
              <w:t>10080</w:t>
            </w:r>
          </w:p>
        </w:tc>
        <w:tc>
          <w:tcPr>
            <w:tcW w:w="1319" w:type="dxa"/>
          </w:tcPr>
          <w:p w14:paraId="7B7C96D6">
            <w:pPr>
              <w:spacing w:line="360" w:lineRule="auto"/>
              <w:ind w:left="720" w:hanging="720"/>
              <w:jc w:val="center"/>
              <w:rPr>
                <w:rFonts w:ascii="Arial" w:hAnsi="Arial" w:cs="Arial"/>
                <w:sz w:val="22"/>
                <w:szCs w:val="22"/>
                <w:u w:val="single"/>
              </w:rPr>
            </w:pPr>
            <w:r>
              <w:rPr>
                <w:rFonts w:ascii="Arial" w:hAnsi="Arial" w:cs="Arial"/>
                <w:sz w:val="22"/>
                <w:szCs w:val="22"/>
                <w:u w:val="single"/>
              </w:rPr>
              <w:t>0,21</w:t>
            </w:r>
          </w:p>
        </w:tc>
      </w:tr>
      <w:tr w14:paraId="4319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61E97CC">
            <w:pPr>
              <w:spacing w:line="360" w:lineRule="auto"/>
              <w:jc w:val="center"/>
              <w:rPr>
                <w:rFonts w:ascii="Arial" w:hAnsi="Arial" w:cs="Arial"/>
                <w:sz w:val="22"/>
                <w:szCs w:val="22"/>
                <w:u w:val="single"/>
              </w:rPr>
            </w:pPr>
            <w:r>
              <w:rPr>
                <w:rFonts w:ascii="Arial" w:hAnsi="Arial" w:cs="Arial"/>
                <w:sz w:val="22"/>
                <w:szCs w:val="22"/>
                <w:u w:val="single"/>
              </w:rPr>
              <w:t>7</w:t>
            </w:r>
          </w:p>
        </w:tc>
        <w:tc>
          <w:tcPr>
            <w:tcW w:w="3441" w:type="dxa"/>
          </w:tcPr>
          <w:p w14:paraId="5EB22B60">
            <w:pPr>
              <w:spacing w:line="360" w:lineRule="auto"/>
              <w:jc w:val="both"/>
              <w:rPr>
                <w:rFonts w:ascii="Arial" w:hAnsi="Arial" w:cs="Arial"/>
                <w:sz w:val="22"/>
                <w:szCs w:val="22"/>
                <w:u w:val="single"/>
              </w:rPr>
            </w:pPr>
            <w:r>
              <w:rPr>
                <w:rFonts w:ascii="Arial" w:hAnsi="Arial" w:cs="Arial"/>
                <w:sz w:val="22"/>
                <w:szCs w:val="22"/>
                <w:u w:val="single"/>
              </w:rPr>
              <w:t xml:space="preserve">CARBAMAZEPINA 400MG </w:t>
            </w:r>
          </w:p>
        </w:tc>
        <w:tc>
          <w:tcPr>
            <w:tcW w:w="1803" w:type="dxa"/>
          </w:tcPr>
          <w:p w14:paraId="7436D98A">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74470E6">
            <w:pPr>
              <w:spacing w:line="360" w:lineRule="auto"/>
              <w:jc w:val="center"/>
              <w:rPr>
                <w:rFonts w:ascii="Arial" w:hAnsi="Arial" w:cs="Arial"/>
                <w:sz w:val="22"/>
                <w:szCs w:val="22"/>
                <w:u w:val="single"/>
              </w:rPr>
            </w:pPr>
            <w:r>
              <w:rPr>
                <w:rFonts w:ascii="Arial" w:hAnsi="Arial" w:cs="Arial"/>
                <w:sz w:val="22"/>
                <w:szCs w:val="22"/>
              </w:rPr>
              <w:t>15120</w:t>
            </w:r>
          </w:p>
        </w:tc>
        <w:tc>
          <w:tcPr>
            <w:tcW w:w="1319" w:type="dxa"/>
          </w:tcPr>
          <w:p w14:paraId="17AC2BCE">
            <w:pPr>
              <w:spacing w:line="360" w:lineRule="auto"/>
              <w:ind w:left="720" w:hanging="720"/>
              <w:jc w:val="center"/>
              <w:rPr>
                <w:rFonts w:ascii="Arial" w:hAnsi="Arial" w:cs="Arial"/>
                <w:sz w:val="22"/>
                <w:szCs w:val="22"/>
                <w:u w:val="single"/>
              </w:rPr>
            </w:pPr>
            <w:r>
              <w:rPr>
                <w:rFonts w:ascii="Arial" w:hAnsi="Arial" w:cs="Arial"/>
                <w:sz w:val="22"/>
                <w:szCs w:val="22"/>
                <w:u w:val="single"/>
              </w:rPr>
              <w:t>1,96</w:t>
            </w:r>
          </w:p>
        </w:tc>
      </w:tr>
      <w:tr w14:paraId="2EB7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BF53429">
            <w:pPr>
              <w:spacing w:line="360" w:lineRule="auto"/>
              <w:jc w:val="center"/>
              <w:rPr>
                <w:rFonts w:ascii="Arial" w:hAnsi="Arial" w:cs="Arial"/>
                <w:sz w:val="22"/>
                <w:szCs w:val="22"/>
                <w:u w:val="single"/>
              </w:rPr>
            </w:pPr>
            <w:r>
              <w:rPr>
                <w:rFonts w:ascii="Arial" w:hAnsi="Arial" w:cs="Arial"/>
                <w:sz w:val="22"/>
                <w:szCs w:val="22"/>
                <w:u w:val="single"/>
              </w:rPr>
              <w:t>8</w:t>
            </w:r>
          </w:p>
        </w:tc>
        <w:tc>
          <w:tcPr>
            <w:tcW w:w="3441" w:type="dxa"/>
          </w:tcPr>
          <w:p w14:paraId="48DEE73B">
            <w:pPr>
              <w:spacing w:line="360" w:lineRule="auto"/>
              <w:jc w:val="both"/>
              <w:rPr>
                <w:rFonts w:ascii="Arial" w:hAnsi="Arial" w:cs="Arial"/>
                <w:sz w:val="22"/>
                <w:szCs w:val="22"/>
                <w:u w:val="single"/>
              </w:rPr>
            </w:pPr>
            <w:r>
              <w:rPr>
                <w:rFonts w:ascii="Arial" w:hAnsi="Arial" w:cs="Arial"/>
                <w:sz w:val="22"/>
                <w:szCs w:val="22"/>
                <w:u w:val="single"/>
              </w:rPr>
              <w:t xml:space="preserve">CARBAMAZEPINA 20MG/ML </w:t>
            </w:r>
          </w:p>
        </w:tc>
        <w:tc>
          <w:tcPr>
            <w:tcW w:w="1803" w:type="dxa"/>
          </w:tcPr>
          <w:p w14:paraId="2A599036">
            <w:pPr>
              <w:spacing w:line="360" w:lineRule="auto"/>
              <w:jc w:val="center"/>
              <w:rPr>
                <w:rFonts w:ascii="Arial" w:hAnsi="Arial" w:cs="Arial"/>
                <w:sz w:val="22"/>
                <w:szCs w:val="22"/>
                <w:u w:val="single"/>
              </w:rPr>
            </w:pPr>
            <w:r>
              <w:rPr>
                <w:rFonts w:ascii="Arial" w:hAnsi="Arial" w:cs="Arial"/>
                <w:sz w:val="22"/>
                <w:szCs w:val="22"/>
              </w:rPr>
              <w:t>SUSPENSAO ORAL, 60ML, 100ML</w:t>
            </w:r>
          </w:p>
        </w:tc>
        <w:tc>
          <w:tcPr>
            <w:tcW w:w="1790" w:type="dxa"/>
          </w:tcPr>
          <w:p w14:paraId="48FE2FEC">
            <w:pPr>
              <w:spacing w:line="360" w:lineRule="auto"/>
              <w:jc w:val="center"/>
              <w:rPr>
                <w:rFonts w:ascii="Arial" w:hAnsi="Arial" w:cs="Arial"/>
                <w:sz w:val="22"/>
                <w:szCs w:val="22"/>
                <w:u w:val="single"/>
              </w:rPr>
            </w:pPr>
            <w:r>
              <w:rPr>
                <w:rFonts w:ascii="Arial" w:hAnsi="Arial" w:cs="Arial"/>
                <w:sz w:val="22"/>
                <w:szCs w:val="22"/>
              </w:rPr>
              <w:t>216</w:t>
            </w:r>
          </w:p>
        </w:tc>
        <w:tc>
          <w:tcPr>
            <w:tcW w:w="1319" w:type="dxa"/>
          </w:tcPr>
          <w:p w14:paraId="5A815570">
            <w:pPr>
              <w:spacing w:line="360" w:lineRule="auto"/>
              <w:ind w:left="720" w:hanging="720"/>
              <w:jc w:val="center"/>
              <w:rPr>
                <w:rFonts w:ascii="Arial" w:hAnsi="Arial" w:cs="Arial"/>
                <w:sz w:val="22"/>
                <w:szCs w:val="22"/>
                <w:u w:val="single"/>
              </w:rPr>
            </w:pPr>
            <w:r>
              <w:rPr>
                <w:rFonts w:ascii="Arial" w:hAnsi="Arial" w:cs="Arial"/>
                <w:sz w:val="22"/>
                <w:szCs w:val="22"/>
                <w:u w:val="single"/>
              </w:rPr>
              <w:t>8,29</w:t>
            </w:r>
          </w:p>
        </w:tc>
      </w:tr>
      <w:tr w14:paraId="04EF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1F59B70">
            <w:pPr>
              <w:spacing w:line="360" w:lineRule="auto"/>
              <w:jc w:val="center"/>
              <w:rPr>
                <w:rFonts w:ascii="Arial" w:hAnsi="Arial" w:cs="Arial"/>
                <w:sz w:val="22"/>
                <w:szCs w:val="22"/>
                <w:u w:val="single"/>
              </w:rPr>
            </w:pPr>
            <w:r>
              <w:rPr>
                <w:rFonts w:ascii="Arial" w:hAnsi="Arial" w:cs="Arial"/>
                <w:sz w:val="22"/>
                <w:szCs w:val="22"/>
                <w:u w:val="single"/>
              </w:rPr>
              <w:t>9</w:t>
            </w:r>
          </w:p>
        </w:tc>
        <w:tc>
          <w:tcPr>
            <w:tcW w:w="3441" w:type="dxa"/>
          </w:tcPr>
          <w:p w14:paraId="5658F5DF">
            <w:pPr>
              <w:spacing w:line="360" w:lineRule="auto"/>
              <w:jc w:val="both"/>
              <w:rPr>
                <w:rFonts w:ascii="Arial" w:hAnsi="Arial" w:cs="Arial"/>
                <w:sz w:val="22"/>
                <w:szCs w:val="22"/>
                <w:u w:val="single"/>
              </w:rPr>
            </w:pPr>
            <w:r>
              <w:rPr>
                <w:rFonts w:ascii="Arial" w:hAnsi="Arial" w:cs="Arial"/>
                <w:sz w:val="22"/>
                <w:szCs w:val="22"/>
                <w:u w:val="single"/>
              </w:rPr>
              <w:t xml:space="preserve">CARBONATO DE LITIO 300MG </w:t>
            </w:r>
          </w:p>
        </w:tc>
        <w:tc>
          <w:tcPr>
            <w:tcW w:w="1803" w:type="dxa"/>
          </w:tcPr>
          <w:p w14:paraId="2DDD5237">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EA7D888">
            <w:pPr>
              <w:spacing w:line="360" w:lineRule="auto"/>
              <w:jc w:val="center"/>
              <w:rPr>
                <w:rFonts w:ascii="Arial" w:hAnsi="Arial" w:cs="Arial"/>
                <w:sz w:val="22"/>
                <w:szCs w:val="22"/>
                <w:u w:val="single"/>
              </w:rPr>
            </w:pPr>
            <w:r>
              <w:rPr>
                <w:rFonts w:ascii="Arial" w:hAnsi="Arial" w:cs="Arial"/>
                <w:sz w:val="22"/>
                <w:szCs w:val="22"/>
              </w:rPr>
              <w:t>21600</w:t>
            </w:r>
          </w:p>
        </w:tc>
        <w:tc>
          <w:tcPr>
            <w:tcW w:w="1319" w:type="dxa"/>
          </w:tcPr>
          <w:p w14:paraId="282A9700">
            <w:pPr>
              <w:spacing w:line="360" w:lineRule="auto"/>
              <w:ind w:left="720" w:hanging="720"/>
              <w:jc w:val="center"/>
              <w:rPr>
                <w:rFonts w:ascii="Arial" w:hAnsi="Arial" w:cs="Arial"/>
                <w:sz w:val="22"/>
                <w:szCs w:val="22"/>
                <w:u w:val="single"/>
              </w:rPr>
            </w:pPr>
            <w:r>
              <w:rPr>
                <w:rFonts w:ascii="Arial" w:hAnsi="Arial" w:cs="Arial"/>
                <w:sz w:val="22"/>
                <w:szCs w:val="22"/>
                <w:u w:val="single"/>
              </w:rPr>
              <w:t>0,30</w:t>
            </w:r>
          </w:p>
        </w:tc>
      </w:tr>
      <w:tr w14:paraId="0277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6FFDB8E">
            <w:pPr>
              <w:spacing w:line="360" w:lineRule="auto"/>
              <w:jc w:val="center"/>
              <w:rPr>
                <w:rFonts w:ascii="Arial" w:hAnsi="Arial" w:cs="Arial"/>
                <w:sz w:val="22"/>
                <w:szCs w:val="22"/>
                <w:u w:val="single"/>
              </w:rPr>
            </w:pPr>
            <w:r>
              <w:rPr>
                <w:rFonts w:ascii="Arial" w:hAnsi="Arial" w:cs="Arial"/>
                <w:sz w:val="22"/>
                <w:szCs w:val="22"/>
                <w:u w:val="single"/>
              </w:rPr>
              <w:t>10</w:t>
            </w:r>
          </w:p>
        </w:tc>
        <w:tc>
          <w:tcPr>
            <w:tcW w:w="3441" w:type="dxa"/>
          </w:tcPr>
          <w:p w14:paraId="5096D763">
            <w:pPr>
              <w:spacing w:line="360" w:lineRule="auto"/>
              <w:jc w:val="both"/>
              <w:rPr>
                <w:rFonts w:ascii="Arial" w:hAnsi="Arial" w:cs="Arial"/>
                <w:sz w:val="22"/>
                <w:szCs w:val="22"/>
                <w:u w:val="single"/>
              </w:rPr>
            </w:pPr>
            <w:r>
              <w:rPr>
                <w:rFonts w:ascii="Arial" w:hAnsi="Arial" w:cs="Arial"/>
                <w:sz w:val="22"/>
                <w:szCs w:val="22"/>
                <w:u w:val="single"/>
              </w:rPr>
              <w:t xml:space="preserve">CLONAZEPAM 0,5MG </w:t>
            </w:r>
          </w:p>
        </w:tc>
        <w:tc>
          <w:tcPr>
            <w:tcW w:w="1803" w:type="dxa"/>
          </w:tcPr>
          <w:p w14:paraId="45D1D418">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DC28279">
            <w:pPr>
              <w:spacing w:line="360" w:lineRule="auto"/>
              <w:jc w:val="center"/>
              <w:rPr>
                <w:rFonts w:ascii="Arial" w:hAnsi="Arial" w:cs="Arial"/>
                <w:sz w:val="22"/>
                <w:szCs w:val="22"/>
                <w:u w:val="single"/>
              </w:rPr>
            </w:pPr>
            <w:r>
              <w:rPr>
                <w:rFonts w:ascii="Arial" w:hAnsi="Arial" w:cs="Arial"/>
                <w:sz w:val="22"/>
                <w:szCs w:val="22"/>
              </w:rPr>
              <w:t>7020</w:t>
            </w:r>
          </w:p>
        </w:tc>
        <w:tc>
          <w:tcPr>
            <w:tcW w:w="1319" w:type="dxa"/>
          </w:tcPr>
          <w:p w14:paraId="4A14290F">
            <w:pPr>
              <w:spacing w:line="360" w:lineRule="auto"/>
              <w:ind w:left="720" w:hanging="720"/>
              <w:jc w:val="center"/>
              <w:rPr>
                <w:rFonts w:ascii="Arial" w:hAnsi="Arial" w:cs="Arial"/>
                <w:sz w:val="22"/>
                <w:szCs w:val="22"/>
                <w:u w:val="single"/>
              </w:rPr>
            </w:pPr>
            <w:r>
              <w:rPr>
                <w:rFonts w:ascii="Arial" w:hAnsi="Arial" w:cs="Arial"/>
                <w:sz w:val="22"/>
                <w:szCs w:val="22"/>
                <w:u w:val="single"/>
              </w:rPr>
              <w:t>0,12</w:t>
            </w:r>
          </w:p>
        </w:tc>
      </w:tr>
      <w:tr w14:paraId="584D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FDC14A2">
            <w:pPr>
              <w:spacing w:line="360" w:lineRule="auto"/>
              <w:jc w:val="center"/>
              <w:rPr>
                <w:rFonts w:ascii="Arial" w:hAnsi="Arial" w:cs="Arial"/>
                <w:sz w:val="22"/>
                <w:szCs w:val="22"/>
                <w:u w:val="single"/>
              </w:rPr>
            </w:pPr>
            <w:r>
              <w:rPr>
                <w:rFonts w:ascii="Arial" w:hAnsi="Arial" w:cs="Arial"/>
                <w:sz w:val="22"/>
                <w:szCs w:val="22"/>
                <w:u w:val="single"/>
              </w:rPr>
              <w:t>11</w:t>
            </w:r>
          </w:p>
        </w:tc>
        <w:tc>
          <w:tcPr>
            <w:tcW w:w="3441" w:type="dxa"/>
          </w:tcPr>
          <w:p w14:paraId="4910661E">
            <w:pPr>
              <w:spacing w:line="360" w:lineRule="auto"/>
              <w:jc w:val="both"/>
              <w:rPr>
                <w:rFonts w:ascii="Arial" w:hAnsi="Arial" w:cs="Arial"/>
                <w:sz w:val="22"/>
                <w:szCs w:val="22"/>
                <w:u w:val="single"/>
              </w:rPr>
            </w:pPr>
            <w:r>
              <w:rPr>
                <w:rFonts w:ascii="Arial" w:hAnsi="Arial" w:cs="Arial"/>
                <w:sz w:val="22"/>
                <w:szCs w:val="22"/>
                <w:u w:val="single"/>
              </w:rPr>
              <w:t xml:space="preserve">CLONAZEPAM 2MG </w:t>
            </w:r>
          </w:p>
        </w:tc>
        <w:tc>
          <w:tcPr>
            <w:tcW w:w="1803" w:type="dxa"/>
          </w:tcPr>
          <w:p w14:paraId="152A6085">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5C59D12">
            <w:pPr>
              <w:spacing w:line="360" w:lineRule="auto"/>
              <w:jc w:val="center"/>
              <w:rPr>
                <w:rFonts w:ascii="Arial" w:hAnsi="Arial" w:cs="Arial"/>
                <w:sz w:val="22"/>
                <w:szCs w:val="22"/>
                <w:u w:val="single"/>
              </w:rPr>
            </w:pPr>
            <w:r>
              <w:rPr>
                <w:rFonts w:ascii="Arial" w:hAnsi="Arial" w:cs="Arial"/>
                <w:sz w:val="22"/>
                <w:szCs w:val="22"/>
              </w:rPr>
              <w:t>44640</w:t>
            </w:r>
          </w:p>
        </w:tc>
        <w:tc>
          <w:tcPr>
            <w:tcW w:w="1319" w:type="dxa"/>
          </w:tcPr>
          <w:p w14:paraId="59276B58">
            <w:pPr>
              <w:spacing w:line="360" w:lineRule="auto"/>
              <w:ind w:left="720" w:hanging="720"/>
              <w:jc w:val="center"/>
              <w:rPr>
                <w:rFonts w:ascii="Arial" w:hAnsi="Arial" w:cs="Arial"/>
                <w:sz w:val="22"/>
                <w:szCs w:val="22"/>
                <w:u w:val="single"/>
              </w:rPr>
            </w:pPr>
            <w:r>
              <w:rPr>
                <w:rFonts w:ascii="Arial" w:hAnsi="Arial" w:cs="Arial"/>
                <w:sz w:val="22"/>
                <w:szCs w:val="22"/>
                <w:u w:val="single"/>
              </w:rPr>
              <w:t>0,10</w:t>
            </w:r>
          </w:p>
        </w:tc>
      </w:tr>
      <w:tr w14:paraId="79FB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F42665F">
            <w:pPr>
              <w:spacing w:line="360" w:lineRule="auto"/>
              <w:jc w:val="center"/>
              <w:rPr>
                <w:rFonts w:ascii="Arial" w:hAnsi="Arial" w:cs="Arial"/>
                <w:sz w:val="22"/>
                <w:szCs w:val="22"/>
                <w:u w:val="single"/>
              </w:rPr>
            </w:pPr>
            <w:r>
              <w:rPr>
                <w:rFonts w:ascii="Arial" w:hAnsi="Arial" w:cs="Arial"/>
                <w:sz w:val="22"/>
                <w:szCs w:val="22"/>
                <w:u w:val="single"/>
              </w:rPr>
              <w:t>12</w:t>
            </w:r>
          </w:p>
        </w:tc>
        <w:tc>
          <w:tcPr>
            <w:tcW w:w="3441" w:type="dxa"/>
          </w:tcPr>
          <w:p w14:paraId="715E2CBD">
            <w:pPr>
              <w:spacing w:line="360" w:lineRule="auto"/>
              <w:jc w:val="both"/>
              <w:rPr>
                <w:rFonts w:ascii="Arial" w:hAnsi="Arial" w:cs="Arial"/>
                <w:sz w:val="22"/>
                <w:szCs w:val="22"/>
                <w:u w:val="single"/>
              </w:rPr>
            </w:pPr>
            <w:r>
              <w:rPr>
                <w:rFonts w:ascii="Arial" w:hAnsi="Arial" w:cs="Arial"/>
                <w:sz w:val="22"/>
                <w:szCs w:val="22"/>
                <w:u w:val="single"/>
              </w:rPr>
              <w:t xml:space="preserve">CLONAZEPAM 2,5MG/ML </w:t>
            </w:r>
          </w:p>
        </w:tc>
        <w:tc>
          <w:tcPr>
            <w:tcW w:w="1803" w:type="dxa"/>
          </w:tcPr>
          <w:p w14:paraId="44E753E2">
            <w:pPr>
              <w:spacing w:line="360" w:lineRule="auto"/>
              <w:jc w:val="center"/>
              <w:rPr>
                <w:rFonts w:ascii="Arial" w:hAnsi="Arial" w:cs="Arial"/>
                <w:sz w:val="22"/>
                <w:szCs w:val="22"/>
                <w:u w:val="single"/>
              </w:rPr>
            </w:pPr>
            <w:r>
              <w:rPr>
                <w:rFonts w:ascii="Arial" w:hAnsi="Arial" w:cs="Arial"/>
                <w:sz w:val="22"/>
                <w:szCs w:val="22"/>
              </w:rPr>
              <w:t>SOLUCAO ORAL 30ML</w:t>
            </w:r>
          </w:p>
        </w:tc>
        <w:tc>
          <w:tcPr>
            <w:tcW w:w="1790" w:type="dxa"/>
          </w:tcPr>
          <w:p w14:paraId="7989DD70">
            <w:pPr>
              <w:spacing w:line="360" w:lineRule="auto"/>
              <w:jc w:val="center"/>
              <w:rPr>
                <w:rFonts w:ascii="Arial" w:hAnsi="Arial" w:cs="Arial"/>
                <w:sz w:val="22"/>
                <w:szCs w:val="22"/>
                <w:u w:val="single"/>
              </w:rPr>
            </w:pPr>
            <w:r>
              <w:rPr>
                <w:rFonts w:ascii="Arial" w:hAnsi="Arial" w:cs="Arial"/>
                <w:sz w:val="22"/>
                <w:szCs w:val="22"/>
              </w:rPr>
              <w:t>318</w:t>
            </w:r>
          </w:p>
        </w:tc>
        <w:tc>
          <w:tcPr>
            <w:tcW w:w="1319" w:type="dxa"/>
          </w:tcPr>
          <w:p w14:paraId="390117CF">
            <w:pPr>
              <w:spacing w:line="360" w:lineRule="auto"/>
              <w:ind w:left="720" w:hanging="720"/>
              <w:jc w:val="center"/>
              <w:rPr>
                <w:rFonts w:ascii="Arial" w:hAnsi="Arial" w:cs="Arial"/>
                <w:sz w:val="22"/>
                <w:szCs w:val="22"/>
                <w:u w:val="single"/>
              </w:rPr>
            </w:pPr>
            <w:r>
              <w:rPr>
                <w:rFonts w:ascii="Arial" w:hAnsi="Arial" w:cs="Arial"/>
                <w:sz w:val="22"/>
                <w:szCs w:val="22"/>
                <w:u w:val="single"/>
              </w:rPr>
              <w:t>2,75</w:t>
            </w:r>
          </w:p>
        </w:tc>
      </w:tr>
      <w:tr w14:paraId="7ECD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6BD59FE">
            <w:pPr>
              <w:spacing w:line="360" w:lineRule="auto"/>
              <w:jc w:val="center"/>
              <w:rPr>
                <w:rFonts w:ascii="Arial" w:hAnsi="Arial" w:cs="Arial"/>
                <w:sz w:val="22"/>
                <w:szCs w:val="22"/>
                <w:u w:val="single"/>
              </w:rPr>
            </w:pPr>
            <w:r>
              <w:rPr>
                <w:rFonts w:ascii="Arial" w:hAnsi="Arial" w:cs="Arial"/>
                <w:sz w:val="22"/>
                <w:szCs w:val="22"/>
                <w:u w:val="single"/>
              </w:rPr>
              <w:t>13</w:t>
            </w:r>
          </w:p>
        </w:tc>
        <w:tc>
          <w:tcPr>
            <w:tcW w:w="3441" w:type="dxa"/>
          </w:tcPr>
          <w:p w14:paraId="19324901">
            <w:pPr>
              <w:spacing w:line="360" w:lineRule="auto"/>
              <w:jc w:val="both"/>
              <w:rPr>
                <w:rFonts w:ascii="Arial" w:hAnsi="Arial" w:cs="Arial"/>
                <w:sz w:val="22"/>
                <w:szCs w:val="22"/>
                <w:u w:val="single"/>
              </w:rPr>
            </w:pPr>
            <w:r>
              <w:rPr>
                <w:rFonts w:ascii="Arial" w:hAnsi="Arial" w:cs="Arial"/>
                <w:sz w:val="22"/>
                <w:szCs w:val="22"/>
                <w:u w:val="single"/>
              </w:rPr>
              <w:t xml:space="preserve">CLORIDRATO DE AMITRIPTILINA 10MG </w:t>
            </w:r>
          </w:p>
        </w:tc>
        <w:tc>
          <w:tcPr>
            <w:tcW w:w="1803" w:type="dxa"/>
          </w:tcPr>
          <w:p w14:paraId="39277C23">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3AD21D36">
            <w:pPr>
              <w:spacing w:line="360" w:lineRule="auto"/>
              <w:jc w:val="center"/>
              <w:rPr>
                <w:rFonts w:ascii="Arial" w:hAnsi="Arial" w:cs="Arial"/>
                <w:sz w:val="22"/>
                <w:szCs w:val="22"/>
                <w:u w:val="single"/>
              </w:rPr>
            </w:pPr>
            <w:r>
              <w:rPr>
                <w:rFonts w:ascii="Arial" w:hAnsi="Arial" w:cs="Arial"/>
                <w:sz w:val="22"/>
                <w:szCs w:val="22"/>
              </w:rPr>
              <w:t>12960</w:t>
            </w:r>
          </w:p>
        </w:tc>
        <w:tc>
          <w:tcPr>
            <w:tcW w:w="1319" w:type="dxa"/>
          </w:tcPr>
          <w:p w14:paraId="29B779EF">
            <w:pPr>
              <w:spacing w:line="360" w:lineRule="auto"/>
              <w:ind w:left="720" w:hanging="720"/>
              <w:jc w:val="center"/>
              <w:rPr>
                <w:rFonts w:ascii="Arial" w:hAnsi="Arial" w:cs="Arial"/>
                <w:sz w:val="22"/>
                <w:szCs w:val="22"/>
                <w:u w:val="single"/>
              </w:rPr>
            </w:pPr>
            <w:r>
              <w:rPr>
                <w:rFonts w:ascii="Arial" w:hAnsi="Arial" w:cs="Arial"/>
                <w:sz w:val="22"/>
                <w:szCs w:val="22"/>
                <w:u w:val="single"/>
              </w:rPr>
              <w:t>0,64</w:t>
            </w:r>
          </w:p>
        </w:tc>
      </w:tr>
      <w:tr w14:paraId="1DB0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2EAA2E81">
            <w:pPr>
              <w:spacing w:line="360" w:lineRule="auto"/>
              <w:jc w:val="center"/>
              <w:rPr>
                <w:rFonts w:ascii="Arial" w:hAnsi="Arial" w:cs="Arial"/>
                <w:sz w:val="22"/>
                <w:szCs w:val="22"/>
                <w:u w:val="single"/>
              </w:rPr>
            </w:pPr>
          </w:p>
          <w:p w14:paraId="51C6D69D">
            <w:pPr>
              <w:spacing w:line="360" w:lineRule="auto"/>
              <w:jc w:val="center"/>
              <w:rPr>
                <w:rFonts w:ascii="Arial" w:hAnsi="Arial" w:cs="Arial"/>
                <w:sz w:val="22"/>
                <w:szCs w:val="22"/>
                <w:u w:val="single"/>
              </w:rPr>
            </w:pPr>
            <w:r>
              <w:rPr>
                <w:rFonts w:ascii="Arial" w:hAnsi="Arial" w:cs="Arial"/>
                <w:sz w:val="22"/>
                <w:szCs w:val="22"/>
                <w:u w:val="single"/>
              </w:rPr>
              <w:t>14</w:t>
            </w:r>
          </w:p>
        </w:tc>
        <w:tc>
          <w:tcPr>
            <w:tcW w:w="3441" w:type="dxa"/>
          </w:tcPr>
          <w:p w14:paraId="54243760">
            <w:pPr>
              <w:spacing w:line="360" w:lineRule="auto"/>
              <w:jc w:val="both"/>
              <w:rPr>
                <w:rFonts w:ascii="Arial" w:hAnsi="Arial" w:cs="Arial"/>
                <w:sz w:val="22"/>
                <w:szCs w:val="22"/>
                <w:u w:val="single"/>
              </w:rPr>
            </w:pPr>
            <w:r>
              <w:rPr>
                <w:rFonts w:ascii="Arial" w:hAnsi="Arial" w:cs="Arial"/>
                <w:sz w:val="22"/>
                <w:szCs w:val="22"/>
                <w:u w:val="single"/>
              </w:rPr>
              <w:t xml:space="preserve">CLORIDRATO DE AMITRIPTILINA 25MG </w:t>
            </w:r>
          </w:p>
        </w:tc>
        <w:tc>
          <w:tcPr>
            <w:tcW w:w="1803" w:type="dxa"/>
          </w:tcPr>
          <w:p w14:paraId="0C6D3EC3">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60D6CFF">
            <w:pPr>
              <w:spacing w:line="360" w:lineRule="auto"/>
              <w:jc w:val="center"/>
              <w:rPr>
                <w:rFonts w:ascii="Arial" w:hAnsi="Arial" w:cs="Arial"/>
                <w:sz w:val="22"/>
                <w:szCs w:val="22"/>
                <w:u w:val="single"/>
              </w:rPr>
            </w:pPr>
            <w:r>
              <w:rPr>
                <w:rFonts w:ascii="Arial" w:hAnsi="Arial" w:cs="Arial"/>
                <w:sz w:val="22"/>
                <w:szCs w:val="22"/>
              </w:rPr>
              <w:t>62640</w:t>
            </w:r>
          </w:p>
        </w:tc>
        <w:tc>
          <w:tcPr>
            <w:tcW w:w="1319" w:type="dxa"/>
          </w:tcPr>
          <w:p w14:paraId="5C1B4847">
            <w:pPr>
              <w:spacing w:line="360" w:lineRule="auto"/>
              <w:ind w:left="720" w:hanging="720"/>
              <w:jc w:val="center"/>
              <w:rPr>
                <w:rFonts w:ascii="Arial" w:hAnsi="Arial" w:cs="Arial"/>
                <w:sz w:val="22"/>
                <w:szCs w:val="22"/>
                <w:u w:val="single"/>
              </w:rPr>
            </w:pPr>
            <w:r>
              <w:rPr>
                <w:rFonts w:ascii="Arial" w:hAnsi="Arial" w:cs="Arial"/>
                <w:sz w:val="22"/>
                <w:szCs w:val="22"/>
                <w:u w:val="single"/>
              </w:rPr>
              <w:t>0,11</w:t>
            </w:r>
          </w:p>
        </w:tc>
      </w:tr>
      <w:tr w14:paraId="1E9F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205880CA">
            <w:pPr>
              <w:spacing w:line="360" w:lineRule="auto"/>
              <w:jc w:val="center"/>
              <w:rPr>
                <w:rFonts w:ascii="Arial" w:hAnsi="Arial" w:cs="Arial"/>
                <w:sz w:val="22"/>
                <w:szCs w:val="22"/>
                <w:u w:val="single"/>
              </w:rPr>
            </w:pPr>
            <w:r>
              <w:rPr>
                <w:rFonts w:ascii="Arial" w:hAnsi="Arial" w:cs="Arial"/>
                <w:sz w:val="22"/>
                <w:szCs w:val="22"/>
                <w:u w:val="single"/>
              </w:rPr>
              <w:t>15</w:t>
            </w:r>
          </w:p>
        </w:tc>
        <w:tc>
          <w:tcPr>
            <w:tcW w:w="3441" w:type="dxa"/>
          </w:tcPr>
          <w:p w14:paraId="7E517EA0">
            <w:pPr>
              <w:spacing w:line="360" w:lineRule="auto"/>
              <w:jc w:val="both"/>
              <w:rPr>
                <w:rFonts w:ascii="Arial" w:hAnsi="Arial" w:cs="Arial"/>
                <w:sz w:val="22"/>
                <w:szCs w:val="22"/>
                <w:u w:val="single"/>
              </w:rPr>
            </w:pPr>
            <w:r>
              <w:rPr>
                <w:rFonts w:ascii="Arial" w:hAnsi="Arial" w:cs="Arial"/>
                <w:sz w:val="22"/>
                <w:szCs w:val="22"/>
                <w:u w:val="single"/>
              </w:rPr>
              <w:t xml:space="preserve">CLORIDRATO DE BIPERIDENO 2MG </w:t>
            </w:r>
          </w:p>
        </w:tc>
        <w:tc>
          <w:tcPr>
            <w:tcW w:w="1803" w:type="dxa"/>
          </w:tcPr>
          <w:p w14:paraId="1773B7A3">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4D58B744">
            <w:pPr>
              <w:spacing w:line="360" w:lineRule="auto"/>
              <w:jc w:val="center"/>
              <w:rPr>
                <w:rFonts w:ascii="Arial" w:hAnsi="Arial" w:cs="Arial"/>
                <w:sz w:val="22"/>
                <w:szCs w:val="22"/>
                <w:u w:val="single"/>
              </w:rPr>
            </w:pPr>
            <w:r>
              <w:rPr>
                <w:rFonts w:ascii="Arial" w:hAnsi="Arial" w:cs="Arial"/>
                <w:sz w:val="22"/>
                <w:szCs w:val="22"/>
              </w:rPr>
              <w:t>2880</w:t>
            </w:r>
          </w:p>
        </w:tc>
        <w:tc>
          <w:tcPr>
            <w:tcW w:w="1319" w:type="dxa"/>
          </w:tcPr>
          <w:p w14:paraId="5F7B7761">
            <w:pPr>
              <w:spacing w:line="360" w:lineRule="auto"/>
              <w:ind w:left="720" w:hanging="720"/>
              <w:jc w:val="center"/>
              <w:rPr>
                <w:rFonts w:ascii="Arial" w:hAnsi="Arial" w:cs="Arial"/>
                <w:sz w:val="22"/>
                <w:szCs w:val="22"/>
                <w:u w:val="single"/>
              </w:rPr>
            </w:pPr>
            <w:r>
              <w:rPr>
                <w:rFonts w:ascii="Arial" w:hAnsi="Arial" w:cs="Arial"/>
                <w:sz w:val="22"/>
                <w:szCs w:val="22"/>
                <w:u w:val="single"/>
              </w:rPr>
              <w:t>0,35</w:t>
            </w:r>
          </w:p>
        </w:tc>
      </w:tr>
      <w:tr w14:paraId="6E81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6F20D8AC">
            <w:pPr>
              <w:spacing w:line="360" w:lineRule="auto"/>
              <w:jc w:val="center"/>
              <w:rPr>
                <w:rFonts w:ascii="Arial" w:hAnsi="Arial" w:cs="Arial"/>
                <w:sz w:val="22"/>
                <w:szCs w:val="22"/>
                <w:u w:val="single"/>
              </w:rPr>
            </w:pPr>
            <w:r>
              <w:rPr>
                <w:rFonts w:ascii="Arial" w:hAnsi="Arial" w:cs="Arial"/>
                <w:sz w:val="22"/>
                <w:szCs w:val="22"/>
                <w:u w:val="single"/>
              </w:rPr>
              <w:t>16</w:t>
            </w:r>
          </w:p>
        </w:tc>
        <w:tc>
          <w:tcPr>
            <w:tcW w:w="3441" w:type="dxa"/>
          </w:tcPr>
          <w:p w14:paraId="5A2538FE">
            <w:pPr>
              <w:spacing w:line="360" w:lineRule="auto"/>
              <w:jc w:val="both"/>
              <w:rPr>
                <w:rFonts w:ascii="Arial" w:hAnsi="Arial" w:cs="Arial"/>
                <w:sz w:val="22"/>
                <w:szCs w:val="22"/>
                <w:u w:val="single"/>
              </w:rPr>
            </w:pPr>
            <w:r>
              <w:rPr>
                <w:rFonts w:ascii="Arial" w:hAnsi="Arial" w:cs="Arial"/>
                <w:sz w:val="22"/>
                <w:szCs w:val="22"/>
                <w:u w:val="single"/>
              </w:rPr>
              <w:t xml:space="preserve">CLORIDRATO DE FLUOXETINA 20MG </w:t>
            </w:r>
          </w:p>
        </w:tc>
        <w:tc>
          <w:tcPr>
            <w:tcW w:w="1803" w:type="dxa"/>
          </w:tcPr>
          <w:p w14:paraId="61084183">
            <w:pPr>
              <w:spacing w:line="360" w:lineRule="auto"/>
              <w:jc w:val="center"/>
              <w:rPr>
                <w:rFonts w:ascii="Arial" w:hAnsi="Arial" w:cs="Arial"/>
                <w:sz w:val="22"/>
                <w:szCs w:val="22"/>
                <w:u w:val="single"/>
              </w:rPr>
            </w:pPr>
            <w:r>
              <w:rPr>
                <w:rFonts w:ascii="Arial" w:hAnsi="Arial" w:cs="Arial"/>
                <w:sz w:val="22"/>
                <w:szCs w:val="22"/>
              </w:rPr>
              <w:t>CAPSULA</w:t>
            </w:r>
          </w:p>
        </w:tc>
        <w:tc>
          <w:tcPr>
            <w:tcW w:w="1790" w:type="dxa"/>
          </w:tcPr>
          <w:p w14:paraId="14C6253F">
            <w:pPr>
              <w:spacing w:line="360" w:lineRule="auto"/>
              <w:jc w:val="center"/>
              <w:rPr>
                <w:rFonts w:ascii="Arial" w:hAnsi="Arial" w:cs="Arial"/>
                <w:sz w:val="22"/>
                <w:szCs w:val="22"/>
                <w:u w:val="single"/>
              </w:rPr>
            </w:pPr>
            <w:r>
              <w:rPr>
                <w:rFonts w:ascii="Arial" w:hAnsi="Arial" w:cs="Arial"/>
                <w:sz w:val="22"/>
                <w:szCs w:val="22"/>
              </w:rPr>
              <w:t>25200</w:t>
            </w:r>
          </w:p>
        </w:tc>
        <w:tc>
          <w:tcPr>
            <w:tcW w:w="1319" w:type="dxa"/>
          </w:tcPr>
          <w:p w14:paraId="108F8F85">
            <w:pPr>
              <w:spacing w:line="360" w:lineRule="auto"/>
              <w:ind w:left="720" w:hanging="720"/>
              <w:jc w:val="center"/>
              <w:rPr>
                <w:rFonts w:ascii="Arial" w:hAnsi="Arial" w:cs="Arial"/>
                <w:sz w:val="22"/>
                <w:szCs w:val="22"/>
                <w:u w:val="single"/>
              </w:rPr>
            </w:pPr>
            <w:r>
              <w:rPr>
                <w:rFonts w:ascii="Arial" w:hAnsi="Arial" w:cs="Arial"/>
                <w:sz w:val="22"/>
                <w:szCs w:val="22"/>
                <w:u w:val="single"/>
              </w:rPr>
              <w:t>0,11</w:t>
            </w:r>
          </w:p>
        </w:tc>
      </w:tr>
      <w:tr w14:paraId="437B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FC5386B">
            <w:pPr>
              <w:spacing w:line="360" w:lineRule="auto"/>
              <w:jc w:val="center"/>
              <w:rPr>
                <w:rFonts w:ascii="Arial" w:hAnsi="Arial" w:cs="Arial"/>
                <w:sz w:val="22"/>
                <w:szCs w:val="22"/>
                <w:u w:val="single"/>
              </w:rPr>
            </w:pPr>
            <w:r>
              <w:rPr>
                <w:rFonts w:ascii="Arial" w:hAnsi="Arial" w:cs="Arial"/>
                <w:sz w:val="22"/>
                <w:szCs w:val="22"/>
                <w:u w:val="single"/>
              </w:rPr>
              <w:t>17</w:t>
            </w:r>
          </w:p>
        </w:tc>
        <w:tc>
          <w:tcPr>
            <w:tcW w:w="3441" w:type="dxa"/>
          </w:tcPr>
          <w:p w14:paraId="4C125EAD">
            <w:pPr>
              <w:spacing w:line="360" w:lineRule="auto"/>
              <w:jc w:val="both"/>
              <w:rPr>
                <w:rFonts w:ascii="Arial" w:hAnsi="Arial" w:cs="Arial"/>
                <w:sz w:val="22"/>
                <w:szCs w:val="22"/>
                <w:u w:val="single"/>
              </w:rPr>
            </w:pPr>
            <w:r>
              <w:rPr>
                <w:rFonts w:ascii="Arial" w:hAnsi="Arial" w:cs="Arial"/>
                <w:sz w:val="22"/>
                <w:szCs w:val="22"/>
                <w:u w:val="single"/>
              </w:rPr>
              <w:t xml:space="preserve">CLORIDRATO DE SERTRALINA 25MG </w:t>
            </w:r>
          </w:p>
        </w:tc>
        <w:tc>
          <w:tcPr>
            <w:tcW w:w="1803" w:type="dxa"/>
          </w:tcPr>
          <w:p w14:paraId="77C6EBC9">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25506F2A">
            <w:pPr>
              <w:spacing w:line="360" w:lineRule="auto"/>
              <w:jc w:val="center"/>
              <w:rPr>
                <w:rFonts w:ascii="Arial" w:hAnsi="Arial" w:cs="Arial"/>
                <w:sz w:val="22"/>
                <w:szCs w:val="22"/>
                <w:u w:val="single"/>
              </w:rPr>
            </w:pPr>
            <w:r>
              <w:rPr>
                <w:rFonts w:ascii="Arial" w:hAnsi="Arial" w:cs="Arial"/>
                <w:sz w:val="22"/>
                <w:szCs w:val="22"/>
              </w:rPr>
              <w:t>31680</w:t>
            </w:r>
          </w:p>
        </w:tc>
        <w:tc>
          <w:tcPr>
            <w:tcW w:w="1319" w:type="dxa"/>
          </w:tcPr>
          <w:p w14:paraId="19C55C87">
            <w:pPr>
              <w:spacing w:line="360" w:lineRule="auto"/>
              <w:ind w:left="720" w:hanging="720"/>
              <w:jc w:val="center"/>
              <w:rPr>
                <w:rFonts w:ascii="Arial" w:hAnsi="Arial" w:cs="Arial"/>
                <w:sz w:val="22"/>
                <w:szCs w:val="22"/>
                <w:u w:val="single"/>
              </w:rPr>
            </w:pPr>
            <w:r>
              <w:rPr>
                <w:rFonts w:ascii="Arial" w:hAnsi="Arial" w:cs="Arial"/>
                <w:sz w:val="22"/>
                <w:szCs w:val="22"/>
                <w:u w:val="single"/>
              </w:rPr>
              <w:t>1,43</w:t>
            </w:r>
          </w:p>
        </w:tc>
      </w:tr>
      <w:tr w14:paraId="0E2F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6DF915BC">
            <w:pPr>
              <w:spacing w:line="360" w:lineRule="auto"/>
              <w:jc w:val="center"/>
              <w:rPr>
                <w:rFonts w:ascii="Arial" w:hAnsi="Arial" w:cs="Arial"/>
                <w:sz w:val="22"/>
                <w:szCs w:val="22"/>
                <w:u w:val="single"/>
              </w:rPr>
            </w:pPr>
            <w:r>
              <w:rPr>
                <w:rFonts w:ascii="Arial" w:hAnsi="Arial" w:cs="Arial"/>
                <w:sz w:val="22"/>
                <w:szCs w:val="22"/>
                <w:u w:val="single"/>
              </w:rPr>
              <w:t>18</w:t>
            </w:r>
          </w:p>
        </w:tc>
        <w:tc>
          <w:tcPr>
            <w:tcW w:w="3441" w:type="dxa"/>
          </w:tcPr>
          <w:p w14:paraId="07C3D179">
            <w:pPr>
              <w:spacing w:line="360" w:lineRule="auto"/>
              <w:jc w:val="both"/>
              <w:rPr>
                <w:rFonts w:ascii="Arial" w:hAnsi="Arial" w:cs="Arial"/>
                <w:sz w:val="22"/>
                <w:szCs w:val="22"/>
                <w:u w:val="single"/>
              </w:rPr>
            </w:pPr>
            <w:r>
              <w:rPr>
                <w:rFonts w:ascii="Arial" w:hAnsi="Arial" w:cs="Arial"/>
                <w:sz w:val="22"/>
                <w:szCs w:val="22"/>
                <w:u w:val="single"/>
              </w:rPr>
              <w:t xml:space="preserve">CLORIDRATO DE SERTRALINA 50MG </w:t>
            </w:r>
          </w:p>
        </w:tc>
        <w:tc>
          <w:tcPr>
            <w:tcW w:w="1803" w:type="dxa"/>
          </w:tcPr>
          <w:p w14:paraId="7E47D250">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245C5295">
            <w:pPr>
              <w:spacing w:line="360" w:lineRule="auto"/>
              <w:jc w:val="center"/>
              <w:rPr>
                <w:rFonts w:ascii="Arial" w:hAnsi="Arial" w:cs="Arial"/>
                <w:sz w:val="22"/>
                <w:szCs w:val="22"/>
                <w:u w:val="single"/>
              </w:rPr>
            </w:pPr>
            <w:r>
              <w:rPr>
                <w:rFonts w:ascii="Arial" w:hAnsi="Arial" w:cs="Arial"/>
                <w:sz w:val="22"/>
                <w:szCs w:val="22"/>
              </w:rPr>
              <w:t>47520</w:t>
            </w:r>
          </w:p>
        </w:tc>
        <w:tc>
          <w:tcPr>
            <w:tcW w:w="1319" w:type="dxa"/>
          </w:tcPr>
          <w:p w14:paraId="04D8DA00">
            <w:pPr>
              <w:spacing w:line="360" w:lineRule="auto"/>
              <w:ind w:left="720" w:hanging="720"/>
              <w:jc w:val="center"/>
              <w:rPr>
                <w:rFonts w:ascii="Arial" w:hAnsi="Arial" w:cs="Arial"/>
                <w:sz w:val="22"/>
                <w:szCs w:val="22"/>
                <w:u w:val="single"/>
              </w:rPr>
            </w:pPr>
            <w:r>
              <w:rPr>
                <w:rFonts w:ascii="Arial" w:hAnsi="Arial" w:cs="Arial"/>
                <w:sz w:val="22"/>
                <w:szCs w:val="22"/>
                <w:u w:val="single"/>
              </w:rPr>
              <w:t>0,64</w:t>
            </w:r>
          </w:p>
        </w:tc>
      </w:tr>
      <w:tr w14:paraId="1FC3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F43E253">
            <w:pPr>
              <w:spacing w:line="360" w:lineRule="auto"/>
              <w:jc w:val="center"/>
              <w:rPr>
                <w:rFonts w:ascii="Arial" w:hAnsi="Arial" w:cs="Arial"/>
                <w:sz w:val="22"/>
                <w:szCs w:val="22"/>
                <w:u w:val="single"/>
              </w:rPr>
            </w:pPr>
            <w:r>
              <w:rPr>
                <w:rFonts w:ascii="Arial" w:hAnsi="Arial" w:cs="Arial"/>
                <w:sz w:val="22"/>
                <w:szCs w:val="22"/>
                <w:u w:val="single"/>
              </w:rPr>
              <w:t>19</w:t>
            </w:r>
          </w:p>
        </w:tc>
        <w:tc>
          <w:tcPr>
            <w:tcW w:w="3441" w:type="dxa"/>
          </w:tcPr>
          <w:p w14:paraId="4A4E8256">
            <w:pPr>
              <w:spacing w:line="360" w:lineRule="auto"/>
              <w:jc w:val="both"/>
              <w:rPr>
                <w:rFonts w:ascii="Arial" w:hAnsi="Arial" w:cs="Arial"/>
                <w:sz w:val="22"/>
                <w:szCs w:val="22"/>
                <w:u w:val="single"/>
              </w:rPr>
            </w:pPr>
            <w:r>
              <w:rPr>
                <w:rFonts w:ascii="Arial" w:hAnsi="Arial" w:cs="Arial"/>
                <w:sz w:val="22"/>
                <w:szCs w:val="22"/>
                <w:u w:val="single"/>
              </w:rPr>
              <w:t xml:space="preserve">CLORIDRATO DE TRAMADOL 50MG </w:t>
            </w:r>
          </w:p>
        </w:tc>
        <w:tc>
          <w:tcPr>
            <w:tcW w:w="1803" w:type="dxa"/>
          </w:tcPr>
          <w:p w14:paraId="40EB0492">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31B1B06">
            <w:pPr>
              <w:spacing w:line="360" w:lineRule="auto"/>
              <w:jc w:val="center"/>
              <w:rPr>
                <w:rFonts w:ascii="Arial" w:hAnsi="Arial" w:cs="Arial"/>
                <w:sz w:val="22"/>
                <w:szCs w:val="22"/>
                <w:u w:val="single"/>
              </w:rPr>
            </w:pPr>
            <w:r>
              <w:rPr>
                <w:rFonts w:ascii="Arial" w:hAnsi="Arial" w:cs="Arial"/>
                <w:sz w:val="22"/>
                <w:szCs w:val="22"/>
              </w:rPr>
              <w:t>3360</w:t>
            </w:r>
          </w:p>
        </w:tc>
        <w:tc>
          <w:tcPr>
            <w:tcW w:w="1319" w:type="dxa"/>
          </w:tcPr>
          <w:p w14:paraId="11E881AF">
            <w:pPr>
              <w:spacing w:line="360" w:lineRule="auto"/>
              <w:ind w:left="720" w:hanging="720"/>
              <w:jc w:val="center"/>
              <w:rPr>
                <w:rFonts w:ascii="Arial" w:hAnsi="Arial" w:cs="Arial"/>
                <w:sz w:val="22"/>
                <w:szCs w:val="22"/>
                <w:u w:val="single"/>
              </w:rPr>
            </w:pPr>
            <w:r>
              <w:rPr>
                <w:rFonts w:ascii="Arial" w:hAnsi="Arial" w:cs="Arial"/>
                <w:sz w:val="22"/>
                <w:szCs w:val="22"/>
                <w:u w:val="single"/>
              </w:rPr>
              <w:t>1,21</w:t>
            </w:r>
          </w:p>
        </w:tc>
      </w:tr>
      <w:tr w14:paraId="34C0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7C8E843">
            <w:pPr>
              <w:spacing w:line="360" w:lineRule="auto"/>
              <w:jc w:val="center"/>
              <w:rPr>
                <w:rFonts w:ascii="Arial" w:hAnsi="Arial" w:cs="Arial"/>
                <w:sz w:val="22"/>
                <w:szCs w:val="22"/>
                <w:u w:val="single"/>
              </w:rPr>
            </w:pPr>
            <w:r>
              <w:rPr>
                <w:rFonts w:ascii="Arial" w:hAnsi="Arial" w:cs="Arial"/>
                <w:sz w:val="22"/>
                <w:szCs w:val="22"/>
                <w:u w:val="single"/>
              </w:rPr>
              <w:t>20</w:t>
            </w:r>
          </w:p>
        </w:tc>
        <w:tc>
          <w:tcPr>
            <w:tcW w:w="3441" w:type="dxa"/>
          </w:tcPr>
          <w:p w14:paraId="31832A9B">
            <w:pPr>
              <w:spacing w:line="360" w:lineRule="auto"/>
              <w:jc w:val="both"/>
              <w:rPr>
                <w:rFonts w:ascii="Arial" w:hAnsi="Arial" w:cs="Arial"/>
                <w:sz w:val="22"/>
                <w:szCs w:val="22"/>
                <w:u w:val="single"/>
              </w:rPr>
            </w:pPr>
            <w:r>
              <w:rPr>
                <w:rFonts w:ascii="Arial" w:hAnsi="Arial" w:cs="Arial"/>
                <w:sz w:val="22"/>
                <w:szCs w:val="22"/>
                <w:u w:val="single"/>
              </w:rPr>
              <w:t xml:space="preserve">CLORIDRATO DE TRAZODONA 50MG </w:t>
            </w:r>
          </w:p>
        </w:tc>
        <w:tc>
          <w:tcPr>
            <w:tcW w:w="1803" w:type="dxa"/>
          </w:tcPr>
          <w:p w14:paraId="1006551A">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DFB8349">
            <w:pPr>
              <w:spacing w:line="360" w:lineRule="auto"/>
              <w:jc w:val="center"/>
              <w:rPr>
                <w:rFonts w:ascii="Arial" w:hAnsi="Arial" w:cs="Arial"/>
                <w:sz w:val="22"/>
                <w:szCs w:val="22"/>
                <w:u w:val="single"/>
              </w:rPr>
            </w:pPr>
            <w:r>
              <w:rPr>
                <w:rFonts w:ascii="Arial" w:hAnsi="Arial" w:cs="Arial"/>
                <w:sz w:val="22"/>
                <w:szCs w:val="22"/>
              </w:rPr>
              <w:t>10800</w:t>
            </w:r>
          </w:p>
        </w:tc>
        <w:tc>
          <w:tcPr>
            <w:tcW w:w="1319" w:type="dxa"/>
          </w:tcPr>
          <w:p w14:paraId="14E8743E">
            <w:pPr>
              <w:spacing w:line="360" w:lineRule="auto"/>
              <w:ind w:left="720" w:hanging="720"/>
              <w:jc w:val="center"/>
              <w:rPr>
                <w:rFonts w:ascii="Arial" w:hAnsi="Arial" w:cs="Arial"/>
                <w:sz w:val="22"/>
                <w:szCs w:val="22"/>
                <w:u w:val="single"/>
              </w:rPr>
            </w:pPr>
            <w:r>
              <w:rPr>
                <w:rFonts w:ascii="Arial" w:hAnsi="Arial" w:cs="Arial"/>
                <w:sz w:val="22"/>
                <w:szCs w:val="22"/>
                <w:u w:val="single"/>
              </w:rPr>
              <w:t>0,28</w:t>
            </w:r>
          </w:p>
        </w:tc>
      </w:tr>
      <w:tr w14:paraId="1479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D1E268E">
            <w:pPr>
              <w:spacing w:line="360" w:lineRule="auto"/>
              <w:jc w:val="center"/>
              <w:rPr>
                <w:rFonts w:ascii="Arial" w:hAnsi="Arial" w:cs="Arial"/>
                <w:sz w:val="22"/>
                <w:szCs w:val="22"/>
                <w:u w:val="single"/>
              </w:rPr>
            </w:pPr>
            <w:r>
              <w:rPr>
                <w:rFonts w:ascii="Arial" w:hAnsi="Arial" w:cs="Arial"/>
                <w:sz w:val="22"/>
                <w:szCs w:val="22"/>
                <w:u w:val="single"/>
              </w:rPr>
              <w:t>21</w:t>
            </w:r>
          </w:p>
        </w:tc>
        <w:tc>
          <w:tcPr>
            <w:tcW w:w="3441" w:type="dxa"/>
          </w:tcPr>
          <w:p w14:paraId="18B9F57F">
            <w:pPr>
              <w:spacing w:line="360" w:lineRule="auto"/>
              <w:jc w:val="both"/>
              <w:rPr>
                <w:rFonts w:ascii="Arial" w:hAnsi="Arial" w:cs="Arial"/>
                <w:sz w:val="22"/>
                <w:szCs w:val="22"/>
                <w:u w:val="single"/>
              </w:rPr>
            </w:pPr>
            <w:r>
              <w:rPr>
                <w:rFonts w:ascii="Arial" w:hAnsi="Arial" w:cs="Arial"/>
                <w:sz w:val="22"/>
                <w:szCs w:val="22"/>
                <w:u w:val="single"/>
              </w:rPr>
              <w:t xml:space="preserve">CLORIDRATO DE VENLAFAXINA 75MG </w:t>
            </w:r>
          </w:p>
        </w:tc>
        <w:tc>
          <w:tcPr>
            <w:tcW w:w="1803" w:type="dxa"/>
          </w:tcPr>
          <w:p w14:paraId="310BCFCC">
            <w:pPr>
              <w:spacing w:line="360" w:lineRule="auto"/>
              <w:jc w:val="center"/>
              <w:rPr>
                <w:rFonts w:ascii="Arial" w:hAnsi="Arial" w:cs="Arial"/>
                <w:sz w:val="22"/>
                <w:szCs w:val="22"/>
                <w:u w:val="single"/>
              </w:rPr>
            </w:pPr>
            <w:r>
              <w:rPr>
                <w:rFonts w:ascii="Arial" w:hAnsi="Arial" w:cs="Arial"/>
                <w:sz w:val="22"/>
                <w:szCs w:val="22"/>
              </w:rPr>
              <w:t>CAPSULA</w:t>
            </w:r>
          </w:p>
        </w:tc>
        <w:tc>
          <w:tcPr>
            <w:tcW w:w="1790" w:type="dxa"/>
          </w:tcPr>
          <w:p w14:paraId="2D2F839A">
            <w:pPr>
              <w:spacing w:line="360" w:lineRule="auto"/>
              <w:jc w:val="center"/>
              <w:rPr>
                <w:rFonts w:ascii="Arial" w:hAnsi="Arial" w:cs="Arial"/>
                <w:sz w:val="22"/>
                <w:szCs w:val="22"/>
                <w:u w:val="single"/>
              </w:rPr>
            </w:pPr>
            <w:r>
              <w:rPr>
                <w:rFonts w:ascii="Arial" w:hAnsi="Arial" w:cs="Arial"/>
                <w:sz w:val="22"/>
                <w:szCs w:val="22"/>
              </w:rPr>
              <w:t>10080</w:t>
            </w:r>
          </w:p>
        </w:tc>
        <w:tc>
          <w:tcPr>
            <w:tcW w:w="1319" w:type="dxa"/>
          </w:tcPr>
          <w:p w14:paraId="12D87128">
            <w:pPr>
              <w:spacing w:line="360" w:lineRule="auto"/>
              <w:ind w:left="720" w:hanging="720"/>
              <w:jc w:val="center"/>
              <w:rPr>
                <w:rFonts w:ascii="Arial" w:hAnsi="Arial" w:cs="Arial"/>
                <w:sz w:val="22"/>
                <w:szCs w:val="22"/>
                <w:u w:val="single"/>
              </w:rPr>
            </w:pPr>
            <w:r>
              <w:rPr>
                <w:rFonts w:ascii="Arial" w:hAnsi="Arial" w:cs="Arial"/>
                <w:sz w:val="22"/>
                <w:szCs w:val="22"/>
                <w:u w:val="single"/>
              </w:rPr>
              <w:t>0,57</w:t>
            </w:r>
          </w:p>
        </w:tc>
      </w:tr>
      <w:tr w14:paraId="7A22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EC3D457">
            <w:pPr>
              <w:spacing w:line="360" w:lineRule="auto"/>
              <w:jc w:val="center"/>
              <w:rPr>
                <w:rFonts w:ascii="Arial" w:hAnsi="Arial" w:cs="Arial"/>
                <w:sz w:val="22"/>
                <w:szCs w:val="22"/>
                <w:u w:val="single"/>
              </w:rPr>
            </w:pPr>
            <w:r>
              <w:rPr>
                <w:rFonts w:ascii="Arial" w:hAnsi="Arial" w:cs="Arial"/>
                <w:sz w:val="22"/>
                <w:szCs w:val="22"/>
                <w:u w:val="single"/>
              </w:rPr>
              <w:t>22</w:t>
            </w:r>
          </w:p>
        </w:tc>
        <w:tc>
          <w:tcPr>
            <w:tcW w:w="3441" w:type="dxa"/>
          </w:tcPr>
          <w:p w14:paraId="59B5C666">
            <w:pPr>
              <w:spacing w:line="360" w:lineRule="auto"/>
              <w:jc w:val="both"/>
              <w:rPr>
                <w:rFonts w:ascii="Arial" w:hAnsi="Arial" w:cs="Arial"/>
                <w:sz w:val="22"/>
                <w:szCs w:val="22"/>
                <w:u w:val="single"/>
              </w:rPr>
            </w:pPr>
            <w:r>
              <w:rPr>
                <w:rFonts w:ascii="Arial" w:hAnsi="Arial" w:cs="Arial"/>
                <w:sz w:val="22"/>
                <w:szCs w:val="22"/>
                <w:u w:val="single"/>
              </w:rPr>
              <w:t xml:space="preserve">CODEINA + PARACETAMOL (30+500MG) </w:t>
            </w:r>
          </w:p>
        </w:tc>
        <w:tc>
          <w:tcPr>
            <w:tcW w:w="1803" w:type="dxa"/>
          </w:tcPr>
          <w:p w14:paraId="2D892B1F">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0248059A">
            <w:pPr>
              <w:spacing w:line="360" w:lineRule="auto"/>
              <w:jc w:val="center"/>
              <w:rPr>
                <w:rFonts w:ascii="Arial" w:hAnsi="Arial" w:cs="Arial"/>
                <w:sz w:val="22"/>
                <w:szCs w:val="22"/>
                <w:u w:val="single"/>
              </w:rPr>
            </w:pPr>
            <w:r>
              <w:rPr>
                <w:rFonts w:ascii="Arial" w:hAnsi="Arial" w:cs="Arial"/>
                <w:sz w:val="22"/>
                <w:szCs w:val="22"/>
              </w:rPr>
              <w:t>2880</w:t>
            </w:r>
          </w:p>
        </w:tc>
        <w:tc>
          <w:tcPr>
            <w:tcW w:w="1319" w:type="dxa"/>
          </w:tcPr>
          <w:p w14:paraId="200BA769">
            <w:pPr>
              <w:spacing w:line="360" w:lineRule="auto"/>
              <w:ind w:left="720" w:hanging="720"/>
              <w:jc w:val="center"/>
              <w:rPr>
                <w:rFonts w:ascii="Arial" w:hAnsi="Arial" w:cs="Arial"/>
                <w:sz w:val="22"/>
                <w:szCs w:val="22"/>
                <w:u w:val="single"/>
              </w:rPr>
            </w:pPr>
            <w:r>
              <w:rPr>
                <w:rFonts w:ascii="Arial" w:hAnsi="Arial" w:cs="Arial"/>
                <w:sz w:val="22"/>
                <w:szCs w:val="22"/>
                <w:u w:val="single"/>
              </w:rPr>
              <w:t>0,49</w:t>
            </w:r>
          </w:p>
        </w:tc>
      </w:tr>
      <w:tr w14:paraId="07CE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A0DC6CF">
            <w:pPr>
              <w:spacing w:line="360" w:lineRule="auto"/>
              <w:jc w:val="center"/>
              <w:rPr>
                <w:rFonts w:ascii="Arial" w:hAnsi="Arial" w:cs="Arial"/>
                <w:sz w:val="22"/>
                <w:szCs w:val="22"/>
                <w:u w:val="single"/>
              </w:rPr>
            </w:pPr>
            <w:r>
              <w:rPr>
                <w:rFonts w:ascii="Arial" w:hAnsi="Arial" w:cs="Arial"/>
                <w:sz w:val="22"/>
                <w:szCs w:val="22"/>
                <w:u w:val="single"/>
              </w:rPr>
              <w:t>23</w:t>
            </w:r>
          </w:p>
        </w:tc>
        <w:tc>
          <w:tcPr>
            <w:tcW w:w="3441" w:type="dxa"/>
          </w:tcPr>
          <w:p w14:paraId="4D90B68F">
            <w:pPr>
              <w:spacing w:line="360" w:lineRule="auto"/>
              <w:jc w:val="both"/>
              <w:rPr>
                <w:rFonts w:ascii="Arial" w:hAnsi="Arial" w:cs="Arial"/>
                <w:sz w:val="22"/>
                <w:szCs w:val="22"/>
                <w:u w:val="single"/>
              </w:rPr>
            </w:pPr>
            <w:r>
              <w:rPr>
                <w:rFonts w:ascii="Arial" w:hAnsi="Arial" w:cs="Arial"/>
                <w:sz w:val="22"/>
                <w:szCs w:val="22"/>
                <w:u w:val="single"/>
              </w:rPr>
              <w:t xml:space="preserve">DIAZEPAM 5MG  </w:t>
            </w:r>
          </w:p>
        </w:tc>
        <w:tc>
          <w:tcPr>
            <w:tcW w:w="1803" w:type="dxa"/>
          </w:tcPr>
          <w:p w14:paraId="43B8711A">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5D7D488">
            <w:pPr>
              <w:spacing w:line="360" w:lineRule="auto"/>
              <w:jc w:val="center"/>
              <w:rPr>
                <w:rFonts w:ascii="Arial" w:hAnsi="Arial" w:cs="Arial"/>
                <w:sz w:val="22"/>
                <w:szCs w:val="22"/>
                <w:u w:val="single"/>
              </w:rPr>
            </w:pPr>
            <w:r>
              <w:rPr>
                <w:rFonts w:ascii="Arial" w:hAnsi="Arial" w:cs="Arial"/>
                <w:sz w:val="22"/>
                <w:szCs w:val="22"/>
              </w:rPr>
              <w:t>1800</w:t>
            </w:r>
          </w:p>
        </w:tc>
        <w:tc>
          <w:tcPr>
            <w:tcW w:w="1319" w:type="dxa"/>
          </w:tcPr>
          <w:p w14:paraId="14010FF8">
            <w:pPr>
              <w:spacing w:line="360" w:lineRule="auto"/>
              <w:ind w:left="720" w:hanging="720"/>
              <w:jc w:val="center"/>
              <w:rPr>
                <w:rFonts w:ascii="Arial" w:hAnsi="Arial" w:cs="Arial"/>
                <w:sz w:val="22"/>
                <w:szCs w:val="22"/>
                <w:u w:val="single"/>
              </w:rPr>
            </w:pPr>
            <w:r>
              <w:rPr>
                <w:rFonts w:ascii="Arial" w:hAnsi="Arial" w:cs="Arial"/>
                <w:sz w:val="22"/>
                <w:szCs w:val="22"/>
                <w:u w:val="single"/>
              </w:rPr>
              <w:t>0,08</w:t>
            </w:r>
          </w:p>
        </w:tc>
      </w:tr>
      <w:tr w14:paraId="136B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1F2B755">
            <w:pPr>
              <w:spacing w:line="360" w:lineRule="auto"/>
              <w:jc w:val="center"/>
              <w:rPr>
                <w:rFonts w:ascii="Arial" w:hAnsi="Arial" w:cs="Arial"/>
                <w:sz w:val="22"/>
                <w:szCs w:val="22"/>
                <w:u w:val="single"/>
              </w:rPr>
            </w:pPr>
            <w:r>
              <w:rPr>
                <w:rFonts w:ascii="Arial" w:hAnsi="Arial" w:cs="Arial"/>
                <w:sz w:val="22"/>
                <w:szCs w:val="22"/>
                <w:u w:val="single"/>
              </w:rPr>
              <w:t>24</w:t>
            </w:r>
          </w:p>
        </w:tc>
        <w:tc>
          <w:tcPr>
            <w:tcW w:w="3441" w:type="dxa"/>
          </w:tcPr>
          <w:p w14:paraId="276FFFE3">
            <w:pPr>
              <w:spacing w:line="360" w:lineRule="auto"/>
              <w:jc w:val="both"/>
              <w:rPr>
                <w:rFonts w:ascii="Arial" w:hAnsi="Arial" w:cs="Arial"/>
                <w:sz w:val="22"/>
                <w:szCs w:val="22"/>
                <w:u w:val="single"/>
              </w:rPr>
            </w:pPr>
            <w:r>
              <w:rPr>
                <w:rFonts w:ascii="Arial" w:hAnsi="Arial" w:cs="Arial"/>
                <w:sz w:val="22"/>
                <w:szCs w:val="22"/>
                <w:u w:val="single"/>
              </w:rPr>
              <w:t xml:space="preserve">DIAZEPAM 10MG </w:t>
            </w:r>
          </w:p>
        </w:tc>
        <w:tc>
          <w:tcPr>
            <w:tcW w:w="1803" w:type="dxa"/>
          </w:tcPr>
          <w:p w14:paraId="0EB8704C">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4B8DC5D">
            <w:pPr>
              <w:spacing w:line="360" w:lineRule="auto"/>
              <w:jc w:val="center"/>
              <w:rPr>
                <w:rFonts w:ascii="Arial" w:hAnsi="Arial" w:cs="Arial"/>
                <w:sz w:val="22"/>
                <w:szCs w:val="22"/>
                <w:u w:val="single"/>
              </w:rPr>
            </w:pPr>
            <w:r>
              <w:rPr>
                <w:rFonts w:ascii="Arial" w:hAnsi="Arial" w:cs="Arial"/>
                <w:sz w:val="22"/>
                <w:szCs w:val="22"/>
              </w:rPr>
              <w:t>18720</w:t>
            </w:r>
          </w:p>
        </w:tc>
        <w:tc>
          <w:tcPr>
            <w:tcW w:w="1319" w:type="dxa"/>
          </w:tcPr>
          <w:p w14:paraId="52EAC3EF">
            <w:pPr>
              <w:spacing w:line="360" w:lineRule="auto"/>
              <w:ind w:left="720" w:hanging="720"/>
              <w:jc w:val="center"/>
              <w:rPr>
                <w:rFonts w:ascii="Arial" w:hAnsi="Arial" w:cs="Arial"/>
                <w:sz w:val="22"/>
                <w:szCs w:val="22"/>
                <w:u w:val="single"/>
              </w:rPr>
            </w:pPr>
            <w:r>
              <w:rPr>
                <w:rFonts w:ascii="Arial" w:hAnsi="Arial" w:cs="Arial"/>
                <w:sz w:val="22"/>
                <w:szCs w:val="22"/>
                <w:u w:val="single"/>
              </w:rPr>
              <w:t>0,08</w:t>
            </w:r>
          </w:p>
        </w:tc>
      </w:tr>
      <w:tr w14:paraId="627C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211D489E">
            <w:pPr>
              <w:spacing w:line="360" w:lineRule="auto"/>
              <w:jc w:val="center"/>
              <w:rPr>
                <w:rFonts w:ascii="Arial" w:hAnsi="Arial" w:cs="Arial"/>
                <w:sz w:val="22"/>
                <w:szCs w:val="22"/>
                <w:u w:val="single"/>
              </w:rPr>
            </w:pPr>
            <w:r>
              <w:rPr>
                <w:rFonts w:ascii="Arial" w:hAnsi="Arial" w:cs="Arial"/>
                <w:sz w:val="22"/>
                <w:szCs w:val="22"/>
                <w:u w:val="single"/>
              </w:rPr>
              <w:t>25</w:t>
            </w:r>
          </w:p>
        </w:tc>
        <w:tc>
          <w:tcPr>
            <w:tcW w:w="3441" w:type="dxa"/>
          </w:tcPr>
          <w:p w14:paraId="7B779E73">
            <w:pPr>
              <w:spacing w:line="360" w:lineRule="auto"/>
              <w:jc w:val="both"/>
              <w:rPr>
                <w:rFonts w:ascii="Arial" w:hAnsi="Arial" w:cs="Arial"/>
                <w:sz w:val="22"/>
                <w:szCs w:val="22"/>
                <w:u w:val="single"/>
              </w:rPr>
            </w:pPr>
            <w:r>
              <w:rPr>
                <w:rFonts w:ascii="Arial" w:hAnsi="Arial" w:cs="Arial"/>
                <w:sz w:val="22"/>
                <w:szCs w:val="22"/>
                <w:u w:val="single"/>
              </w:rPr>
              <w:t xml:space="preserve">DIMESILATO DE LISDEXANFETAMINA 30MG </w:t>
            </w:r>
          </w:p>
        </w:tc>
        <w:tc>
          <w:tcPr>
            <w:tcW w:w="1803" w:type="dxa"/>
          </w:tcPr>
          <w:p w14:paraId="3706A5CD">
            <w:pPr>
              <w:spacing w:line="360" w:lineRule="auto"/>
              <w:jc w:val="center"/>
              <w:rPr>
                <w:rFonts w:ascii="Arial" w:hAnsi="Arial" w:cs="Arial"/>
                <w:sz w:val="22"/>
                <w:szCs w:val="22"/>
                <w:u w:val="single"/>
              </w:rPr>
            </w:pPr>
            <w:r>
              <w:rPr>
                <w:rFonts w:ascii="Arial" w:hAnsi="Arial" w:cs="Arial"/>
                <w:sz w:val="22"/>
                <w:szCs w:val="22"/>
              </w:rPr>
              <w:t>CAPSULA</w:t>
            </w:r>
          </w:p>
        </w:tc>
        <w:tc>
          <w:tcPr>
            <w:tcW w:w="1790" w:type="dxa"/>
          </w:tcPr>
          <w:p w14:paraId="1513856A">
            <w:pPr>
              <w:spacing w:line="360" w:lineRule="auto"/>
              <w:jc w:val="center"/>
              <w:rPr>
                <w:rFonts w:ascii="Arial" w:hAnsi="Arial" w:cs="Arial"/>
                <w:sz w:val="22"/>
                <w:szCs w:val="22"/>
                <w:u w:val="single"/>
              </w:rPr>
            </w:pPr>
            <w:r>
              <w:rPr>
                <w:rFonts w:ascii="Arial" w:hAnsi="Arial" w:cs="Arial"/>
                <w:sz w:val="22"/>
                <w:szCs w:val="22"/>
              </w:rPr>
              <w:t>1440</w:t>
            </w:r>
          </w:p>
        </w:tc>
        <w:tc>
          <w:tcPr>
            <w:tcW w:w="1319" w:type="dxa"/>
          </w:tcPr>
          <w:p w14:paraId="28F1E21D">
            <w:pPr>
              <w:spacing w:line="360" w:lineRule="auto"/>
              <w:ind w:left="720" w:hanging="720"/>
              <w:jc w:val="center"/>
              <w:rPr>
                <w:rFonts w:ascii="Arial" w:hAnsi="Arial" w:cs="Arial"/>
                <w:sz w:val="22"/>
                <w:szCs w:val="22"/>
                <w:u w:val="single"/>
              </w:rPr>
            </w:pPr>
            <w:r>
              <w:rPr>
                <w:rFonts w:ascii="Arial" w:hAnsi="Arial" w:cs="Arial"/>
                <w:sz w:val="22"/>
                <w:szCs w:val="22"/>
                <w:u w:val="single"/>
              </w:rPr>
              <w:t>13,26</w:t>
            </w:r>
          </w:p>
        </w:tc>
      </w:tr>
      <w:tr w14:paraId="03A1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56E11D7">
            <w:pPr>
              <w:spacing w:line="360" w:lineRule="auto"/>
              <w:jc w:val="center"/>
              <w:rPr>
                <w:rFonts w:ascii="Arial" w:hAnsi="Arial" w:cs="Arial"/>
                <w:sz w:val="22"/>
                <w:szCs w:val="22"/>
                <w:u w:val="single"/>
              </w:rPr>
            </w:pPr>
            <w:r>
              <w:rPr>
                <w:rFonts w:ascii="Arial" w:hAnsi="Arial" w:cs="Arial"/>
                <w:sz w:val="22"/>
                <w:szCs w:val="22"/>
                <w:u w:val="single"/>
              </w:rPr>
              <w:t>26</w:t>
            </w:r>
          </w:p>
        </w:tc>
        <w:tc>
          <w:tcPr>
            <w:tcW w:w="3441" w:type="dxa"/>
          </w:tcPr>
          <w:p w14:paraId="7AAF4157">
            <w:pPr>
              <w:spacing w:line="360" w:lineRule="auto"/>
              <w:jc w:val="both"/>
              <w:rPr>
                <w:rFonts w:ascii="Arial" w:hAnsi="Arial" w:cs="Arial"/>
                <w:sz w:val="22"/>
                <w:szCs w:val="22"/>
                <w:u w:val="single"/>
              </w:rPr>
            </w:pPr>
            <w:r>
              <w:rPr>
                <w:rFonts w:ascii="Arial" w:hAnsi="Arial" w:cs="Arial"/>
                <w:sz w:val="22"/>
                <w:szCs w:val="22"/>
                <w:u w:val="single"/>
              </w:rPr>
              <w:t xml:space="preserve">GABAPENTINA 300MG </w:t>
            </w:r>
          </w:p>
        </w:tc>
        <w:tc>
          <w:tcPr>
            <w:tcW w:w="1803" w:type="dxa"/>
          </w:tcPr>
          <w:p w14:paraId="306A9773">
            <w:pPr>
              <w:spacing w:line="360" w:lineRule="auto"/>
              <w:jc w:val="center"/>
              <w:rPr>
                <w:rFonts w:ascii="Arial" w:hAnsi="Arial" w:cs="Arial"/>
                <w:sz w:val="22"/>
                <w:szCs w:val="22"/>
                <w:u w:val="single"/>
              </w:rPr>
            </w:pPr>
            <w:r>
              <w:rPr>
                <w:rFonts w:ascii="Arial" w:hAnsi="Arial" w:cs="Arial"/>
                <w:sz w:val="22"/>
                <w:szCs w:val="22"/>
              </w:rPr>
              <w:t>CAPSULA</w:t>
            </w:r>
          </w:p>
        </w:tc>
        <w:tc>
          <w:tcPr>
            <w:tcW w:w="1790" w:type="dxa"/>
          </w:tcPr>
          <w:p w14:paraId="0440DF89">
            <w:pPr>
              <w:spacing w:line="360" w:lineRule="auto"/>
              <w:jc w:val="center"/>
              <w:rPr>
                <w:rFonts w:ascii="Arial" w:hAnsi="Arial" w:cs="Arial"/>
                <w:sz w:val="22"/>
                <w:szCs w:val="22"/>
                <w:u w:val="single"/>
              </w:rPr>
            </w:pPr>
            <w:r>
              <w:rPr>
                <w:rFonts w:ascii="Arial" w:hAnsi="Arial" w:cs="Arial"/>
                <w:sz w:val="22"/>
                <w:szCs w:val="22"/>
              </w:rPr>
              <w:t>12960</w:t>
            </w:r>
          </w:p>
        </w:tc>
        <w:tc>
          <w:tcPr>
            <w:tcW w:w="1319" w:type="dxa"/>
          </w:tcPr>
          <w:p w14:paraId="47CC4C8E">
            <w:pPr>
              <w:spacing w:line="360" w:lineRule="auto"/>
              <w:ind w:left="720" w:hanging="720"/>
              <w:jc w:val="center"/>
              <w:rPr>
                <w:rFonts w:ascii="Arial" w:hAnsi="Arial" w:cs="Arial"/>
                <w:sz w:val="22"/>
                <w:szCs w:val="22"/>
                <w:u w:val="single"/>
              </w:rPr>
            </w:pPr>
            <w:r>
              <w:rPr>
                <w:rFonts w:ascii="Arial" w:hAnsi="Arial" w:cs="Arial"/>
                <w:sz w:val="22"/>
                <w:szCs w:val="22"/>
                <w:u w:val="single"/>
              </w:rPr>
              <w:t>0,80</w:t>
            </w:r>
          </w:p>
        </w:tc>
      </w:tr>
      <w:tr w14:paraId="7F65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1AFF074">
            <w:pPr>
              <w:spacing w:line="360" w:lineRule="auto"/>
              <w:jc w:val="center"/>
              <w:rPr>
                <w:rFonts w:ascii="Arial" w:hAnsi="Arial" w:cs="Arial"/>
                <w:sz w:val="22"/>
                <w:szCs w:val="22"/>
                <w:u w:val="single"/>
              </w:rPr>
            </w:pPr>
            <w:r>
              <w:rPr>
                <w:rFonts w:ascii="Arial" w:hAnsi="Arial" w:cs="Arial"/>
                <w:sz w:val="22"/>
                <w:szCs w:val="22"/>
                <w:u w:val="single"/>
              </w:rPr>
              <w:t>27</w:t>
            </w:r>
          </w:p>
        </w:tc>
        <w:tc>
          <w:tcPr>
            <w:tcW w:w="3441" w:type="dxa"/>
          </w:tcPr>
          <w:p w14:paraId="05A88190">
            <w:pPr>
              <w:spacing w:line="360" w:lineRule="auto"/>
              <w:jc w:val="both"/>
              <w:rPr>
                <w:rFonts w:ascii="Arial" w:hAnsi="Arial" w:cs="Arial"/>
                <w:sz w:val="22"/>
                <w:szCs w:val="22"/>
                <w:u w:val="single"/>
              </w:rPr>
            </w:pPr>
            <w:r>
              <w:rPr>
                <w:rFonts w:ascii="Arial" w:hAnsi="Arial" w:cs="Arial"/>
                <w:sz w:val="22"/>
                <w:szCs w:val="22"/>
                <w:u w:val="single"/>
              </w:rPr>
              <w:t xml:space="preserve">HALOPERIDOL 1MG </w:t>
            </w:r>
          </w:p>
        </w:tc>
        <w:tc>
          <w:tcPr>
            <w:tcW w:w="1803" w:type="dxa"/>
          </w:tcPr>
          <w:p w14:paraId="2C7F28B0">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2548A455">
            <w:pPr>
              <w:spacing w:line="360" w:lineRule="auto"/>
              <w:jc w:val="center"/>
              <w:rPr>
                <w:rFonts w:ascii="Arial" w:hAnsi="Arial" w:cs="Arial"/>
                <w:sz w:val="22"/>
                <w:szCs w:val="22"/>
                <w:u w:val="single"/>
              </w:rPr>
            </w:pPr>
            <w:r>
              <w:rPr>
                <w:rFonts w:ascii="Arial" w:hAnsi="Arial" w:cs="Arial"/>
                <w:sz w:val="22"/>
                <w:szCs w:val="22"/>
              </w:rPr>
              <w:t>4320</w:t>
            </w:r>
          </w:p>
        </w:tc>
        <w:tc>
          <w:tcPr>
            <w:tcW w:w="1319" w:type="dxa"/>
          </w:tcPr>
          <w:p w14:paraId="6ED513CA">
            <w:pPr>
              <w:spacing w:line="360" w:lineRule="auto"/>
              <w:ind w:left="720" w:hanging="720"/>
              <w:jc w:val="center"/>
              <w:rPr>
                <w:rFonts w:ascii="Arial" w:hAnsi="Arial" w:cs="Arial"/>
                <w:sz w:val="22"/>
                <w:szCs w:val="22"/>
                <w:u w:val="single"/>
              </w:rPr>
            </w:pPr>
            <w:r>
              <w:rPr>
                <w:rFonts w:ascii="Arial" w:hAnsi="Arial" w:cs="Arial"/>
                <w:sz w:val="22"/>
                <w:szCs w:val="22"/>
                <w:u w:val="single"/>
              </w:rPr>
              <w:t>0,25</w:t>
            </w:r>
          </w:p>
        </w:tc>
      </w:tr>
      <w:tr w14:paraId="380C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62DA5CCC">
            <w:pPr>
              <w:spacing w:line="360" w:lineRule="auto"/>
              <w:jc w:val="center"/>
              <w:rPr>
                <w:rFonts w:ascii="Arial" w:hAnsi="Arial" w:cs="Arial"/>
                <w:sz w:val="22"/>
                <w:szCs w:val="22"/>
                <w:u w:val="single"/>
              </w:rPr>
            </w:pPr>
            <w:r>
              <w:rPr>
                <w:rFonts w:ascii="Arial" w:hAnsi="Arial" w:cs="Arial"/>
                <w:sz w:val="22"/>
                <w:szCs w:val="22"/>
                <w:u w:val="single"/>
              </w:rPr>
              <w:t>28</w:t>
            </w:r>
          </w:p>
        </w:tc>
        <w:tc>
          <w:tcPr>
            <w:tcW w:w="3441" w:type="dxa"/>
          </w:tcPr>
          <w:p w14:paraId="6E26F338">
            <w:pPr>
              <w:spacing w:line="360" w:lineRule="auto"/>
              <w:jc w:val="both"/>
              <w:rPr>
                <w:rFonts w:ascii="Arial" w:hAnsi="Arial" w:cs="Arial"/>
                <w:sz w:val="22"/>
                <w:szCs w:val="22"/>
                <w:u w:val="single"/>
              </w:rPr>
            </w:pPr>
            <w:r>
              <w:rPr>
                <w:rFonts w:ascii="Arial" w:hAnsi="Arial" w:cs="Arial"/>
                <w:sz w:val="22"/>
                <w:szCs w:val="22"/>
                <w:u w:val="single"/>
              </w:rPr>
              <w:t xml:space="preserve">HALOPERIDOL 5MG </w:t>
            </w:r>
          </w:p>
        </w:tc>
        <w:tc>
          <w:tcPr>
            <w:tcW w:w="1803" w:type="dxa"/>
          </w:tcPr>
          <w:p w14:paraId="674DA7DF">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292E1205">
            <w:pPr>
              <w:spacing w:line="360" w:lineRule="auto"/>
              <w:jc w:val="center"/>
              <w:rPr>
                <w:rFonts w:ascii="Arial" w:hAnsi="Arial" w:cs="Arial"/>
                <w:sz w:val="22"/>
                <w:szCs w:val="22"/>
                <w:u w:val="single"/>
              </w:rPr>
            </w:pPr>
            <w:r>
              <w:rPr>
                <w:rFonts w:ascii="Arial" w:hAnsi="Arial" w:cs="Arial"/>
                <w:sz w:val="22"/>
                <w:szCs w:val="22"/>
              </w:rPr>
              <w:t>8640</w:t>
            </w:r>
          </w:p>
        </w:tc>
        <w:tc>
          <w:tcPr>
            <w:tcW w:w="1319" w:type="dxa"/>
          </w:tcPr>
          <w:p w14:paraId="677614E4">
            <w:pPr>
              <w:spacing w:line="360" w:lineRule="auto"/>
              <w:ind w:left="720" w:hanging="720"/>
              <w:jc w:val="center"/>
              <w:rPr>
                <w:rFonts w:ascii="Arial" w:hAnsi="Arial" w:cs="Arial"/>
                <w:sz w:val="22"/>
                <w:szCs w:val="22"/>
                <w:u w:val="single"/>
              </w:rPr>
            </w:pPr>
            <w:r>
              <w:rPr>
                <w:rFonts w:ascii="Arial" w:hAnsi="Arial" w:cs="Arial"/>
                <w:sz w:val="22"/>
                <w:szCs w:val="22"/>
                <w:u w:val="single"/>
              </w:rPr>
              <w:t>0,20</w:t>
            </w:r>
          </w:p>
        </w:tc>
      </w:tr>
      <w:tr w14:paraId="4491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0121752">
            <w:pPr>
              <w:spacing w:line="360" w:lineRule="auto"/>
              <w:jc w:val="center"/>
              <w:rPr>
                <w:rFonts w:ascii="Arial" w:hAnsi="Arial" w:cs="Arial"/>
                <w:sz w:val="22"/>
                <w:szCs w:val="22"/>
                <w:u w:val="single"/>
              </w:rPr>
            </w:pPr>
            <w:r>
              <w:rPr>
                <w:rFonts w:ascii="Arial" w:hAnsi="Arial" w:cs="Arial"/>
                <w:sz w:val="22"/>
                <w:szCs w:val="22"/>
                <w:u w:val="single"/>
              </w:rPr>
              <w:t>29</w:t>
            </w:r>
          </w:p>
        </w:tc>
        <w:tc>
          <w:tcPr>
            <w:tcW w:w="3441" w:type="dxa"/>
          </w:tcPr>
          <w:p w14:paraId="611575EF">
            <w:pPr>
              <w:spacing w:line="360" w:lineRule="auto"/>
              <w:jc w:val="both"/>
              <w:rPr>
                <w:rFonts w:ascii="Arial" w:hAnsi="Arial" w:cs="Arial"/>
                <w:sz w:val="22"/>
                <w:szCs w:val="22"/>
                <w:u w:val="single"/>
              </w:rPr>
            </w:pPr>
            <w:r>
              <w:rPr>
                <w:rFonts w:ascii="Arial" w:hAnsi="Arial" w:cs="Arial"/>
                <w:sz w:val="22"/>
                <w:szCs w:val="22"/>
                <w:u w:val="single"/>
              </w:rPr>
              <w:t>HEMIFUMARATO DE QUETIAPINA 25 MG</w:t>
            </w:r>
          </w:p>
        </w:tc>
        <w:tc>
          <w:tcPr>
            <w:tcW w:w="1803" w:type="dxa"/>
          </w:tcPr>
          <w:p w14:paraId="0F5A472A">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568DAF8">
            <w:pPr>
              <w:spacing w:line="360" w:lineRule="auto"/>
              <w:jc w:val="center"/>
              <w:rPr>
                <w:rFonts w:ascii="Arial" w:hAnsi="Arial" w:cs="Arial"/>
                <w:sz w:val="22"/>
                <w:szCs w:val="22"/>
                <w:u w:val="single"/>
              </w:rPr>
            </w:pPr>
            <w:r>
              <w:rPr>
                <w:rFonts w:ascii="Arial" w:hAnsi="Arial" w:cs="Arial"/>
                <w:sz w:val="22"/>
                <w:szCs w:val="22"/>
              </w:rPr>
              <w:t>47520</w:t>
            </w:r>
          </w:p>
        </w:tc>
        <w:tc>
          <w:tcPr>
            <w:tcW w:w="1319" w:type="dxa"/>
          </w:tcPr>
          <w:p w14:paraId="72A52539">
            <w:pPr>
              <w:spacing w:line="360" w:lineRule="auto"/>
              <w:ind w:left="720" w:hanging="720"/>
              <w:jc w:val="center"/>
              <w:rPr>
                <w:rFonts w:ascii="Arial" w:hAnsi="Arial" w:cs="Arial"/>
                <w:sz w:val="22"/>
                <w:szCs w:val="22"/>
                <w:u w:val="single"/>
              </w:rPr>
            </w:pPr>
            <w:r>
              <w:rPr>
                <w:rFonts w:ascii="Arial" w:hAnsi="Arial" w:cs="Arial"/>
                <w:sz w:val="22"/>
                <w:szCs w:val="22"/>
                <w:u w:val="single"/>
              </w:rPr>
              <w:t>1,55</w:t>
            </w:r>
          </w:p>
        </w:tc>
      </w:tr>
      <w:tr w14:paraId="4FAA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2B581AFC">
            <w:pPr>
              <w:spacing w:line="360" w:lineRule="auto"/>
              <w:jc w:val="center"/>
              <w:rPr>
                <w:rFonts w:ascii="Arial" w:hAnsi="Arial" w:cs="Arial"/>
                <w:sz w:val="22"/>
                <w:szCs w:val="22"/>
                <w:u w:val="single"/>
              </w:rPr>
            </w:pPr>
            <w:r>
              <w:rPr>
                <w:rFonts w:ascii="Arial" w:hAnsi="Arial" w:cs="Arial"/>
                <w:sz w:val="22"/>
                <w:szCs w:val="22"/>
                <w:u w:val="single"/>
              </w:rPr>
              <w:t>30</w:t>
            </w:r>
          </w:p>
        </w:tc>
        <w:tc>
          <w:tcPr>
            <w:tcW w:w="3441" w:type="dxa"/>
          </w:tcPr>
          <w:p w14:paraId="6E1003EB">
            <w:pPr>
              <w:spacing w:line="360" w:lineRule="auto"/>
              <w:jc w:val="both"/>
              <w:rPr>
                <w:rFonts w:ascii="Arial" w:hAnsi="Arial" w:cs="Arial"/>
                <w:sz w:val="22"/>
                <w:szCs w:val="22"/>
                <w:u w:val="single"/>
              </w:rPr>
            </w:pPr>
            <w:r>
              <w:rPr>
                <w:rFonts w:ascii="Arial" w:hAnsi="Arial" w:cs="Arial"/>
                <w:sz w:val="22"/>
                <w:szCs w:val="22"/>
                <w:u w:val="single"/>
              </w:rPr>
              <w:t>HEMITARTARATO DE ZOLPIDEM 10MG</w:t>
            </w:r>
          </w:p>
        </w:tc>
        <w:tc>
          <w:tcPr>
            <w:tcW w:w="1803" w:type="dxa"/>
          </w:tcPr>
          <w:p w14:paraId="77734E6C">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D946F69">
            <w:pPr>
              <w:spacing w:line="360" w:lineRule="auto"/>
              <w:jc w:val="center"/>
              <w:rPr>
                <w:rFonts w:ascii="Arial" w:hAnsi="Arial" w:cs="Arial"/>
                <w:sz w:val="22"/>
                <w:szCs w:val="22"/>
                <w:u w:val="single"/>
              </w:rPr>
            </w:pPr>
            <w:r>
              <w:rPr>
                <w:rFonts w:ascii="Arial" w:hAnsi="Arial" w:cs="Arial"/>
                <w:sz w:val="22"/>
                <w:szCs w:val="22"/>
              </w:rPr>
              <w:t>4320</w:t>
            </w:r>
          </w:p>
        </w:tc>
        <w:tc>
          <w:tcPr>
            <w:tcW w:w="1319" w:type="dxa"/>
          </w:tcPr>
          <w:p w14:paraId="6282D174">
            <w:pPr>
              <w:spacing w:line="360" w:lineRule="auto"/>
              <w:ind w:left="720" w:hanging="720"/>
              <w:jc w:val="center"/>
              <w:rPr>
                <w:rFonts w:ascii="Arial" w:hAnsi="Arial" w:cs="Arial"/>
                <w:sz w:val="22"/>
                <w:szCs w:val="22"/>
                <w:u w:val="single"/>
              </w:rPr>
            </w:pPr>
            <w:r>
              <w:rPr>
                <w:rFonts w:ascii="Arial" w:hAnsi="Arial" w:cs="Arial"/>
                <w:sz w:val="22"/>
                <w:szCs w:val="22"/>
                <w:u w:val="single"/>
              </w:rPr>
              <w:t>1,16</w:t>
            </w:r>
          </w:p>
        </w:tc>
      </w:tr>
      <w:tr w14:paraId="1D58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245A510">
            <w:pPr>
              <w:spacing w:line="360" w:lineRule="auto"/>
              <w:jc w:val="center"/>
              <w:rPr>
                <w:rFonts w:ascii="Arial" w:hAnsi="Arial" w:cs="Arial"/>
                <w:sz w:val="22"/>
                <w:szCs w:val="22"/>
                <w:u w:val="single"/>
              </w:rPr>
            </w:pPr>
            <w:r>
              <w:rPr>
                <w:rFonts w:ascii="Arial" w:hAnsi="Arial" w:cs="Arial"/>
                <w:sz w:val="22"/>
                <w:szCs w:val="22"/>
                <w:u w:val="single"/>
              </w:rPr>
              <w:t>31</w:t>
            </w:r>
          </w:p>
        </w:tc>
        <w:tc>
          <w:tcPr>
            <w:tcW w:w="3441" w:type="dxa"/>
          </w:tcPr>
          <w:p w14:paraId="54DA48DA">
            <w:pPr>
              <w:spacing w:line="360" w:lineRule="auto"/>
              <w:jc w:val="both"/>
              <w:rPr>
                <w:rFonts w:ascii="Arial" w:hAnsi="Arial" w:cs="Arial"/>
                <w:sz w:val="22"/>
                <w:szCs w:val="22"/>
                <w:u w:val="single"/>
              </w:rPr>
            </w:pPr>
            <w:r>
              <w:rPr>
                <w:rFonts w:ascii="Arial" w:hAnsi="Arial" w:cs="Arial"/>
                <w:sz w:val="22"/>
                <w:szCs w:val="22"/>
                <w:u w:val="single"/>
              </w:rPr>
              <w:t>OXALATO DE ESCITALOPRAM 10MG</w:t>
            </w:r>
          </w:p>
        </w:tc>
        <w:tc>
          <w:tcPr>
            <w:tcW w:w="1803" w:type="dxa"/>
          </w:tcPr>
          <w:p w14:paraId="5529BE91">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3D80A5AE">
            <w:pPr>
              <w:spacing w:line="360" w:lineRule="auto"/>
              <w:jc w:val="center"/>
              <w:rPr>
                <w:rFonts w:ascii="Arial" w:hAnsi="Arial" w:cs="Arial"/>
                <w:sz w:val="22"/>
                <w:szCs w:val="22"/>
                <w:u w:val="single"/>
              </w:rPr>
            </w:pPr>
            <w:r>
              <w:rPr>
                <w:rFonts w:ascii="Arial" w:hAnsi="Arial" w:cs="Arial"/>
                <w:sz w:val="22"/>
                <w:szCs w:val="22"/>
              </w:rPr>
              <w:t>93600</w:t>
            </w:r>
          </w:p>
        </w:tc>
        <w:tc>
          <w:tcPr>
            <w:tcW w:w="1319" w:type="dxa"/>
          </w:tcPr>
          <w:p w14:paraId="0B60D85C">
            <w:pPr>
              <w:spacing w:line="360" w:lineRule="auto"/>
              <w:ind w:left="720" w:hanging="720"/>
              <w:jc w:val="center"/>
              <w:rPr>
                <w:rFonts w:ascii="Arial" w:hAnsi="Arial" w:cs="Arial"/>
                <w:sz w:val="22"/>
                <w:szCs w:val="22"/>
                <w:u w:val="single"/>
              </w:rPr>
            </w:pPr>
            <w:r>
              <w:rPr>
                <w:rFonts w:ascii="Arial" w:hAnsi="Arial" w:cs="Arial"/>
                <w:sz w:val="22"/>
                <w:szCs w:val="22"/>
                <w:u w:val="single"/>
              </w:rPr>
              <w:t>0,52</w:t>
            </w:r>
          </w:p>
        </w:tc>
      </w:tr>
      <w:tr w14:paraId="0046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89E0E63">
            <w:pPr>
              <w:spacing w:line="360" w:lineRule="auto"/>
              <w:jc w:val="center"/>
              <w:rPr>
                <w:rFonts w:ascii="Arial" w:hAnsi="Arial" w:cs="Arial"/>
                <w:sz w:val="22"/>
                <w:szCs w:val="22"/>
                <w:u w:val="single"/>
              </w:rPr>
            </w:pPr>
            <w:r>
              <w:rPr>
                <w:rFonts w:ascii="Arial" w:hAnsi="Arial" w:cs="Arial"/>
                <w:sz w:val="22"/>
                <w:szCs w:val="22"/>
                <w:u w:val="single"/>
              </w:rPr>
              <w:t>32</w:t>
            </w:r>
          </w:p>
        </w:tc>
        <w:tc>
          <w:tcPr>
            <w:tcW w:w="3441" w:type="dxa"/>
          </w:tcPr>
          <w:p w14:paraId="629AEA71">
            <w:pPr>
              <w:spacing w:line="360" w:lineRule="auto"/>
              <w:jc w:val="both"/>
              <w:rPr>
                <w:rFonts w:ascii="Arial" w:hAnsi="Arial" w:cs="Arial"/>
                <w:sz w:val="22"/>
                <w:szCs w:val="22"/>
                <w:u w:val="single"/>
              </w:rPr>
            </w:pPr>
            <w:r>
              <w:rPr>
                <w:rFonts w:ascii="Arial" w:hAnsi="Arial" w:cs="Arial"/>
                <w:sz w:val="22"/>
                <w:szCs w:val="22"/>
                <w:u w:val="single"/>
              </w:rPr>
              <w:t>OXALATO DE ESCITALOPRAM 20MG</w:t>
            </w:r>
          </w:p>
        </w:tc>
        <w:tc>
          <w:tcPr>
            <w:tcW w:w="1803" w:type="dxa"/>
          </w:tcPr>
          <w:p w14:paraId="6C20E244">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44953626">
            <w:pPr>
              <w:spacing w:line="360" w:lineRule="auto"/>
              <w:jc w:val="center"/>
              <w:rPr>
                <w:rFonts w:ascii="Arial" w:hAnsi="Arial" w:cs="Arial"/>
                <w:sz w:val="22"/>
                <w:szCs w:val="22"/>
                <w:u w:val="single"/>
              </w:rPr>
            </w:pPr>
            <w:r>
              <w:rPr>
                <w:rFonts w:ascii="Arial" w:hAnsi="Arial" w:cs="Arial"/>
                <w:sz w:val="22"/>
                <w:szCs w:val="22"/>
              </w:rPr>
              <w:t>34560</w:t>
            </w:r>
          </w:p>
        </w:tc>
        <w:tc>
          <w:tcPr>
            <w:tcW w:w="1319" w:type="dxa"/>
          </w:tcPr>
          <w:p w14:paraId="2B4B3BEE">
            <w:pPr>
              <w:spacing w:line="360" w:lineRule="auto"/>
              <w:ind w:left="720" w:hanging="720"/>
              <w:jc w:val="center"/>
              <w:rPr>
                <w:rFonts w:ascii="Arial" w:hAnsi="Arial" w:cs="Arial"/>
                <w:sz w:val="22"/>
                <w:szCs w:val="22"/>
                <w:u w:val="single"/>
              </w:rPr>
            </w:pPr>
            <w:r>
              <w:rPr>
                <w:rFonts w:ascii="Arial" w:hAnsi="Arial" w:cs="Arial"/>
                <w:sz w:val="22"/>
                <w:szCs w:val="22"/>
                <w:u w:val="single"/>
              </w:rPr>
              <w:t>1,23</w:t>
            </w:r>
          </w:p>
        </w:tc>
      </w:tr>
      <w:tr w14:paraId="5CA1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7CEFDBF">
            <w:pPr>
              <w:spacing w:line="360" w:lineRule="auto"/>
              <w:jc w:val="center"/>
              <w:rPr>
                <w:rFonts w:ascii="Arial" w:hAnsi="Arial" w:cs="Arial"/>
                <w:sz w:val="22"/>
                <w:szCs w:val="22"/>
                <w:u w:val="single"/>
              </w:rPr>
            </w:pPr>
            <w:r>
              <w:rPr>
                <w:rFonts w:ascii="Arial" w:hAnsi="Arial" w:cs="Arial"/>
                <w:sz w:val="22"/>
                <w:szCs w:val="22"/>
                <w:u w:val="single"/>
              </w:rPr>
              <w:t>33</w:t>
            </w:r>
          </w:p>
        </w:tc>
        <w:tc>
          <w:tcPr>
            <w:tcW w:w="3441" w:type="dxa"/>
          </w:tcPr>
          <w:p w14:paraId="1AE9654D">
            <w:pPr>
              <w:spacing w:line="360" w:lineRule="auto"/>
              <w:jc w:val="both"/>
              <w:rPr>
                <w:rFonts w:ascii="Arial" w:hAnsi="Arial" w:cs="Arial"/>
                <w:sz w:val="22"/>
                <w:szCs w:val="22"/>
                <w:u w:val="single"/>
              </w:rPr>
            </w:pPr>
            <w:r>
              <w:rPr>
                <w:rFonts w:ascii="Arial" w:hAnsi="Arial" w:cs="Arial"/>
                <w:sz w:val="22"/>
                <w:szCs w:val="22"/>
                <w:u w:val="single"/>
              </w:rPr>
              <w:t>PREGABALINA 75MG</w:t>
            </w:r>
          </w:p>
        </w:tc>
        <w:tc>
          <w:tcPr>
            <w:tcW w:w="1803" w:type="dxa"/>
          </w:tcPr>
          <w:p w14:paraId="06E005D4">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B4C5B19">
            <w:pPr>
              <w:spacing w:line="360" w:lineRule="auto"/>
              <w:jc w:val="center"/>
              <w:rPr>
                <w:rFonts w:ascii="Arial" w:hAnsi="Arial" w:cs="Arial"/>
                <w:sz w:val="22"/>
                <w:szCs w:val="22"/>
                <w:u w:val="single"/>
              </w:rPr>
            </w:pPr>
            <w:r>
              <w:rPr>
                <w:rFonts w:ascii="Arial" w:hAnsi="Arial" w:cs="Arial"/>
                <w:sz w:val="22"/>
                <w:szCs w:val="22"/>
              </w:rPr>
              <w:t>57600</w:t>
            </w:r>
          </w:p>
        </w:tc>
        <w:tc>
          <w:tcPr>
            <w:tcW w:w="1319" w:type="dxa"/>
          </w:tcPr>
          <w:p w14:paraId="1B4FBA0E">
            <w:pPr>
              <w:spacing w:line="360" w:lineRule="auto"/>
              <w:ind w:left="720" w:hanging="720"/>
              <w:jc w:val="center"/>
              <w:rPr>
                <w:rFonts w:ascii="Arial" w:hAnsi="Arial" w:cs="Arial"/>
                <w:sz w:val="22"/>
                <w:szCs w:val="22"/>
                <w:u w:val="single"/>
              </w:rPr>
            </w:pPr>
            <w:r>
              <w:rPr>
                <w:rFonts w:ascii="Arial" w:hAnsi="Arial" w:cs="Arial"/>
                <w:sz w:val="22"/>
                <w:szCs w:val="22"/>
                <w:u w:val="single"/>
              </w:rPr>
              <w:t>0,82</w:t>
            </w:r>
          </w:p>
        </w:tc>
      </w:tr>
      <w:tr w14:paraId="631C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9FCBAB6">
            <w:pPr>
              <w:spacing w:line="360" w:lineRule="auto"/>
              <w:jc w:val="center"/>
              <w:rPr>
                <w:rFonts w:ascii="Arial" w:hAnsi="Arial" w:cs="Arial"/>
                <w:sz w:val="22"/>
                <w:szCs w:val="22"/>
                <w:u w:val="single"/>
              </w:rPr>
            </w:pPr>
            <w:r>
              <w:rPr>
                <w:rFonts w:ascii="Arial" w:hAnsi="Arial" w:cs="Arial"/>
                <w:sz w:val="22"/>
                <w:szCs w:val="22"/>
                <w:u w:val="single"/>
              </w:rPr>
              <w:t>34</w:t>
            </w:r>
          </w:p>
        </w:tc>
        <w:tc>
          <w:tcPr>
            <w:tcW w:w="3441" w:type="dxa"/>
          </w:tcPr>
          <w:p w14:paraId="2F93B448">
            <w:pPr>
              <w:spacing w:line="360" w:lineRule="auto"/>
              <w:jc w:val="both"/>
              <w:rPr>
                <w:rFonts w:ascii="Arial" w:hAnsi="Arial" w:cs="Arial"/>
                <w:sz w:val="22"/>
                <w:szCs w:val="22"/>
                <w:u w:val="single"/>
              </w:rPr>
            </w:pPr>
            <w:r>
              <w:rPr>
                <w:rFonts w:ascii="Arial" w:hAnsi="Arial" w:cs="Arial"/>
                <w:sz w:val="22"/>
                <w:szCs w:val="22"/>
                <w:u w:val="single"/>
              </w:rPr>
              <w:t>RISPERIDONA 1MG</w:t>
            </w:r>
          </w:p>
        </w:tc>
        <w:tc>
          <w:tcPr>
            <w:tcW w:w="1803" w:type="dxa"/>
          </w:tcPr>
          <w:p w14:paraId="5077F1AA">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247EF9DA">
            <w:pPr>
              <w:spacing w:line="360" w:lineRule="auto"/>
              <w:jc w:val="center"/>
              <w:rPr>
                <w:rFonts w:ascii="Arial" w:hAnsi="Arial" w:cs="Arial"/>
                <w:sz w:val="22"/>
                <w:szCs w:val="22"/>
                <w:u w:val="single"/>
              </w:rPr>
            </w:pPr>
            <w:r>
              <w:rPr>
                <w:rFonts w:ascii="Arial" w:hAnsi="Arial" w:cs="Arial"/>
                <w:sz w:val="22"/>
                <w:szCs w:val="22"/>
              </w:rPr>
              <w:t>20160</w:t>
            </w:r>
          </w:p>
        </w:tc>
        <w:tc>
          <w:tcPr>
            <w:tcW w:w="1319" w:type="dxa"/>
          </w:tcPr>
          <w:p w14:paraId="3643D3AC">
            <w:pPr>
              <w:spacing w:line="360" w:lineRule="auto"/>
              <w:ind w:left="720" w:hanging="720"/>
              <w:jc w:val="center"/>
              <w:rPr>
                <w:rFonts w:ascii="Arial" w:hAnsi="Arial" w:cs="Arial"/>
                <w:sz w:val="22"/>
                <w:szCs w:val="22"/>
                <w:u w:val="single"/>
              </w:rPr>
            </w:pPr>
            <w:r>
              <w:rPr>
                <w:rFonts w:ascii="Arial" w:hAnsi="Arial" w:cs="Arial"/>
                <w:sz w:val="22"/>
                <w:szCs w:val="22"/>
                <w:u w:val="single"/>
              </w:rPr>
              <w:t>0,13</w:t>
            </w:r>
          </w:p>
        </w:tc>
      </w:tr>
      <w:tr w14:paraId="1DD2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DAFBAEC">
            <w:pPr>
              <w:spacing w:line="360" w:lineRule="auto"/>
              <w:jc w:val="center"/>
              <w:rPr>
                <w:rFonts w:ascii="Arial" w:hAnsi="Arial" w:cs="Arial"/>
                <w:sz w:val="22"/>
                <w:szCs w:val="22"/>
                <w:u w:val="single"/>
              </w:rPr>
            </w:pPr>
            <w:r>
              <w:rPr>
                <w:rFonts w:ascii="Arial" w:hAnsi="Arial" w:cs="Arial"/>
                <w:sz w:val="22"/>
                <w:szCs w:val="22"/>
                <w:u w:val="single"/>
              </w:rPr>
              <w:t>35</w:t>
            </w:r>
          </w:p>
        </w:tc>
        <w:tc>
          <w:tcPr>
            <w:tcW w:w="3441" w:type="dxa"/>
          </w:tcPr>
          <w:p w14:paraId="69A2BDF5">
            <w:pPr>
              <w:spacing w:line="360" w:lineRule="auto"/>
              <w:jc w:val="both"/>
              <w:rPr>
                <w:rFonts w:ascii="Arial" w:hAnsi="Arial" w:cs="Arial"/>
                <w:sz w:val="22"/>
                <w:szCs w:val="22"/>
                <w:u w:val="single"/>
              </w:rPr>
            </w:pPr>
            <w:r>
              <w:rPr>
                <w:rFonts w:ascii="Arial" w:hAnsi="Arial" w:cs="Arial"/>
                <w:sz w:val="22"/>
                <w:szCs w:val="22"/>
                <w:u w:val="single"/>
              </w:rPr>
              <w:t>RISPERIDONA 2MG</w:t>
            </w:r>
          </w:p>
        </w:tc>
        <w:tc>
          <w:tcPr>
            <w:tcW w:w="1803" w:type="dxa"/>
          </w:tcPr>
          <w:p w14:paraId="235E521F">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4813B3C">
            <w:pPr>
              <w:spacing w:line="360" w:lineRule="auto"/>
              <w:jc w:val="center"/>
              <w:rPr>
                <w:rFonts w:ascii="Arial" w:hAnsi="Arial" w:cs="Arial"/>
                <w:sz w:val="22"/>
                <w:szCs w:val="22"/>
                <w:u w:val="single"/>
              </w:rPr>
            </w:pPr>
            <w:r>
              <w:rPr>
                <w:rFonts w:ascii="Arial" w:hAnsi="Arial" w:cs="Arial"/>
                <w:sz w:val="22"/>
                <w:szCs w:val="22"/>
              </w:rPr>
              <w:t>57600</w:t>
            </w:r>
          </w:p>
        </w:tc>
        <w:tc>
          <w:tcPr>
            <w:tcW w:w="1319" w:type="dxa"/>
          </w:tcPr>
          <w:p w14:paraId="1CCA740B">
            <w:pPr>
              <w:spacing w:line="360" w:lineRule="auto"/>
              <w:ind w:left="720" w:hanging="720"/>
              <w:jc w:val="center"/>
              <w:rPr>
                <w:rFonts w:ascii="Arial" w:hAnsi="Arial" w:cs="Arial"/>
                <w:sz w:val="22"/>
                <w:szCs w:val="22"/>
                <w:u w:val="single"/>
              </w:rPr>
            </w:pPr>
            <w:r>
              <w:rPr>
                <w:rFonts w:ascii="Arial" w:hAnsi="Arial" w:cs="Arial"/>
                <w:sz w:val="22"/>
                <w:szCs w:val="22"/>
                <w:u w:val="single"/>
              </w:rPr>
              <w:t>0,16</w:t>
            </w:r>
          </w:p>
        </w:tc>
      </w:tr>
      <w:tr w14:paraId="3904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41AE378">
            <w:pPr>
              <w:spacing w:line="360" w:lineRule="auto"/>
              <w:jc w:val="center"/>
              <w:rPr>
                <w:rFonts w:ascii="Arial" w:hAnsi="Arial" w:cs="Arial"/>
                <w:sz w:val="22"/>
                <w:szCs w:val="22"/>
                <w:u w:val="single"/>
              </w:rPr>
            </w:pPr>
            <w:r>
              <w:rPr>
                <w:rFonts w:ascii="Arial" w:hAnsi="Arial" w:cs="Arial"/>
                <w:sz w:val="22"/>
                <w:szCs w:val="22"/>
                <w:u w:val="single"/>
              </w:rPr>
              <w:t>36</w:t>
            </w:r>
          </w:p>
        </w:tc>
        <w:tc>
          <w:tcPr>
            <w:tcW w:w="3441" w:type="dxa"/>
          </w:tcPr>
          <w:p w14:paraId="0695398E">
            <w:pPr>
              <w:spacing w:line="360" w:lineRule="auto"/>
              <w:jc w:val="both"/>
              <w:rPr>
                <w:rFonts w:ascii="Arial" w:hAnsi="Arial" w:cs="Arial"/>
                <w:sz w:val="22"/>
                <w:szCs w:val="22"/>
                <w:u w:val="single"/>
              </w:rPr>
            </w:pPr>
            <w:r>
              <w:rPr>
                <w:rFonts w:ascii="Arial" w:hAnsi="Arial" w:cs="Arial"/>
                <w:sz w:val="22"/>
                <w:szCs w:val="22"/>
                <w:u w:val="single"/>
              </w:rPr>
              <w:t>RISPERIDONA 1MG/ML</w:t>
            </w:r>
          </w:p>
        </w:tc>
        <w:tc>
          <w:tcPr>
            <w:tcW w:w="1803" w:type="dxa"/>
          </w:tcPr>
          <w:p w14:paraId="25CDB097">
            <w:pPr>
              <w:spacing w:line="360" w:lineRule="auto"/>
              <w:jc w:val="center"/>
              <w:rPr>
                <w:rFonts w:ascii="Arial" w:hAnsi="Arial" w:cs="Arial"/>
                <w:sz w:val="22"/>
                <w:szCs w:val="22"/>
                <w:u w:val="single"/>
              </w:rPr>
            </w:pPr>
            <w:r>
              <w:rPr>
                <w:rFonts w:ascii="Arial" w:hAnsi="Arial" w:cs="Arial"/>
                <w:sz w:val="22"/>
                <w:szCs w:val="22"/>
              </w:rPr>
              <w:t>SOLUÇÃO ORAL, 30ML</w:t>
            </w:r>
          </w:p>
        </w:tc>
        <w:tc>
          <w:tcPr>
            <w:tcW w:w="1790" w:type="dxa"/>
          </w:tcPr>
          <w:p w14:paraId="5EFC4694">
            <w:pPr>
              <w:spacing w:line="360" w:lineRule="auto"/>
              <w:jc w:val="center"/>
              <w:rPr>
                <w:rFonts w:ascii="Arial" w:hAnsi="Arial" w:cs="Arial"/>
                <w:sz w:val="22"/>
                <w:szCs w:val="22"/>
                <w:u w:val="single"/>
              </w:rPr>
            </w:pPr>
            <w:r>
              <w:rPr>
                <w:rFonts w:ascii="Arial" w:hAnsi="Arial" w:cs="Arial"/>
                <w:sz w:val="22"/>
                <w:szCs w:val="22"/>
              </w:rPr>
              <w:t>1242</w:t>
            </w:r>
          </w:p>
        </w:tc>
        <w:tc>
          <w:tcPr>
            <w:tcW w:w="1319" w:type="dxa"/>
          </w:tcPr>
          <w:p w14:paraId="0F2C7EAD">
            <w:pPr>
              <w:spacing w:line="360" w:lineRule="auto"/>
              <w:ind w:left="720" w:hanging="720"/>
              <w:jc w:val="center"/>
              <w:rPr>
                <w:rFonts w:ascii="Arial" w:hAnsi="Arial" w:cs="Arial"/>
                <w:sz w:val="22"/>
                <w:szCs w:val="22"/>
                <w:u w:val="single"/>
              </w:rPr>
            </w:pPr>
            <w:r>
              <w:rPr>
                <w:rFonts w:ascii="Arial" w:hAnsi="Arial" w:cs="Arial"/>
                <w:sz w:val="22"/>
                <w:szCs w:val="22"/>
                <w:u w:val="single"/>
              </w:rPr>
              <w:t>14,78</w:t>
            </w:r>
          </w:p>
        </w:tc>
      </w:tr>
      <w:tr w14:paraId="6F15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77D5F57">
            <w:pPr>
              <w:spacing w:line="360" w:lineRule="auto"/>
              <w:jc w:val="center"/>
              <w:rPr>
                <w:rFonts w:ascii="Arial" w:hAnsi="Arial" w:cs="Arial"/>
                <w:sz w:val="22"/>
                <w:szCs w:val="22"/>
                <w:u w:val="single"/>
              </w:rPr>
            </w:pPr>
            <w:r>
              <w:rPr>
                <w:rFonts w:ascii="Arial" w:hAnsi="Arial" w:cs="Arial"/>
                <w:sz w:val="22"/>
                <w:szCs w:val="22"/>
                <w:u w:val="single"/>
              </w:rPr>
              <w:t>37</w:t>
            </w:r>
          </w:p>
        </w:tc>
        <w:tc>
          <w:tcPr>
            <w:tcW w:w="3441" w:type="dxa"/>
          </w:tcPr>
          <w:p w14:paraId="1FBF882A">
            <w:pPr>
              <w:spacing w:line="360" w:lineRule="auto"/>
              <w:jc w:val="both"/>
              <w:rPr>
                <w:rFonts w:ascii="Arial" w:hAnsi="Arial" w:cs="Arial"/>
                <w:sz w:val="22"/>
                <w:szCs w:val="22"/>
                <w:u w:val="single"/>
              </w:rPr>
            </w:pPr>
            <w:r>
              <w:rPr>
                <w:rFonts w:ascii="Arial" w:hAnsi="Arial" w:cs="Arial"/>
                <w:sz w:val="22"/>
                <w:szCs w:val="22"/>
                <w:u w:val="single"/>
              </w:rPr>
              <w:t>TRAMADOL + PARACETAMOL (37,5+500MG)</w:t>
            </w:r>
          </w:p>
        </w:tc>
        <w:tc>
          <w:tcPr>
            <w:tcW w:w="1803" w:type="dxa"/>
          </w:tcPr>
          <w:p w14:paraId="11D77AF8">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295290E">
            <w:pPr>
              <w:spacing w:line="360" w:lineRule="auto"/>
              <w:jc w:val="center"/>
              <w:rPr>
                <w:rFonts w:ascii="Arial" w:hAnsi="Arial" w:cs="Arial"/>
                <w:sz w:val="22"/>
                <w:szCs w:val="22"/>
                <w:u w:val="single"/>
              </w:rPr>
            </w:pPr>
            <w:r>
              <w:rPr>
                <w:rFonts w:ascii="Arial" w:hAnsi="Arial" w:cs="Arial"/>
                <w:sz w:val="22"/>
                <w:szCs w:val="22"/>
              </w:rPr>
              <w:t>2880</w:t>
            </w:r>
          </w:p>
        </w:tc>
        <w:tc>
          <w:tcPr>
            <w:tcW w:w="1319" w:type="dxa"/>
          </w:tcPr>
          <w:p w14:paraId="7F54B0F5">
            <w:pPr>
              <w:spacing w:line="360" w:lineRule="auto"/>
              <w:ind w:left="720" w:hanging="720"/>
              <w:jc w:val="center"/>
              <w:rPr>
                <w:rFonts w:ascii="Arial" w:hAnsi="Arial" w:cs="Arial"/>
                <w:sz w:val="22"/>
                <w:szCs w:val="22"/>
                <w:u w:val="single"/>
              </w:rPr>
            </w:pPr>
            <w:r>
              <w:rPr>
                <w:rFonts w:ascii="Arial" w:hAnsi="Arial" w:cs="Arial"/>
                <w:sz w:val="22"/>
                <w:szCs w:val="22"/>
                <w:u w:val="single"/>
              </w:rPr>
              <w:t>1,36</w:t>
            </w:r>
          </w:p>
        </w:tc>
      </w:tr>
    </w:tbl>
    <w:p w14:paraId="7161DF97">
      <w:pPr>
        <w:pStyle w:val="58"/>
        <w:numPr>
          <w:ilvl w:val="0"/>
          <w:numId w:val="0"/>
        </w:numPr>
        <w:rPr>
          <w:b/>
          <w:bCs/>
          <w:sz w:val="22"/>
          <w:szCs w:val="22"/>
        </w:rPr>
      </w:pPr>
    </w:p>
    <w:p w14:paraId="1E24943B">
      <w:pPr>
        <w:pStyle w:val="58"/>
        <w:ind w:left="0" w:firstLine="0"/>
        <w:rPr>
          <w:sz w:val="22"/>
          <w:szCs w:val="22"/>
        </w:rPr>
      </w:pPr>
      <w:r>
        <w:rPr>
          <w:sz w:val="22"/>
          <w:szCs w:val="22"/>
        </w:rPr>
        <w:t>Os bens objeto desta contratação são caracterizados como comuns, conforme justificativa constante do Estudo Técnico Preliminar.</w:t>
      </w:r>
    </w:p>
    <w:p w14:paraId="7C576396">
      <w:pPr>
        <w:pStyle w:val="58"/>
        <w:ind w:left="0" w:firstLine="0"/>
        <w:rPr>
          <w:sz w:val="22"/>
          <w:szCs w:val="22"/>
        </w:rPr>
      </w:pPr>
      <w:r>
        <w:rPr>
          <w:sz w:val="22"/>
          <w:szCs w:val="22"/>
        </w:rPr>
        <w:t>O objeto desta contratação não se enquadra como sendo de bem de luxo, conforme Decreto nº 10.818, de 27 de setembro de 2021.</w:t>
      </w:r>
    </w:p>
    <w:p w14:paraId="3F946E9F">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prazo de vigência da contratação é de 12 MESES contados da data de assinatura do contrato ou equivalente, na forma do artigo 105 da Lei n° 14.133, de 2021.</w:t>
      </w:r>
    </w:p>
    <w:p w14:paraId="3C64B0CA">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Caso o objeto seja enquadrado como serviço continuado o prazo de vigência da contratação é de no máximo de 5 anos contados da data de assinatura do contrato ou equivalente, prorrogável por até 10 anos, na forma dos artigos 106 e 107 da Lei n° 14.133, de 2021.</w:t>
      </w:r>
    </w:p>
    <w:p w14:paraId="7DDF05DA">
      <w:pPr>
        <w:pStyle w:val="58"/>
        <w:ind w:left="0" w:firstLine="0"/>
        <w:rPr>
          <w:sz w:val="22"/>
          <w:szCs w:val="22"/>
        </w:rPr>
      </w:pPr>
      <w:r>
        <w:rPr>
          <w:sz w:val="22"/>
          <w:szCs w:val="22"/>
        </w:rPr>
        <w:t>O contrato oferece maior detalhamento das regras que serão aplicadas em relação à vigência da contratação.</w:t>
      </w:r>
    </w:p>
    <w:p w14:paraId="6FF07F8B">
      <w:pPr>
        <w:pStyle w:val="41"/>
        <w:rPr>
          <w:sz w:val="22"/>
          <w:szCs w:val="22"/>
        </w:rPr>
      </w:pPr>
      <w:r>
        <w:rPr>
          <w:sz w:val="22"/>
          <w:szCs w:val="22"/>
        </w:rPr>
        <w:t>FUNDAMENTAÇÃO E DESCRIÇÃO DA NECESSIDADE DA CONTRATAÇÃO</w:t>
      </w:r>
    </w:p>
    <w:p w14:paraId="7859E15E">
      <w:pPr>
        <w:pStyle w:val="58"/>
        <w:ind w:left="0" w:firstLine="0"/>
        <w:rPr>
          <w:sz w:val="22"/>
          <w:szCs w:val="22"/>
        </w:rPr>
      </w:pPr>
      <w:r>
        <w:rPr>
          <w:sz w:val="22"/>
          <w:szCs w:val="22"/>
        </w:rPr>
        <w:t>A Fundamentação da Contratação e de seus quantitativos encontra-se pormenorizada em Tópico específico dos Estudos Técnicos Preliminares, apêndice deste Termo de Referência.</w:t>
      </w:r>
    </w:p>
    <w:p w14:paraId="2B27C651">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objeto da contratação está previsto no Plano de Contratações Anual [ANO], conforme consta das informações básicas desse termo de referência.</w:t>
      </w:r>
    </w:p>
    <w:p w14:paraId="2FEFCBF2">
      <w:pPr>
        <w:pStyle w:val="41"/>
        <w:rPr>
          <w:sz w:val="22"/>
          <w:szCs w:val="22"/>
        </w:rPr>
      </w:pPr>
      <w:r>
        <w:rPr>
          <w:sz w:val="22"/>
          <w:szCs w:val="22"/>
        </w:rPr>
        <w:t>DESCRIÇÃO DA SOLUÇÃO COMO UM TODO CONSIDERADO O CICLO DE VIDA DO OBJETO E ESPECIFICAÇÃO DO PRODUTO</w:t>
      </w:r>
    </w:p>
    <w:p w14:paraId="1D6FD770">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A descrição da solução como um todo encontra-se pormenorizada em tópico específico dos Estudos Técnicos Preliminares, apêndice deste Termo de Referência.</w:t>
      </w:r>
    </w:p>
    <w:p w14:paraId="66A892F7">
      <w:pPr>
        <w:pStyle w:val="41"/>
        <w:rPr>
          <w:sz w:val="22"/>
          <w:szCs w:val="22"/>
        </w:rPr>
      </w:pPr>
      <w:r>
        <w:rPr>
          <w:sz w:val="22"/>
          <w:szCs w:val="22"/>
        </w:rPr>
        <w:t>REQUISITOS DA CONTRATAÇÃO</w:t>
      </w:r>
    </w:p>
    <w:p w14:paraId="6C1AFF2B">
      <w:pPr>
        <w:pStyle w:val="132"/>
        <w:rPr>
          <w:sz w:val="22"/>
          <w:szCs w:val="22"/>
        </w:rPr>
      </w:pPr>
      <w:r>
        <w:rPr>
          <w:sz w:val="22"/>
          <w:szCs w:val="22"/>
        </w:rPr>
        <w:t>Sustentabilidade:</w:t>
      </w:r>
    </w:p>
    <w:p w14:paraId="62BC14F9">
      <w:pPr>
        <w:pStyle w:val="58"/>
        <w:ind w:left="0" w:firstLine="0"/>
        <w:rPr>
          <w:sz w:val="22"/>
          <w:szCs w:val="22"/>
          <w:shd w:val="clear" w:color="auto" w:fill="FFFFFF"/>
        </w:rPr>
      </w:pPr>
      <w:r>
        <w:rPr>
          <w:sz w:val="22"/>
          <w:szCs w:val="22"/>
        </w:rPr>
        <w:t>Além dos critérios de sustentabilidade eventualmente inseridos na descrição do objeto, devem ser atendidos os seguintes requisitos, que se baseiam no Guia Nacional de Contratações Sustentáveis:</w:t>
      </w:r>
    </w:p>
    <w:p w14:paraId="647D7423">
      <w:pPr>
        <w:pStyle w:val="132"/>
        <w:rPr>
          <w:sz w:val="22"/>
          <w:szCs w:val="22"/>
        </w:rPr>
      </w:pPr>
      <w:r>
        <w:rPr>
          <w:sz w:val="22"/>
          <w:szCs w:val="22"/>
        </w:rPr>
        <w:t>Subcontratação</w:t>
      </w:r>
    </w:p>
    <w:p w14:paraId="3BDD6132">
      <w:pPr>
        <w:pStyle w:val="58"/>
        <w:ind w:left="0" w:firstLine="0"/>
        <w:rPr>
          <w:sz w:val="22"/>
          <w:szCs w:val="22"/>
        </w:rPr>
      </w:pPr>
      <w:r>
        <w:rPr>
          <w:sz w:val="22"/>
          <w:szCs w:val="22"/>
        </w:rPr>
        <w:t>Não é admitida a subcontratação do objeto contratual.</w:t>
      </w:r>
    </w:p>
    <w:p w14:paraId="36E68605">
      <w:pPr>
        <w:pStyle w:val="58"/>
        <w:ind w:left="0" w:firstLine="0"/>
        <w:rPr>
          <w:sz w:val="22"/>
          <w:szCs w:val="22"/>
        </w:rPr>
      </w:pPr>
      <w:r>
        <w:rPr>
          <w:sz w:val="22"/>
          <w:szCs w:val="22"/>
        </w:rPr>
        <w:t>O contrato oferece maior detalhamento das regras que serão aplicadas em relação à subcontratação, caso admitida.</w:t>
      </w:r>
    </w:p>
    <w:p w14:paraId="44B032E6">
      <w:pPr>
        <w:pStyle w:val="132"/>
        <w:rPr>
          <w:sz w:val="22"/>
          <w:szCs w:val="22"/>
        </w:rPr>
      </w:pPr>
      <w:r>
        <w:rPr>
          <w:sz w:val="22"/>
          <w:szCs w:val="22"/>
        </w:rPr>
        <w:t>Garantia da contratação</w:t>
      </w:r>
    </w:p>
    <w:p w14:paraId="369D8D87">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 xml:space="preserve">Não haverá exigência da garantia da contratação dos </w:t>
      </w:r>
      <w:r>
        <w:fldChar w:fldCharType="begin"/>
      </w:r>
      <w:r>
        <w:instrText xml:space="preserve"> HYPERLINK "http://www.planalto.gov.br/ccivil_03/_ato2019-2022/2021/lei/L14133.htm" \l "art96" \h </w:instrText>
      </w:r>
      <w:r>
        <w:fldChar w:fldCharType="separate"/>
      </w:r>
      <w:r>
        <w:rPr>
          <w:rStyle w:val="13"/>
          <w:i w:val="0"/>
          <w:color w:val="000000" w:themeColor="text1"/>
          <w:sz w:val="22"/>
          <w:szCs w:val="22"/>
          <w14:textFill>
            <w14:solidFill>
              <w14:schemeClr w14:val="tx1"/>
            </w14:solidFill>
          </w14:textFill>
        </w:rPr>
        <w:t>artigos 96 e seguintes da Lei nº 14.133, de 2021</w:t>
      </w:r>
      <w:r>
        <w:rPr>
          <w:rStyle w:val="13"/>
          <w:i w:val="0"/>
          <w:color w:val="000000" w:themeColor="text1"/>
          <w:sz w:val="22"/>
          <w:szCs w:val="22"/>
          <w14:textFill>
            <w14:solidFill>
              <w14:schemeClr w14:val="tx1"/>
            </w14:solidFill>
          </w14:textFill>
        </w:rPr>
        <w:fldChar w:fldCharType="end"/>
      </w:r>
      <w:r>
        <w:rPr>
          <w:i w:val="0"/>
          <w:color w:val="000000" w:themeColor="text1"/>
          <w:sz w:val="22"/>
          <w:szCs w:val="22"/>
          <w14:textFill>
            <w14:solidFill>
              <w14:schemeClr w14:val="tx1"/>
            </w14:solidFill>
          </w14:textFill>
        </w:rPr>
        <w:t>, pelas razões constantes do Estudo Técnico Preliminar.</w:t>
      </w:r>
    </w:p>
    <w:p w14:paraId="554B4411">
      <w:pPr>
        <w:pStyle w:val="58"/>
        <w:ind w:left="0" w:firstLine="0"/>
        <w:rPr>
          <w:sz w:val="22"/>
          <w:szCs w:val="22"/>
        </w:rPr>
      </w:pPr>
      <w:r>
        <w:rPr>
          <w:sz w:val="22"/>
          <w:szCs w:val="22"/>
        </w:rPr>
        <w:t>O contrato oferece maior detalhamento das regras que serão aplicadas em relação à garantia da contratação.</w:t>
      </w:r>
    </w:p>
    <w:p w14:paraId="437F19B7">
      <w:pPr>
        <w:pStyle w:val="41"/>
        <w:rPr>
          <w:sz w:val="22"/>
          <w:szCs w:val="22"/>
        </w:rPr>
      </w:pPr>
      <w:r>
        <w:rPr>
          <w:sz w:val="22"/>
          <w:szCs w:val="22"/>
        </w:rPr>
        <w:t>MODELO DE EXECUÇÃO DO OBJETO</w:t>
      </w:r>
    </w:p>
    <w:p w14:paraId="6EB74673">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prazo de entrega dos bens é de 5 dias, contados do dia em que a autorização de comprar for enviada, em quantidade a ser determinada.</w:t>
      </w:r>
    </w:p>
    <w:p w14:paraId="08169CF2">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Caso não seja possível a entrega na data assinalada, a empresa deverá comunicar as razões respectivas com pelo menos 5 dias de antecedência para que qualquer pleito de prorrogação de prazo seja analisado, ressalvadas situações de caso fortuito e força maior.</w:t>
      </w:r>
    </w:p>
    <w:p w14:paraId="668FAA6E">
      <w:pPr>
        <w:pStyle w:val="58"/>
        <w:ind w:left="0" w:firstLine="0"/>
        <w:rPr>
          <w:sz w:val="22"/>
          <w:szCs w:val="22"/>
        </w:rPr>
      </w:pPr>
      <w:r>
        <w:rPr>
          <w:sz w:val="22"/>
          <w:szCs w:val="22"/>
        </w:rPr>
        <w:t>Os bens deverão ser entregues no endereço que constar na autorização de fornecimento.</w:t>
      </w:r>
    </w:p>
    <w:p w14:paraId="308A38D8">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No caso de produtos perecíveis, o prazo de validade na data da entrega não poderá ser inferior a 30 (dias), ou a (metade, um terço, dois terços etc.) do prazo total recomendado pelo fabricante.</w:t>
      </w:r>
    </w:p>
    <w:p w14:paraId="41B38C1D">
      <w:pPr>
        <w:pStyle w:val="132"/>
        <w:rPr>
          <w:sz w:val="22"/>
          <w:szCs w:val="22"/>
        </w:rPr>
      </w:pPr>
      <w:r>
        <w:rPr>
          <w:sz w:val="22"/>
          <w:szCs w:val="22"/>
        </w:rPr>
        <w:t>Garantia, manutenção e assistência técnica</w:t>
      </w:r>
    </w:p>
    <w:p w14:paraId="2012FF9E">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prazo de garantia é aquele estabelecido na Lei nº 8.078, de 11 de setembro de 1990 (Código de Defesa do Consumidor)</w:t>
      </w:r>
    </w:p>
    <w:p w14:paraId="13E50407">
      <w:pPr>
        <w:pStyle w:val="41"/>
        <w:rPr>
          <w:sz w:val="22"/>
          <w:szCs w:val="22"/>
        </w:rPr>
      </w:pPr>
      <w:r>
        <w:rPr>
          <w:sz w:val="22"/>
          <w:szCs w:val="22"/>
        </w:rPr>
        <w:t>MODELO DE GESTÃO DO CONTRATO</w:t>
      </w:r>
    </w:p>
    <w:p w14:paraId="53D839CA">
      <w:pPr>
        <w:pStyle w:val="58"/>
        <w:ind w:left="0" w:firstLine="0"/>
        <w:rPr>
          <w:sz w:val="22"/>
          <w:szCs w:val="22"/>
        </w:rPr>
      </w:pPr>
      <w:r>
        <w:rPr>
          <w:sz w:val="22"/>
          <w:szCs w:val="22"/>
        </w:rPr>
        <w:t>O contrato deverá ser executado fielmente pelas partes, de acordo com as cláusulas avençadas e as normas da Lei nº 14.133, de 2021, e cada parte responderá pelas consequências de sua inexecução total ou parcial.</w:t>
      </w:r>
    </w:p>
    <w:p w14:paraId="292DCB88">
      <w:pPr>
        <w:pStyle w:val="58"/>
        <w:ind w:left="0" w:firstLine="0"/>
        <w:rPr>
          <w:sz w:val="22"/>
          <w:szCs w:val="22"/>
        </w:rPr>
      </w:pPr>
      <w:r>
        <w:rPr>
          <w:sz w:val="22"/>
          <w:szCs w:val="22"/>
        </w:rPr>
        <w:t>Em caso de impedimento, ordem de paralisação ou suspensão do contrato, o cronograma de execução será prorrogado automaticamente pelo tempo correspondente, anotadas tais circunstâncias mediante simples apostila.</w:t>
      </w:r>
    </w:p>
    <w:p w14:paraId="5CE5EF61">
      <w:pPr>
        <w:pStyle w:val="58"/>
        <w:ind w:left="0" w:firstLine="0"/>
        <w:rPr>
          <w:sz w:val="22"/>
          <w:szCs w:val="22"/>
        </w:rPr>
      </w:pPr>
      <w:r>
        <w:rPr>
          <w:sz w:val="22"/>
          <w:szCs w:val="22"/>
        </w:rPr>
        <w:t>As comunicações entre o órgão ou entidade e a contratada devem ser realizadas por escrito sempre que o ato exigir tal formalidade, admitindo-se o uso de mensagem eletrônica para esse fim.</w:t>
      </w:r>
    </w:p>
    <w:p w14:paraId="7C1D474F">
      <w:pPr>
        <w:pStyle w:val="58"/>
        <w:ind w:left="0" w:firstLine="0"/>
        <w:rPr>
          <w:sz w:val="22"/>
          <w:szCs w:val="22"/>
        </w:rPr>
      </w:pPr>
      <w:r>
        <w:rPr>
          <w:sz w:val="22"/>
          <w:szCs w:val="22"/>
        </w:rPr>
        <w:t>O órgão ou entidade poderá convocar representante da empresa para adoção de providências que devam ser cumpridas de imediato.</w:t>
      </w:r>
    </w:p>
    <w:p w14:paraId="0A459132">
      <w:pPr>
        <w:pStyle w:val="58"/>
        <w:ind w:left="0" w:firstLine="0"/>
        <w:rPr>
          <w:sz w:val="22"/>
          <w:szCs w:val="22"/>
        </w:rPr>
      </w:pPr>
      <w:r>
        <w:rPr>
          <w:sz w:val="22"/>
          <w:szCs w:val="22"/>
        </w:rPr>
        <w:t>Após a assinatura do contrato ou instrumento equivalente</w:t>
      </w:r>
      <w:r>
        <w:rPr>
          <w:strike/>
          <w:sz w:val="22"/>
          <w:szCs w:val="22"/>
        </w:rPr>
        <w:t>,</w:t>
      </w:r>
      <w:r>
        <w:rPr>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DFE96E">
      <w:pPr>
        <w:pStyle w:val="58"/>
        <w:numPr>
          <w:ilvl w:val="0"/>
          <w:numId w:val="0"/>
        </w:numPr>
        <w:rPr>
          <w:sz w:val="22"/>
          <w:szCs w:val="22"/>
        </w:rPr>
      </w:pPr>
      <w:r>
        <w:rPr>
          <w:sz w:val="22"/>
          <w:szCs w:val="22"/>
        </w:rPr>
        <w:t>Fiscalização</w:t>
      </w:r>
    </w:p>
    <w:p w14:paraId="0E0AF8A1">
      <w:pPr>
        <w:pStyle w:val="58"/>
        <w:ind w:left="0" w:firstLine="0"/>
        <w:rPr>
          <w:sz w:val="22"/>
          <w:szCs w:val="22"/>
        </w:rPr>
      </w:pPr>
      <w:r>
        <w:rPr>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Style w:val="13"/>
          <w:sz w:val="22"/>
          <w:szCs w:val="22"/>
        </w:rPr>
        <w:t>Lei nº 14.133, de 2021, art. 117, caput</w:t>
      </w:r>
      <w:r>
        <w:rPr>
          <w:rStyle w:val="13"/>
          <w:sz w:val="22"/>
          <w:szCs w:val="22"/>
        </w:rPr>
        <w:fldChar w:fldCharType="end"/>
      </w:r>
      <w:r>
        <w:rPr>
          <w:sz w:val="22"/>
          <w:szCs w:val="22"/>
        </w:rPr>
        <w:t>).</w:t>
      </w:r>
    </w:p>
    <w:p w14:paraId="55F0FFE5">
      <w:pPr>
        <w:pStyle w:val="132"/>
        <w:rPr>
          <w:sz w:val="22"/>
          <w:szCs w:val="22"/>
        </w:rPr>
      </w:pPr>
      <w:r>
        <w:rPr>
          <w:sz w:val="22"/>
          <w:szCs w:val="22"/>
        </w:rPr>
        <w:t>Fiscalização Técnica</w:t>
      </w:r>
    </w:p>
    <w:p w14:paraId="1995D201">
      <w:pPr>
        <w:pStyle w:val="58"/>
        <w:ind w:left="0" w:firstLine="0"/>
        <w:rPr>
          <w:sz w:val="22"/>
          <w:szCs w:val="22"/>
        </w:rPr>
      </w:pPr>
      <w:r>
        <w:rPr>
          <w:sz w:val="22"/>
          <w:szCs w:val="22"/>
        </w:rPr>
        <w:t>O fiscal técnico do contrato acompanhará a execução do contrato, para que sejam cumpridas todas as condições estabelecidas no contrato, de modo a assegurar os melhores resultados para a Administração. (Decreto nº 11.246, de 2022, art. 22, VI);</w:t>
      </w:r>
    </w:p>
    <w:p w14:paraId="23A633BA">
      <w:pPr>
        <w:pStyle w:val="60"/>
        <w:ind w:left="284"/>
        <w:rPr>
          <w:sz w:val="22"/>
          <w:szCs w:val="22"/>
        </w:rPr>
      </w:pPr>
      <w:r>
        <w:rPr>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3"/>
          <w:sz w:val="22"/>
          <w:szCs w:val="22"/>
        </w:rPr>
        <w:t>Lei nº 14.133, de 2021, art. 117, §1º</w:t>
      </w:r>
      <w:r>
        <w:rPr>
          <w:rStyle w:val="13"/>
          <w:sz w:val="22"/>
          <w:szCs w:val="22"/>
        </w:rPr>
        <w:fldChar w:fldCharType="end"/>
      </w:r>
      <w:r>
        <w:rPr>
          <w:sz w:val="22"/>
          <w:szCs w:val="22"/>
        </w:rPr>
        <w:t xml:space="preserve">, e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II);</w:t>
      </w:r>
      <w:r>
        <w:rPr>
          <w:rStyle w:val="13"/>
          <w:sz w:val="22"/>
          <w:szCs w:val="22"/>
        </w:rPr>
        <w:fldChar w:fldCharType="end"/>
      </w:r>
    </w:p>
    <w:p w14:paraId="3A1B255C">
      <w:pPr>
        <w:pStyle w:val="60"/>
        <w:ind w:left="284"/>
        <w:rPr>
          <w:sz w:val="22"/>
          <w:szCs w:val="22"/>
        </w:rPr>
      </w:pPr>
      <w:r>
        <w:rPr>
          <w:sz w:val="22"/>
          <w:szCs w:val="22"/>
        </w:rPr>
        <w:t>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III</w:t>
      </w:r>
      <w:r>
        <w:rPr>
          <w:rStyle w:val="13"/>
          <w:sz w:val="22"/>
          <w:szCs w:val="22"/>
        </w:rPr>
        <w:fldChar w:fldCharType="end"/>
      </w:r>
      <w:r>
        <w:rPr>
          <w:sz w:val="22"/>
          <w:szCs w:val="22"/>
        </w:rPr>
        <w:t xml:space="preserve">); </w:t>
      </w:r>
    </w:p>
    <w:p w14:paraId="3E751C81">
      <w:pPr>
        <w:pStyle w:val="60"/>
        <w:ind w:left="284"/>
        <w:rPr>
          <w:sz w:val="22"/>
          <w:szCs w:val="22"/>
        </w:rPr>
      </w:pPr>
      <w:r>
        <w:rPr>
          <w:sz w:val="22"/>
          <w:szCs w:val="22"/>
        </w:rPr>
        <w:t>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IV</w:t>
      </w:r>
      <w:r>
        <w:rPr>
          <w:rStyle w:val="13"/>
          <w:sz w:val="22"/>
          <w:szCs w:val="22"/>
        </w:rPr>
        <w:fldChar w:fldCharType="end"/>
      </w:r>
      <w:r>
        <w:rPr>
          <w:sz w:val="22"/>
          <w:szCs w:val="22"/>
        </w:rPr>
        <w:t>).</w:t>
      </w:r>
    </w:p>
    <w:p w14:paraId="2DD351CA">
      <w:pPr>
        <w:pStyle w:val="60"/>
        <w:ind w:left="284"/>
        <w:rPr>
          <w:sz w:val="22"/>
          <w:szCs w:val="22"/>
        </w:rPr>
      </w:pPr>
      <w:r>
        <w:rPr>
          <w:sz w:val="22"/>
          <w:szCs w:val="22"/>
        </w:rPr>
        <w:t>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V</w:t>
      </w:r>
      <w:r>
        <w:rPr>
          <w:rStyle w:val="13"/>
          <w:sz w:val="22"/>
          <w:szCs w:val="22"/>
        </w:rPr>
        <w:fldChar w:fldCharType="end"/>
      </w:r>
      <w:r>
        <w:rPr>
          <w:sz w:val="22"/>
          <w:szCs w:val="22"/>
        </w:rPr>
        <w:t>).</w:t>
      </w:r>
    </w:p>
    <w:p w14:paraId="1EF56C74">
      <w:pPr>
        <w:pStyle w:val="60"/>
        <w:ind w:left="284"/>
        <w:rPr>
          <w:sz w:val="22"/>
          <w:szCs w:val="22"/>
        </w:rPr>
      </w:pPr>
      <w:r>
        <w:rPr>
          <w:sz w:val="22"/>
          <w:szCs w:val="22"/>
        </w:rPr>
        <w:t xml:space="preserve">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VII</w:t>
      </w:r>
      <w:r>
        <w:rPr>
          <w:rStyle w:val="13"/>
          <w:sz w:val="22"/>
          <w:szCs w:val="22"/>
        </w:rPr>
        <w:fldChar w:fldCharType="end"/>
      </w:r>
      <w:r>
        <w:rPr>
          <w:sz w:val="22"/>
          <w:szCs w:val="22"/>
        </w:rPr>
        <w:t>).</w:t>
      </w:r>
    </w:p>
    <w:p w14:paraId="484E6F36">
      <w:pPr>
        <w:pStyle w:val="60"/>
        <w:numPr>
          <w:ilvl w:val="0"/>
          <w:numId w:val="0"/>
        </w:numPr>
        <w:rPr>
          <w:sz w:val="22"/>
          <w:szCs w:val="22"/>
        </w:rPr>
      </w:pPr>
      <w:r>
        <w:rPr>
          <w:sz w:val="22"/>
          <w:szCs w:val="22"/>
        </w:rPr>
        <w:t>Fiscalização Administrativa</w:t>
      </w:r>
    </w:p>
    <w:p w14:paraId="040D58FE">
      <w:pPr>
        <w:pStyle w:val="58"/>
        <w:ind w:left="0" w:firstLine="0"/>
        <w:rPr>
          <w:sz w:val="22"/>
          <w:szCs w:val="22"/>
        </w:rPr>
      </w:pPr>
      <w:r>
        <w:rPr>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3"/>
          <w:sz w:val="22"/>
          <w:szCs w:val="22"/>
        </w:rPr>
        <w:t>Art. 23, I e II, do Decreto nº 11.246, de 2022</w:t>
      </w:r>
      <w:r>
        <w:rPr>
          <w:rStyle w:val="13"/>
          <w:sz w:val="22"/>
          <w:szCs w:val="22"/>
        </w:rPr>
        <w:fldChar w:fldCharType="end"/>
      </w:r>
      <w:r>
        <w:rPr>
          <w:sz w:val="22"/>
          <w:szCs w:val="22"/>
        </w:rPr>
        <w:t>).</w:t>
      </w:r>
    </w:p>
    <w:p w14:paraId="0F1BAABE">
      <w:pPr>
        <w:pStyle w:val="60"/>
        <w:ind w:left="284"/>
        <w:rPr>
          <w:sz w:val="22"/>
          <w:szCs w:val="22"/>
        </w:rPr>
      </w:pPr>
      <w:r>
        <w:rPr>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rStyle w:val="13"/>
          <w:sz w:val="22"/>
          <w:szCs w:val="22"/>
        </w:rPr>
        <w:t>Decreto nº 11.246, de 2022, art. 23, IV</w:t>
      </w:r>
      <w:r>
        <w:rPr>
          <w:rStyle w:val="13"/>
          <w:sz w:val="22"/>
          <w:szCs w:val="22"/>
        </w:rPr>
        <w:fldChar w:fldCharType="end"/>
      </w:r>
      <w:r>
        <w:rPr>
          <w:sz w:val="22"/>
          <w:szCs w:val="22"/>
        </w:rPr>
        <w:t>).</w:t>
      </w:r>
    </w:p>
    <w:p w14:paraId="337203C8">
      <w:pPr>
        <w:pStyle w:val="132"/>
        <w:rPr>
          <w:i/>
          <w:iCs/>
          <w:sz w:val="22"/>
          <w:szCs w:val="22"/>
        </w:rPr>
      </w:pPr>
      <w:r>
        <w:rPr>
          <w:sz w:val="22"/>
          <w:szCs w:val="22"/>
        </w:rPr>
        <w:t>Gestor do Contrato</w:t>
      </w:r>
    </w:p>
    <w:p w14:paraId="3807D172">
      <w:pPr>
        <w:pStyle w:val="58"/>
        <w:ind w:left="0" w:firstLine="0"/>
        <w:rPr>
          <w:sz w:val="22"/>
          <w:szCs w:val="22"/>
        </w:rPr>
      </w:pPr>
      <w:r>
        <w:rPr>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1EFAC853">
      <w:pPr>
        <w:pStyle w:val="58"/>
        <w:ind w:left="0" w:firstLine="0"/>
        <w:rPr>
          <w:sz w:val="22"/>
          <w:szCs w:val="22"/>
        </w:rPr>
      </w:pPr>
      <w:r>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5E3DDB0">
      <w:pPr>
        <w:pStyle w:val="58"/>
        <w:ind w:left="0" w:firstLine="0"/>
        <w:rPr>
          <w:sz w:val="22"/>
          <w:szCs w:val="22"/>
        </w:rPr>
      </w:pPr>
      <w:r>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61BC71FE">
      <w:pPr>
        <w:pStyle w:val="58"/>
        <w:ind w:left="0" w:firstLine="0"/>
        <w:rPr>
          <w:sz w:val="22"/>
          <w:szCs w:val="22"/>
        </w:rPr>
      </w:pPr>
      <w:r>
        <w:rPr>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156DFAF0">
      <w:pPr>
        <w:pStyle w:val="58"/>
        <w:ind w:left="0" w:firstLine="0"/>
        <w:rPr>
          <w:sz w:val="22"/>
          <w:szCs w:val="22"/>
        </w:rPr>
      </w:pPr>
      <w:r>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7407E9D">
      <w:pPr>
        <w:pStyle w:val="58"/>
        <w:ind w:left="0" w:firstLine="0"/>
        <w:rPr>
          <w:sz w:val="22"/>
          <w:szCs w:val="22"/>
        </w:rPr>
      </w:pPr>
      <w:r>
        <w:rPr>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40461411">
      <w:pPr>
        <w:pStyle w:val="58"/>
        <w:ind w:left="0" w:firstLine="0"/>
        <w:rPr>
          <w:sz w:val="22"/>
          <w:szCs w:val="22"/>
        </w:rPr>
      </w:pPr>
      <w:r>
        <w:rPr>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5B7CB182">
      <w:pPr>
        <w:pStyle w:val="41"/>
        <w:rPr>
          <w:sz w:val="22"/>
          <w:szCs w:val="22"/>
        </w:rPr>
      </w:pPr>
      <w:r>
        <w:rPr>
          <w:sz w:val="22"/>
          <w:szCs w:val="22"/>
        </w:rPr>
        <w:t>CRITÉRIOS DE MEDIÇÃO E DE PAGAMENTO</w:t>
      </w:r>
    </w:p>
    <w:p w14:paraId="59B2A031">
      <w:pPr>
        <w:pStyle w:val="132"/>
        <w:rPr>
          <w:sz w:val="22"/>
          <w:szCs w:val="22"/>
        </w:rPr>
      </w:pPr>
      <w:r>
        <w:rPr>
          <w:sz w:val="22"/>
          <w:szCs w:val="22"/>
        </w:rPr>
        <w:t>Recebimento</w:t>
      </w:r>
    </w:p>
    <w:p w14:paraId="34B85B15">
      <w:pPr>
        <w:pStyle w:val="58"/>
        <w:ind w:left="0" w:firstLine="0"/>
        <w:rPr>
          <w:sz w:val="22"/>
          <w:szCs w:val="22"/>
          <w:lang w:eastAsia="en-US"/>
        </w:rPr>
      </w:pPr>
      <w:r>
        <w:rPr>
          <w:sz w:val="22"/>
          <w:szCs w:val="22"/>
          <w:lang w:eastAsia="en-US"/>
        </w:rPr>
        <w:t xml:space="preserve">Os bens serão recebidos provisoriamente, de forma sumária, no ato da entrega, juntamente com a </w:t>
      </w:r>
      <w:r>
        <w:rPr>
          <w:rFonts w:eastAsia="Calibri"/>
          <w:sz w:val="22"/>
          <w:szCs w:val="22"/>
          <w:lang w:eastAsia="en-US"/>
        </w:rPr>
        <w:t>nota</w:t>
      </w:r>
      <w:r>
        <w:rPr>
          <w:sz w:val="22"/>
          <w:szCs w:val="22"/>
          <w:lang w:eastAsia="en-US"/>
        </w:rPr>
        <w:t xml:space="preserve"> fiscal ou instrumento de cobrança equivalente, pelo(a) responsável pelo acompanhamento e fiscalização do contrato, para efeito de posterior verificação de sua conformidade com as especificações constantes no Termo de Referência na proposta.</w:t>
      </w:r>
    </w:p>
    <w:p w14:paraId="1F8B01F5">
      <w:pPr>
        <w:pStyle w:val="58"/>
        <w:ind w:left="0" w:firstLine="0"/>
        <w:rPr>
          <w:sz w:val="22"/>
          <w:szCs w:val="22"/>
          <w:lang w:eastAsia="en-US"/>
        </w:rPr>
      </w:pPr>
      <w:r>
        <w:rPr>
          <w:sz w:val="22"/>
          <w:szCs w:val="22"/>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Pr>
          <w:color w:val="000000" w:themeColor="text1"/>
          <w:sz w:val="22"/>
          <w:szCs w:val="22"/>
          <w:lang w:eastAsia="en-US"/>
          <w14:textFill>
            <w14:solidFill>
              <w14:schemeClr w14:val="tx1"/>
            </w14:solidFill>
          </w14:textFill>
        </w:rPr>
        <w:t>5</w:t>
      </w:r>
      <w:r>
        <w:rPr>
          <w:sz w:val="22"/>
          <w:szCs w:val="22"/>
          <w:lang w:eastAsia="en-US"/>
        </w:rPr>
        <w:t>dias uteis, a contar da notificação da contratada, às suas custas, sem prejuízo da aplicação das penalidades.</w:t>
      </w:r>
    </w:p>
    <w:p w14:paraId="32D6D8DD">
      <w:pPr>
        <w:pStyle w:val="58"/>
        <w:ind w:left="0" w:firstLine="0"/>
        <w:rPr>
          <w:sz w:val="22"/>
          <w:szCs w:val="22"/>
          <w:lang w:eastAsia="en-US"/>
        </w:rPr>
      </w:pPr>
      <w:r>
        <w:rPr>
          <w:sz w:val="22"/>
          <w:szCs w:val="22"/>
          <w:lang w:eastAsia="en-US"/>
        </w:rPr>
        <w:t xml:space="preserve">O recebimento definitivo ocorrerá no prazo de </w:t>
      </w:r>
      <w:r>
        <w:rPr>
          <w:color w:val="000000" w:themeColor="text1"/>
          <w:sz w:val="22"/>
          <w:szCs w:val="22"/>
          <w:lang w:eastAsia="en-US"/>
          <w14:textFill>
            <w14:solidFill>
              <w14:schemeClr w14:val="tx1"/>
            </w14:solidFill>
          </w14:textFill>
        </w:rPr>
        <w:t xml:space="preserve">5 dias úteis, </w:t>
      </w:r>
      <w:r>
        <w:rPr>
          <w:sz w:val="22"/>
          <w:szCs w:val="22"/>
          <w:lang w:eastAsia="en-US"/>
        </w:rPr>
        <w:t>a contar do recebimento da nota fiscal ou instrumento de cobrança equivalente pela Administração, após a verificação da qualidade e quantidade do material e consequente aceitação mediante termo detalhado.</w:t>
      </w:r>
    </w:p>
    <w:p w14:paraId="774A6D59">
      <w:pPr>
        <w:pStyle w:val="58"/>
        <w:ind w:left="0" w:firstLine="0"/>
        <w:rPr>
          <w:sz w:val="22"/>
          <w:szCs w:val="22"/>
          <w:lang w:eastAsia="en-US"/>
        </w:rPr>
      </w:pPr>
      <w:r>
        <w:rPr>
          <w:sz w:val="22"/>
          <w:szCs w:val="22"/>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sz w:val="22"/>
          <w:szCs w:val="22"/>
          <w:lang w:eastAsia="en-US"/>
        </w:rPr>
        <w:t>inciso II do art. 75 da Lei nº 14.133, de 2021</w:t>
      </w:r>
      <w:r>
        <w:rPr>
          <w:rStyle w:val="13"/>
          <w:sz w:val="22"/>
          <w:szCs w:val="22"/>
          <w:lang w:eastAsia="en-US"/>
        </w:rPr>
        <w:fldChar w:fldCharType="end"/>
      </w:r>
      <w:r>
        <w:rPr>
          <w:sz w:val="22"/>
          <w:szCs w:val="22"/>
          <w:lang w:eastAsia="en-US"/>
        </w:rPr>
        <w:t xml:space="preserve">, o prazo máximo para o recebimento definitivo será </w:t>
      </w:r>
      <w:r>
        <w:rPr>
          <w:color w:val="000000" w:themeColor="text1"/>
          <w:sz w:val="22"/>
          <w:szCs w:val="22"/>
          <w:lang w:eastAsia="en-US"/>
          <w14:textFill>
            <w14:solidFill>
              <w14:schemeClr w14:val="tx1"/>
            </w14:solidFill>
          </w14:textFill>
        </w:rPr>
        <w:t>de até 5 dias úteis.</w:t>
      </w:r>
    </w:p>
    <w:p w14:paraId="7D51F214">
      <w:pPr>
        <w:pStyle w:val="58"/>
        <w:ind w:left="0" w:firstLine="0"/>
        <w:rPr>
          <w:sz w:val="22"/>
          <w:szCs w:val="22"/>
          <w:lang w:eastAsia="en-US"/>
        </w:rPr>
      </w:pPr>
      <w:r>
        <w:rPr>
          <w:sz w:val="22"/>
          <w:szCs w:val="22"/>
          <w:lang w:eastAsia="en-US"/>
        </w:rPr>
        <w:t xml:space="preserve">O prazo para recebimento definitivo poderá ser excepcionalmente prorrogado, </w:t>
      </w:r>
      <w:r>
        <w:rPr>
          <w:color w:val="auto"/>
          <w:sz w:val="22"/>
          <w:szCs w:val="22"/>
          <w:lang w:eastAsia="en-US"/>
        </w:rPr>
        <w:t>de forma justificada, por igual período, quando houver necessidade de diligências para a aferição do ate</w:t>
      </w:r>
      <w:r>
        <w:rPr>
          <w:sz w:val="22"/>
          <w:szCs w:val="22"/>
          <w:lang w:eastAsia="en-US"/>
        </w:rPr>
        <w:t>ndimento das exigências contratuais.</w:t>
      </w:r>
    </w:p>
    <w:p w14:paraId="4BC0E81E">
      <w:pPr>
        <w:pStyle w:val="58"/>
        <w:ind w:left="0" w:firstLine="0"/>
        <w:rPr>
          <w:sz w:val="22"/>
          <w:szCs w:val="22"/>
          <w:lang w:eastAsia="en-US"/>
        </w:rPr>
      </w:pPr>
      <w:r>
        <w:rPr>
          <w:sz w:val="22"/>
          <w:szCs w:val="22"/>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3"/>
          <w:sz w:val="22"/>
          <w:szCs w:val="22"/>
          <w:lang w:eastAsia="en-US"/>
        </w:rPr>
        <w:t>art. 143 da Lei nº 14.133, de 2021</w:t>
      </w:r>
      <w:r>
        <w:rPr>
          <w:rStyle w:val="13"/>
          <w:sz w:val="22"/>
          <w:szCs w:val="22"/>
          <w:lang w:eastAsia="en-US"/>
        </w:rPr>
        <w:fldChar w:fldCharType="end"/>
      </w:r>
      <w:r>
        <w:rPr>
          <w:sz w:val="22"/>
          <w:szCs w:val="22"/>
          <w:lang w:eastAsia="en-US"/>
        </w:rPr>
        <w:t>, comunicando-se à empresa para emissão de Nota Fiscal no que pertine à parcela incontroversa da execução do objeto, para efeito de liquidação e pagamento.</w:t>
      </w:r>
    </w:p>
    <w:p w14:paraId="4295B4AB">
      <w:pPr>
        <w:pStyle w:val="58"/>
        <w:ind w:left="0" w:firstLine="0"/>
        <w:rPr>
          <w:sz w:val="22"/>
          <w:szCs w:val="22"/>
          <w:lang w:eastAsia="en-US"/>
        </w:rPr>
      </w:pPr>
      <w:r>
        <w:rPr>
          <w:sz w:val="22"/>
          <w:szCs w:val="22"/>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440E1EF">
      <w:pPr>
        <w:pStyle w:val="58"/>
        <w:ind w:left="0" w:firstLine="0"/>
        <w:rPr>
          <w:sz w:val="22"/>
          <w:szCs w:val="22"/>
          <w:lang w:eastAsia="en-US"/>
        </w:rPr>
      </w:pPr>
      <w:r>
        <w:rPr>
          <w:sz w:val="22"/>
          <w:szCs w:val="22"/>
          <w:lang w:eastAsia="en-US"/>
        </w:rPr>
        <w:t>O recebimento provisório ou definitivo não excluirá a responsabilidade civil pela solidez e pela segurança dos bens nem a responsabilidade ético-profissional pela perfeita execução do contrato.</w:t>
      </w:r>
    </w:p>
    <w:p w14:paraId="4828512F">
      <w:pPr>
        <w:pStyle w:val="132"/>
        <w:rPr>
          <w:sz w:val="22"/>
          <w:szCs w:val="22"/>
        </w:rPr>
      </w:pPr>
      <w:r>
        <w:rPr>
          <w:sz w:val="22"/>
          <w:szCs w:val="22"/>
        </w:rPr>
        <w:t>Liquidação</w:t>
      </w:r>
    </w:p>
    <w:p w14:paraId="4DBF5D3A">
      <w:pPr>
        <w:pStyle w:val="58"/>
        <w:ind w:left="0" w:firstLine="0"/>
        <w:rPr>
          <w:sz w:val="22"/>
          <w:szCs w:val="22"/>
          <w:lang w:eastAsia="en-US"/>
        </w:rPr>
      </w:pPr>
      <w:r>
        <w:rPr>
          <w:sz w:val="22"/>
          <w:szCs w:val="22"/>
          <w:lang w:eastAsia="en-US"/>
        </w:rPr>
        <w:t>Recebida a Nota Fiscal ou documento de cobrança equivalente, correrá o prazo de dez dias úteis para fins de liquidação, na forma desta seção, prorrogáveis por igual período, nos termos do art. 7º, §3</w:t>
      </w:r>
      <w:r>
        <w:rPr>
          <w:rStyle w:val="13"/>
          <w:sz w:val="22"/>
          <w:szCs w:val="22"/>
          <w:lang w:eastAsia="en-US"/>
        </w:rPr>
        <w:t>º da Instrução Normativa SEGES/ME nº 77/2022</w:t>
      </w:r>
      <w:r>
        <w:rPr>
          <w:sz w:val="22"/>
          <w:szCs w:val="22"/>
          <w:lang w:eastAsia="en-US"/>
        </w:rPr>
        <w:t>.</w:t>
      </w:r>
    </w:p>
    <w:p w14:paraId="41685C27">
      <w:pPr>
        <w:pStyle w:val="60"/>
        <w:ind w:left="284"/>
        <w:rPr>
          <w:sz w:val="22"/>
          <w:szCs w:val="22"/>
        </w:rPr>
      </w:pPr>
      <w:r>
        <w:rPr>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sz w:val="22"/>
          <w:szCs w:val="22"/>
        </w:rPr>
        <w:t>inciso II do art. 75 da Lei nº 14.133, de 2021</w:t>
      </w:r>
      <w:r>
        <w:rPr>
          <w:rStyle w:val="13"/>
          <w:sz w:val="22"/>
          <w:szCs w:val="22"/>
        </w:rPr>
        <w:fldChar w:fldCharType="end"/>
      </w:r>
      <w:r>
        <w:rPr>
          <w:sz w:val="22"/>
          <w:szCs w:val="22"/>
        </w:rPr>
        <w:t>.</w:t>
      </w:r>
    </w:p>
    <w:p w14:paraId="5BA41517">
      <w:pPr>
        <w:pStyle w:val="58"/>
        <w:ind w:left="0" w:firstLine="0"/>
        <w:rPr>
          <w:sz w:val="22"/>
          <w:szCs w:val="22"/>
          <w:lang w:eastAsia="en-US"/>
        </w:rPr>
      </w:pPr>
      <w:r>
        <w:rPr>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40C9F3CA">
      <w:pPr>
        <w:pStyle w:val="60"/>
        <w:ind w:left="284"/>
        <w:rPr>
          <w:sz w:val="22"/>
          <w:szCs w:val="22"/>
          <w:lang w:eastAsia="en-US"/>
        </w:rPr>
      </w:pPr>
      <w:r>
        <w:rPr>
          <w:sz w:val="22"/>
          <w:szCs w:val="22"/>
          <w:lang w:eastAsia="en-US"/>
        </w:rPr>
        <w:t>o prazo de validade;</w:t>
      </w:r>
    </w:p>
    <w:p w14:paraId="1E9A5D75">
      <w:pPr>
        <w:pStyle w:val="60"/>
        <w:ind w:left="284"/>
        <w:rPr>
          <w:sz w:val="22"/>
          <w:szCs w:val="22"/>
          <w:lang w:eastAsia="en-US"/>
        </w:rPr>
      </w:pPr>
      <w:r>
        <w:rPr>
          <w:sz w:val="22"/>
          <w:szCs w:val="22"/>
          <w:lang w:eastAsia="en-US"/>
        </w:rPr>
        <w:t xml:space="preserve">a data da emissão; </w:t>
      </w:r>
    </w:p>
    <w:p w14:paraId="23001983">
      <w:pPr>
        <w:pStyle w:val="60"/>
        <w:ind w:left="284"/>
        <w:rPr>
          <w:sz w:val="22"/>
          <w:szCs w:val="22"/>
          <w:lang w:eastAsia="en-US"/>
        </w:rPr>
      </w:pPr>
      <w:r>
        <w:rPr>
          <w:sz w:val="22"/>
          <w:szCs w:val="22"/>
          <w:lang w:eastAsia="en-US"/>
        </w:rPr>
        <w:t xml:space="preserve">os dados do contrato e do órgão contratante; </w:t>
      </w:r>
    </w:p>
    <w:p w14:paraId="55DF7F6B">
      <w:pPr>
        <w:pStyle w:val="60"/>
        <w:ind w:left="284"/>
        <w:rPr>
          <w:sz w:val="22"/>
          <w:szCs w:val="22"/>
          <w:lang w:eastAsia="en-US"/>
        </w:rPr>
      </w:pPr>
      <w:r>
        <w:rPr>
          <w:sz w:val="22"/>
          <w:szCs w:val="22"/>
          <w:lang w:eastAsia="en-US"/>
        </w:rPr>
        <w:t xml:space="preserve">o período respectivo de execução do contrato; </w:t>
      </w:r>
    </w:p>
    <w:p w14:paraId="7A281AFD">
      <w:pPr>
        <w:pStyle w:val="60"/>
        <w:ind w:left="284"/>
        <w:rPr>
          <w:sz w:val="22"/>
          <w:szCs w:val="22"/>
          <w:lang w:eastAsia="en-US"/>
        </w:rPr>
      </w:pPr>
      <w:r>
        <w:rPr>
          <w:sz w:val="22"/>
          <w:szCs w:val="22"/>
          <w:lang w:eastAsia="en-US"/>
        </w:rPr>
        <w:t xml:space="preserve">o valor a pagar; e </w:t>
      </w:r>
    </w:p>
    <w:p w14:paraId="6FA0440F">
      <w:pPr>
        <w:pStyle w:val="60"/>
        <w:ind w:left="284"/>
        <w:rPr>
          <w:sz w:val="22"/>
          <w:szCs w:val="22"/>
          <w:lang w:eastAsia="en-US"/>
        </w:rPr>
      </w:pPr>
      <w:r>
        <w:rPr>
          <w:sz w:val="22"/>
          <w:szCs w:val="22"/>
          <w:lang w:eastAsia="en-US"/>
        </w:rPr>
        <w:t>eventual destaque do valor de retenções tributárias cabíveis.</w:t>
      </w:r>
    </w:p>
    <w:p w14:paraId="725FDFDE">
      <w:pPr>
        <w:pStyle w:val="58"/>
        <w:ind w:left="0" w:firstLine="0"/>
        <w:rPr>
          <w:sz w:val="22"/>
          <w:szCs w:val="22"/>
          <w:lang w:eastAsia="en-US"/>
        </w:rPr>
      </w:pPr>
      <w:r>
        <w:rPr>
          <w:rFonts w:eastAsia="Calibri"/>
          <w:sz w:val="22"/>
          <w:szCs w:val="22"/>
          <w:lang w:eastAsia="en-US"/>
        </w:rPr>
        <w:t xml:space="preserve"> Havendo erro na apresentação da nota fiscal ou instrumento de cobrança equivalente, ou circunstância que impeça a </w:t>
      </w:r>
      <w:r>
        <w:rPr>
          <w:sz w:val="22"/>
          <w:szCs w:val="22"/>
          <w:lang w:eastAsia="en-US"/>
        </w:rPr>
        <w:t>liquidação da despesa, esta ficará sobrestada até que o contratado providencie as medidas saneadoras, reiniciando-se o prazo após a comprovação da regularização da situação, sem ônus ao contratante;</w:t>
      </w:r>
    </w:p>
    <w:p w14:paraId="631C418E">
      <w:pPr>
        <w:pStyle w:val="58"/>
        <w:ind w:left="0" w:firstLine="0"/>
        <w:rPr>
          <w:sz w:val="22"/>
          <w:szCs w:val="22"/>
          <w:lang w:eastAsia="en-US"/>
        </w:rPr>
      </w:pPr>
      <w:r>
        <w:rPr>
          <w:sz w:val="22"/>
          <w:szCs w:val="22"/>
          <w:lang w:eastAsia="en-US"/>
        </w:rPr>
        <w:t xml:space="preserve"> A nota fiscal ou instrumento de cobrança equivalente deverá ser obrigatoriamente acompanhado da comprovação da regularidade fiscal, constatada por meio de consulta </w:t>
      </w:r>
      <w:r>
        <w:rPr>
          <w:i/>
          <w:iCs/>
          <w:sz w:val="22"/>
          <w:szCs w:val="22"/>
          <w:lang w:eastAsia="en-US"/>
        </w:rPr>
        <w:t>on-line</w:t>
      </w:r>
      <w:r>
        <w:rPr>
          <w:sz w:val="22"/>
          <w:szCs w:val="22"/>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3"/>
          <w:sz w:val="22"/>
          <w:szCs w:val="22"/>
          <w:lang w:eastAsia="en-US"/>
        </w:rPr>
        <w:t xml:space="preserve">art. 68 da Lei nº 14.133, de 2021.  </w:t>
      </w:r>
      <w:r>
        <w:rPr>
          <w:rStyle w:val="13"/>
          <w:sz w:val="22"/>
          <w:szCs w:val="22"/>
          <w:lang w:eastAsia="en-US"/>
        </w:rPr>
        <w:fldChar w:fldCharType="end"/>
      </w:r>
    </w:p>
    <w:p w14:paraId="4E0BD2CE">
      <w:pPr>
        <w:pStyle w:val="58"/>
        <w:ind w:left="0" w:firstLine="0"/>
        <w:rPr>
          <w:sz w:val="22"/>
          <w:szCs w:val="22"/>
        </w:rPr>
      </w:pPr>
      <w:r>
        <w:rPr>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36A30A18">
      <w:pPr>
        <w:pStyle w:val="58"/>
        <w:ind w:left="0" w:firstLine="0"/>
        <w:rPr>
          <w:sz w:val="22"/>
          <w:szCs w:val="22"/>
          <w:lang w:eastAsia="en-US"/>
        </w:rPr>
      </w:pPr>
      <w:r>
        <w:rPr>
          <w:sz w:val="22"/>
          <w:szCs w:val="22"/>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7C70BB8">
      <w:pPr>
        <w:pStyle w:val="58"/>
        <w:ind w:left="0" w:firstLine="0"/>
        <w:rPr>
          <w:sz w:val="22"/>
          <w:szCs w:val="22"/>
          <w:lang w:eastAsia="en-US"/>
        </w:rPr>
      </w:pPr>
      <w:r>
        <w:rPr>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A1952E2">
      <w:pPr>
        <w:pStyle w:val="58"/>
        <w:ind w:left="0" w:firstLine="0"/>
        <w:rPr>
          <w:sz w:val="22"/>
          <w:szCs w:val="22"/>
          <w:lang w:eastAsia="en-US"/>
        </w:rPr>
      </w:pPr>
      <w:r>
        <w:rPr>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588D750D">
      <w:pPr>
        <w:pStyle w:val="58"/>
        <w:ind w:left="0" w:firstLine="0"/>
        <w:rPr>
          <w:sz w:val="22"/>
          <w:szCs w:val="22"/>
          <w:lang w:eastAsia="en-US"/>
        </w:rPr>
      </w:pPr>
      <w:r>
        <w:rPr>
          <w:sz w:val="22"/>
          <w:szCs w:val="22"/>
          <w:lang w:eastAsia="en-US"/>
        </w:rPr>
        <w:t xml:space="preserve">Havendo a efetiva execução do objeto, os pagamentos serão realizados normalmente, até que se decida pela rescisão do contrato, caso o contratado não regularize sua situação junto ao SICAF.  </w:t>
      </w:r>
    </w:p>
    <w:p w14:paraId="45D06277">
      <w:pPr>
        <w:pStyle w:val="132"/>
        <w:rPr>
          <w:sz w:val="22"/>
          <w:szCs w:val="22"/>
        </w:rPr>
      </w:pPr>
      <w:r>
        <w:rPr>
          <w:sz w:val="22"/>
          <w:szCs w:val="22"/>
        </w:rPr>
        <w:t>Prazo de pagamento</w:t>
      </w:r>
    </w:p>
    <w:p w14:paraId="665E5AE7">
      <w:pPr>
        <w:pStyle w:val="58"/>
        <w:ind w:left="0" w:firstLine="0"/>
        <w:rPr>
          <w:sz w:val="22"/>
          <w:szCs w:val="22"/>
        </w:rPr>
      </w:pPr>
      <w:r>
        <w:rPr>
          <w:sz w:val="22"/>
          <w:szCs w:val="22"/>
        </w:rPr>
        <w:t xml:space="preserve">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3"/>
          <w:sz w:val="22"/>
          <w:szCs w:val="22"/>
        </w:rPr>
        <w:t>Instrução Normativa SEGES/ME nº 77, de 2022</w:t>
      </w:r>
      <w:r>
        <w:rPr>
          <w:rStyle w:val="13"/>
          <w:sz w:val="22"/>
          <w:szCs w:val="22"/>
        </w:rPr>
        <w:fldChar w:fldCharType="end"/>
      </w:r>
      <w:r>
        <w:rPr>
          <w:sz w:val="22"/>
          <w:szCs w:val="22"/>
        </w:rPr>
        <w:t>.</w:t>
      </w:r>
    </w:p>
    <w:p w14:paraId="4CD22A6E">
      <w:pPr>
        <w:pStyle w:val="132"/>
        <w:rPr>
          <w:sz w:val="22"/>
          <w:szCs w:val="22"/>
        </w:rPr>
      </w:pPr>
      <w:r>
        <w:rPr>
          <w:sz w:val="22"/>
          <w:szCs w:val="22"/>
        </w:rPr>
        <w:t>Forma de pagamento</w:t>
      </w:r>
    </w:p>
    <w:p w14:paraId="35B2A7FC">
      <w:pPr>
        <w:pStyle w:val="58"/>
        <w:ind w:left="0" w:firstLine="0"/>
        <w:rPr>
          <w:sz w:val="22"/>
          <w:szCs w:val="22"/>
          <w:lang w:eastAsia="en-US"/>
        </w:rPr>
      </w:pPr>
      <w:r>
        <w:rPr>
          <w:sz w:val="22"/>
          <w:szCs w:val="22"/>
          <w:lang w:eastAsia="en-US"/>
        </w:rPr>
        <w:t>O pagamento será realizado por meio de ordem bancária, para crédito em banco, agência e conta corrente indicados pelo contratado.</w:t>
      </w:r>
    </w:p>
    <w:p w14:paraId="21E34936">
      <w:pPr>
        <w:pStyle w:val="58"/>
        <w:ind w:left="0" w:firstLine="0"/>
        <w:rPr>
          <w:sz w:val="22"/>
          <w:szCs w:val="22"/>
          <w:lang w:eastAsia="en-US"/>
        </w:rPr>
      </w:pPr>
      <w:r>
        <w:rPr>
          <w:sz w:val="22"/>
          <w:szCs w:val="22"/>
          <w:lang w:eastAsia="en-US"/>
        </w:rPr>
        <w:t>Será considerada data do pagamento o dia em que constar como emitida a ordem bancária para pagamento.</w:t>
      </w:r>
    </w:p>
    <w:p w14:paraId="277C6E37">
      <w:pPr>
        <w:pStyle w:val="58"/>
        <w:ind w:left="0" w:firstLine="0"/>
        <w:rPr>
          <w:sz w:val="22"/>
          <w:szCs w:val="22"/>
          <w:lang w:eastAsia="en-US"/>
        </w:rPr>
      </w:pPr>
      <w:r>
        <w:rPr>
          <w:sz w:val="22"/>
          <w:szCs w:val="22"/>
          <w:lang w:eastAsia="en-US"/>
        </w:rPr>
        <w:t>Quando do pagamento, será efetuada a retenção tributária prevista na legislação aplicável.</w:t>
      </w:r>
    </w:p>
    <w:p w14:paraId="6B9D0666">
      <w:pPr>
        <w:pStyle w:val="60"/>
        <w:ind w:left="284"/>
        <w:rPr>
          <w:sz w:val="22"/>
          <w:szCs w:val="22"/>
          <w:lang w:eastAsia="en-US"/>
        </w:rPr>
      </w:pPr>
      <w:r>
        <w:rPr>
          <w:sz w:val="22"/>
          <w:szCs w:val="22"/>
          <w:lang w:eastAsia="en-US"/>
        </w:rPr>
        <w:t>Independentemente do percentual de tributo inserido na planilha, quando houver, serão retidos na fonte, quando da realização do pagamento, os percentuais estabelecidos na legislação vigente.</w:t>
      </w:r>
    </w:p>
    <w:p w14:paraId="020B6FC5">
      <w:pPr>
        <w:pStyle w:val="58"/>
        <w:ind w:left="0" w:firstLine="0"/>
        <w:rPr>
          <w:sz w:val="22"/>
          <w:szCs w:val="22"/>
          <w:lang w:eastAsia="en-US"/>
        </w:rPr>
      </w:pPr>
      <w:r>
        <w:rPr>
          <w:sz w:val="22"/>
          <w:szCs w:val="22"/>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3"/>
          <w:sz w:val="22"/>
          <w:szCs w:val="22"/>
          <w:lang w:eastAsia="en-US"/>
        </w:rPr>
        <w:t>Lei Complementar nº 123, de 2006</w:t>
      </w:r>
      <w:r>
        <w:rPr>
          <w:rStyle w:val="13"/>
          <w:sz w:val="22"/>
          <w:szCs w:val="22"/>
          <w:lang w:eastAsia="en-US"/>
        </w:rPr>
        <w:fldChar w:fldCharType="end"/>
      </w:r>
      <w:r>
        <w:rPr>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CB7DA9">
      <w:pPr>
        <w:pStyle w:val="41"/>
        <w:rPr>
          <w:sz w:val="22"/>
          <w:szCs w:val="22"/>
        </w:rPr>
      </w:pPr>
      <w:r>
        <w:rPr>
          <w:sz w:val="22"/>
          <w:szCs w:val="22"/>
        </w:rPr>
        <w:t>FORMA E CRITÉRIOS DE SELEÇÃO DO FORNECEDOR E FORMA DE FORNECIMENTO</w:t>
      </w:r>
    </w:p>
    <w:p w14:paraId="18A06C81">
      <w:pPr>
        <w:pStyle w:val="132"/>
        <w:rPr>
          <w:sz w:val="22"/>
          <w:szCs w:val="22"/>
          <w:highlight w:val="yellow"/>
        </w:rPr>
      </w:pPr>
      <w:r>
        <w:rPr>
          <w:sz w:val="22"/>
          <w:szCs w:val="22"/>
        </w:rPr>
        <w:t>Forma de seleção e critério de julgamento da proposta</w:t>
      </w:r>
    </w:p>
    <w:p w14:paraId="5D6F4C7F">
      <w:pPr>
        <w:pStyle w:val="58"/>
        <w:ind w:left="0" w:firstLine="0"/>
        <w:rPr>
          <w:sz w:val="22"/>
          <w:szCs w:val="22"/>
        </w:rPr>
      </w:pPr>
      <w:r>
        <w:rPr>
          <w:sz w:val="22"/>
          <w:szCs w:val="22"/>
        </w:rPr>
        <w:t xml:space="preserve">O fornecedor será selecionado por meio da realização de procedimento de LICITAÇÃO, na modalidade PREGÃO, sob a forma ELETRÔNICA, com adoção do critério de julgamento pelo </w:t>
      </w:r>
      <w:r>
        <w:rPr>
          <w:color w:val="000000" w:themeColor="text1"/>
          <w:sz w:val="22"/>
          <w:szCs w:val="22"/>
          <w14:textFill>
            <w14:solidFill>
              <w14:schemeClr w14:val="tx1"/>
            </w14:solidFill>
          </w14:textFill>
        </w:rPr>
        <w:t>MENOR PREÇO.</w:t>
      </w:r>
    </w:p>
    <w:p w14:paraId="11D68536">
      <w:pPr>
        <w:pStyle w:val="132"/>
        <w:rPr>
          <w:sz w:val="22"/>
          <w:szCs w:val="22"/>
        </w:rPr>
      </w:pPr>
      <w:r>
        <w:rPr>
          <w:sz w:val="22"/>
          <w:szCs w:val="22"/>
        </w:rPr>
        <w:t>Forma de fornecimento</w:t>
      </w:r>
    </w:p>
    <w:p w14:paraId="6DC114F9">
      <w:pPr>
        <w:pStyle w:val="58"/>
        <w:ind w:left="0" w:firstLine="0"/>
        <w:rPr>
          <w:sz w:val="22"/>
          <w:szCs w:val="22"/>
        </w:rPr>
      </w:pPr>
      <w:r>
        <w:rPr>
          <w:rStyle w:val="51"/>
          <w:sz w:val="22"/>
          <w:szCs w:val="22"/>
          <w:shd w:val="clear" w:color="auto" w:fill="FFFFFF"/>
        </w:rPr>
        <w:t xml:space="preserve">O </w:t>
      </w:r>
      <w:r>
        <w:rPr>
          <w:rStyle w:val="131"/>
          <w:sz w:val="22"/>
          <w:szCs w:val="22"/>
          <w:shd w:val="clear" w:color="auto" w:fill="FFFFFF"/>
        </w:rPr>
        <w:t xml:space="preserve">fornecimento do objeto será </w:t>
      </w:r>
      <w:r>
        <w:rPr>
          <w:sz w:val="22"/>
          <w:szCs w:val="22"/>
        </w:rPr>
        <w:t>parcelado</w:t>
      </w:r>
      <w:r>
        <w:rPr>
          <w:sz w:val="22"/>
          <w:szCs w:val="22"/>
          <w:shd w:val="clear" w:color="auto" w:fill="FFFFFF"/>
        </w:rPr>
        <w:t>.</w:t>
      </w:r>
    </w:p>
    <w:p w14:paraId="234E82AE">
      <w:pPr>
        <w:pStyle w:val="132"/>
        <w:rPr>
          <w:sz w:val="22"/>
          <w:szCs w:val="22"/>
        </w:rPr>
      </w:pPr>
      <w:r>
        <w:rPr>
          <w:sz w:val="22"/>
          <w:szCs w:val="22"/>
        </w:rPr>
        <w:t>Exigências de habilitação</w:t>
      </w:r>
    </w:p>
    <w:p w14:paraId="15F8082F">
      <w:pPr>
        <w:pStyle w:val="58"/>
        <w:ind w:left="0" w:firstLine="0"/>
        <w:rPr>
          <w:sz w:val="22"/>
          <w:szCs w:val="22"/>
        </w:rPr>
      </w:pPr>
      <w:r>
        <w:rPr>
          <w:sz w:val="22"/>
          <w:szCs w:val="22"/>
        </w:rPr>
        <w:t>Para fins de habilitação, deverá o licitante comprovar os seguintes requisitos:</w:t>
      </w:r>
    </w:p>
    <w:p w14:paraId="675EA4AD">
      <w:pPr>
        <w:pStyle w:val="132"/>
        <w:rPr>
          <w:sz w:val="22"/>
          <w:szCs w:val="22"/>
        </w:rPr>
      </w:pPr>
      <w:r>
        <w:rPr>
          <w:sz w:val="22"/>
          <w:szCs w:val="22"/>
        </w:rPr>
        <w:t>Habilitação jurídica</w:t>
      </w:r>
    </w:p>
    <w:p w14:paraId="34E06421">
      <w:pPr>
        <w:pStyle w:val="58"/>
        <w:ind w:left="0" w:firstLine="0"/>
        <w:rPr>
          <w:sz w:val="22"/>
          <w:szCs w:val="22"/>
        </w:rPr>
      </w:pPr>
      <w:r>
        <w:rPr>
          <w:sz w:val="22"/>
          <w:szCs w:val="22"/>
        </w:rPr>
        <w:t>Habilitação Jurídica</w:t>
      </w:r>
    </w:p>
    <w:p w14:paraId="1F6E1351">
      <w:pPr>
        <w:pStyle w:val="60"/>
        <w:ind w:left="284"/>
        <w:rPr>
          <w:sz w:val="22"/>
          <w:szCs w:val="22"/>
        </w:rPr>
      </w:pPr>
      <w:r>
        <w:rPr>
          <w:sz w:val="22"/>
          <w:szCs w:val="22"/>
        </w:rPr>
        <w:t>Ato constitutivo, estatuto ou contrato social em vigor, ou registro empresarial  devidamente registrado. Em se tratando de sociedade por ações, o estatuto social deverá vir acompanhado dos documentos de eleição de seus administradores.</w:t>
      </w:r>
    </w:p>
    <w:p w14:paraId="5CE7CF49">
      <w:pPr>
        <w:pStyle w:val="60"/>
        <w:ind w:left="284"/>
        <w:rPr>
          <w:sz w:val="22"/>
          <w:szCs w:val="22"/>
        </w:rPr>
      </w:pPr>
      <w:r>
        <w:rPr>
          <w:sz w:val="22"/>
          <w:szCs w:val="22"/>
        </w:rPr>
        <w:t>Autorização para o exercício da atividade a ser contratada, quando cabível.</w:t>
      </w:r>
    </w:p>
    <w:p w14:paraId="4407FA96">
      <w:pPr>
        <w:pStyle w:val="58"/>
        <w:ind w:left="0" w:firstLine="0"/>
        <w:rPr>
          <w:sz w:val="22"/>
          <w:szCs w:val="22"/>
        </w:rPr>
      </w:pPr>
      <w:r>
        <w:rPr>
          <w:sz w:val="22"/>
          <w:szCs w:val="22"/>
        </w:rPr>
        <w:t>Regularidade Fiscal Federal e Trabalhista</w:t>
      </w:r>
    </w:p>
    <w:p w14:paraId="012528E2">
      <w:pPr>
        <w:pStyle w:val="60"/>
        <w:ind w:left="284"/>
        <w:rPr>
          <w:sz w:val="22"/>
          <w:szCs w:val="22"/>
        </w:rPr>
      </w:pPr>
      <w:r>
        <w:rPr>
          <w:sz w:val="22"/>
          <w:szCs w:val="22"/>
        </w:rPr>
        <w:t>CNPJ – Cadastro Nacional de Pessoa Jurídica emitido pelo Ministério da Fazenda.</w:t>
      </w:r>
    </w:p>
    <w:p w14:paraId="099E1828">
      <w:pPr>
        <w:pStyle w:val="60"/>
        <w:ind w:left="284"/>
        <w:rPr>
          <w:sz w:val="22"/>
          <w:szCs w:val="22"/>
        </w:rPr>
      </w:pPr>
      <w:r>
        <w:rPr>
          <w:sz w:val="22"/>
          <w:szCs w:val="22"/>
        </w:rPr>
        <w:t>Prova de inscrição no Cadastro de Contribuintes Estadual ou Municipal, relativo à sede ou domicílio do licitante, pertinente ao seu ramo de atividade e compatível com o objeto do certame;</w:t>
      </w:r>
    </w:p>
    <w:p w14:paraId="111176E6">
      <w:pPr>
        <w:pStyle w:val="60"/>
        <w:ind w:left="284"/>
        <w:rPr>
          <w:sz w:val="22"/>
          <w:szCs w:val="22"/>
        </w:rPr>
      </w:pPr>
      <w:r>
        <w:rPr>
          <w:sz w:val="22"/>
          <w:szCs w:val="22"/>
        </w:rPr>
        <w:t>Prova de Regularidade para com a Fazenda Nacional, comprovada mediante fornecimento de Certidão conjunta negativa de débitos relativos a Tributos Federais e a Dívida Ativa da União, e Seguridade Social.</w:t>
      </w:r>
    </w:p>
    <w:p w14:paraId="660B15A7">
      <w:pPr>
        <w:pStyle w:val="60"/>
        <w:ind w:left="284"/>
        <w:rPr>
          <w:sz w:val="22"/>
          <w:szCs w:val="22"/>
        </w:rPr>
      </w:pPr>
      <w:r>
        <w:rPr>
          <w:sz w:val="22"/>
          <w:szCs w:val="22"/>
        </w:rPr>
        <w:t>Certidão de regularidade de débitos tributários com a Fazenda Estadual e Municipal;</w:t>
      </w:r>
    </w:p>
    <w:p w14:paraId="524AA3C9">
      <w:pPr>
        <w:pStyle w:val="60"/>
        <w:ind w:left="284"/>
        <w:rPr>
          <w:sz w:val="22"/>
          <w:szCs w:val="22"/>
        </w:rPr>
      </w:pPr>
      <w:r>
        <w:rPr>
          <w:sz w:val="22"/>
          <w:szCs w:val="22"/>
        </w:rPr>
        <w:t>FGTS - Prova de regularidade de recolhimento de Fundo de Garantia por Tempo de Serviço-FGTS, mediante a apresentação de Certificado fornecido pela Caixa Econômica Federal.</w:t>
      </w:r>
    </w:p>
    <w:p w14:paraId="147A3EC6">
      <w:pPr>
        <w:pStyle w:val="60"/>
        <w:ind w:left="284"/>
        <w:rPr>
          <w:sz w:val="22"/>
          <w:szCs w:val="22"/>
        </w:rPr>
      </w:pPr>
      <w:r>
        <w:rPr>
          <w:sz w:val="22"/>
          <w:szCs w:val="22"/>
        </w:rPr>
        <w:t>CNDT - Prova de inexistência de débitos inadimplidos perante a Justiça do Trabalho, mediante a apresentação de Certidão Negativa, nos termos do Título VII-A da Consolidação das Leis do Trabalho, disponível no Portal do Tribunal Superior do Trabalho (</w:t>
      </w:r>
      <w:r>
        <w:fldChar w:fldCharType="begin"/>
      </w:r>
      <w:r>
        <w:instrText xml:space="preserve"> HYPERLINK "http://www.tst.jus.br/certidao" </w:instrText>
      </w:r>
      <w:r>
        <w:fldChar w:fldCharType="separate"/>
      </w:r>
      <w:r>
        <w:rPr>
          <w:rStyle w:val="13"/>
          <w:bCs/>
          <w:sz w:val="22"/>
          <w:szCs w:val="22"/>
        </w:rPr>
        <w:t>www.tst.jus.br/certidao</w:t>
      </w:r>
      <w:r>
        <w:rPr>
          <w:rStyle w:val="13"/>
          <w:bCs/>
          <w:sz w:val="22"/>
          <w:szCs w:val="22"/>
        </w:rPr>
        <w:fldChar w:fldCharType="end"/>
      </w:r>
      <w:r>
        <w:rPr>
          <w:sz w:val="22"/>
          <w:szCs w:val="22"/>
        </w:rPr>
        <w:t>)</w:t>
      </w:r>
    </w:p>
    <w:p w14:paraId="30C6E2DC">
      <w:pPr>
        <w:pStyle w:val="58"/>
        <w:ind w:left="0" w:firstLine="0"/>
        <w:rPr>
          <w:sz w:val="22"/>
          <w:szCs w:val="22"/>
        </w:rPr>
      </w:pPr>
      <w:r>
        <w:rPr>
          <w:sz w:val="22"/>
          <w:szCs w:val="22"/>
        </w:rPr>
        <w:t>Qualificação Técnica</w:t>
      </w:r>
    </w:p>
    <w:p w14:paraId="58F9DCD9">
      <w:pPr>
        <w:pStyle w:val="60"/>
        <w:ind w:left="284"/>
        <w:rPr>
          <w:sz w:val="22"/>
          <w:szCs w:val="22"/>
        </w:rPr>
      </w:pPr>
      <w:r>
        <w:rPr>
          <w:sz w:val="22"/>
          <w:szCs w:val="22"/>
        </w:rPr>
        <w:t>Prova de aptidão para o desempenho de atividade pertinente e compatível em características, quantidades e prazos com o objeto desta licitação, por meio da apresentação de atestado(s) expedido(s) por pessoa jurídica de direito público ou privado, em nome da licitante, comprovando que a licitante forneceu/executou, bens/serviços com características semelhantes e compatíveis com o objeto do Edital.</w:t>
      </w:r>
    </w:p>
    <w:p w14:paraId="049A6340">
      <w:pPr>
        <w:pStyle w:val="58"/>
        <w:ind w:left="0" w:firstLine="0"/>
        <w:rPr>
          <w:sz w:val="22"/>
          <w:szCs w:val="22"/>
        </w:rPr>
      </w:pPr>
      <w:r>
        <w:rPr>
          <w:sz w:val="22"/>
          <w:szCs w:val="22"/>
        </w:rPr>
        <w:t>Qualificação Econômico-Financeira</w:t>
      </w:r>
    </w:p>
    <w:p w14:paraId="31DE4FBD">
      <w:pPr>
        <w:pStyle w:val="60"/>
        <w:ind w:left="284"/>
        <w:rPr>
          <w:sz w:val="22"/>
          <w:szCs w:val="22"/>
        </w:rPr>
      </w:pPr>
      <w:r>
        <w:rPr>
          <w:sz w:val="22"/>
          <w:szCs w:val="22"/>
        </w:rPr>
        <w:t>Balanço patrimonial dos últimos dois exercícios sociais exigíveis, apresentados na forma da lei.</w:t>
      </w:r>
    </w:p>
    <w:p w14:paraId="38A5D60F">
      <w:pPr>
        <w:pStyle w:val="60"/>
        <w:ind w:left="284"/>
        <w:rPr>
          <w:sz w:val="22"/>
          <w:szCs w:val="22"/>
        </w:rPr>
      </w:pPr>
      <w:r>
        <w:rPr>
          <w:sz w:val="22"/>
          <w:szCs w:val="22"/>
        </w:rPr>
        <w:t xml:space="preserve">Certidão negativa de feitos sobre falência, expedida pelo distribuidor da sede da licitante. </w:t>
      </w:r>
    </w:p>
    <w:p w14:paraId="4D11D377">
      <w:pPr>
        <w:pStyle w:val="60"/>
        <w:ind w:left="284"/>
        <w:rPr>
          <w:sz w:val="22"/>
          <w:szCs w:val="22"/>
        </w:rPr>
      </w:pPr>
      <w:r>
        <w:rPr>
          <w:sz w:val="22"/>
          <w:szCs w:val="22"/>
        </w:rPr>
        <w:t xml:space="preserve">Índices de Liquidez Geral (LG), Liquidez Corrente (LC) e Solvência Geral (SG) superiores a 1. </w:t>
      </w:r>
    </w:p>
    <w:p w14:paraId="3FEA6A27">
      <w:pPr>
        <w:pStyle w:val="60"/>
        <w:ind w:left="284"/>
        <w:rPr>
          <w:sz w:val="22"/>
          <w:szCs w:val="22"/>
        </w:rPr>
      </w:pPr>
      <w:r>
        <w:rPr>
          <w:sz w:val="22"/>
          <w:szCs w:val="22"/>
        </w:rPr>
        <w:t>Patrimônio Líquido igual ou superior a 10% (dez por cento) do valor estimado para a contratação;</w:t>
      </w:r>
    </w:p>
    <w:p w14:paraId="1EF71F8E">
      <w:pPr>
        <w:pStyle w:val="60"/>
        <w:ind w:left="284"/>
        <w:rPr>
          <w:sz w:val="22"/>
          <w:szCs w:val="22"/>
        </w:rPr>
      </w:pPr>
      <w:r>
        <w:rPr>
          <w:sz w:val="22"/>
          <w:szCs w:val="22"/>
        </w:rPr>
        <w:t>É vedada a substituição do Balanço Patrimonial e da Demonstração do Resultado do Exercício por balancetes ou balanços provisórios.</w:t>
      </w:r>
    </w:p>
    <w:p w14:paraId="098245B5">
      <w:pPr>
        <w:pStyle w:val="58"/>
        <w:ind w:left="0" w:firstLine="0"/>
        <w:rPr>
          <w:sz w:val="22"/>
          <w:szCs w:val="22"/>
        </w:rPr>
      </w:pPr>
      <w:r>
        <w:rPr>
          <w:sz w:val="22"/>
          <w:szCs w:val="22"/>
        </w:rPr>
        <w:t>Declarações complementares de apresentação obrigatória:</w:t>
      </w:r>
    </w:p>
    <w:p w14:paraId="65B8F04B">
      <w:pPr>
        <w:pStyle w:val="60"/>
        <w:ind w:left="284"/>
        <w:rPr>
          <w:sz w:val="22"/>
          <w:szCs w:val="22"/>
        </w:rPr>
      </w:pPr>
      <w:r>
        <w:rPr>
          <w:sz w:val="22"/>
          <w:szCs w:val="22"/>
        </w:rPr>
        <w:t>Declaração de pleno cumprimento dos requisitos de habilitação.</w:t>
      </w:r>
    </w:p>
    <w:p w14:paraId="02E7484A">
      <w:pPr>
        <w:pStyle w:val="60"/>
        <w:ind w:left="284"/>
        <w:rPr>
          <w:sz w:val="22"/>
          <w:szCs w:val="22"/>
        </w:rPr>
      </w:pPr>
      <w:r>
        <w:rPr>
          <w:sz w:val="22"/>
          <w:szCs w:val="22"/>
        </w:rPr>
        <w:t>Em se tratando de microempresa ou de empresa de pequeno porte, declaração subscrita por representante legal do licitante afirmando o seu enquadramento nos critérios previstos no artigo 3º da Lei Complementar Federal n° 123/2006, bem como sua não inclusão nas vedações previstas no mesmo diploma legal.</w:t>
      </w:r>
    </w:p>
    <w:p w14:paraId="7DCCE697">
      <w:pPr>
        <w:pStyle w:val="60"/>
        <w:ind w:left="284"/>
        <w:rPr>
          <w:sz w:val="22"/>
          <w:szCs w:val="22"/>
        </w:rPr>
      </w:pPr>
      <w:r>
        <w:rPr>
          <w:sz w:val="22"/>
          <w:szCs w:val="22"/>
        </w:rPr>
        <w:t>Em se tratando de cooperativa que preencha as condições estabelecidas no artigo 34 da Lei Federal nº 11.488/2007, declaração subscrita por representante legal do licitante afirmando que seu estatuto foi adequado à Lei Federal nº 12.690/2012 e que aufere Receita Bruta até o limite definido no inciso II do caput do art. 3º da Lei Complementar Federal n° 123/2006.</w:t>
      </w:r>
    </w:p>
    <w:p w14:paraId="38B73967">
      <w:pPr>
        <w:pStyle w:val="60"/>
        <w:ind w:left="284"/>
        <w:rPr>
          <w:bCs/>
          <w:sz w:val="22"/>
          <w:szCs w:val="22"/>
          <w:lang w:eastAsia="en-US"/>
        </w:rPr>
      </w:pPr>
      <w:r>
        <w:rPr>
          <w:bCs/>
          <w:sz w:val="22"/>
          <w:szCs w:val="22"/>
          <w:lang w:eastAsia="en-US"/>
        </w:rPr>
        <w:t>D</w:t>
      </w:r>
      <w:r>
        <w:rPr>
          <w:sz w:val="22"/>
          <w:szCs w:val="22"/>
        </w:rPr>
        <w:t>eclaração de que cumpre as exigências de reserva de cargos para pessoa com deficiência e para reabilitado da Previdência Social, previstas no art. 93 da Lei nº 8.213/1991.</w:t>
      </w:r>
    </w:p>
    <w:p w14:paraId="6821E946">
      <w:pPr>
        <w:pStyle w:val="58"/>
        <w:ind w:left="0" w:firstLine="0"/>
        <w:rPr>
          <w:sz w:val="22"/>
          <w:szCs w:val="22"/>
        </w:rPr>
      </w:pPr>
      <w:r>
        <w:rPr>
          <w:bCs/>
          <w:sz w:val="22"/>
          <w:szCs w:val="22"/>
        </w:rPr>
        <w:t>Os documentos exigidos para fins</w:t>
      </w:r>
      <w:r>
        <w:rPr>
          <w:sz w:val="22"/>
          <w:szCs w:val="22"/>
        </w:rPr>
        <w:t xml:space="preserve"> de habilitação serão apresentados por meio eletrônico, via Sistema BBMNET.</w:t>
      </w:r>
    </w:p>
    <w:p w14:paraId="77FF1FDB">
      <w:pPr>
        <w:pStyle w:val="60"/>
        <w:ind w:left="284"/>
        <w:rPr>
          <w:sz w:val="22"/>
          <w:szCs w:val="22"/>
        </w:rPr>
      </w:pPr>
      <w:r>
        <w:rPr>
          <w:sz w:val="22"/>
          <w:szCs w:val="22"/>
        </w:rPr>
        <w:t>Havendo dúvida sobre a veracidade do documento, será exigida a apresentação dos originais não-digitais.</w:t>
      </w:r>
    </w:p>
    <w:p w14:paraId="11761750">
      <w:pPr>
        <w:pStyle w:val="58"/>
        <w:ind w:left="0" w:firstLine="0"/>
        <w:rPr>
          <w:i/>
          <w:sz w:val="22"/>
          <w:szCs w:val="22"/>
        </w:rPr>
      </w:pPr>
      <w:r>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A690A30">
      <w:pPr>
        <w:pStyle w:val="58"/>
        <w:ind w:left="0" w:firstLine="0"/>
        <w:rPr>
          <w:sz w:val="22"/>
          <w:szCs w:val="22"/>
        </w:rPr>
      </w:pPr>
      <w:r>
        <w:rPr>
          <w:sz w:val="22"/>
          <w:szCs w:val="22"/>
        </w:rPr>
        <w:t>Eventual inabilitação do licitante será considerada para fins de apuração da veracidade das informações prestadas na declaração de cumprimento aos requisitos de habilitação, conforme o art. 63, I, da Lei nº 14.133/2021.</w:t>
      </w:r>
    </w:p>
    <w:p w14:paraId="2AB8C122">
      <w:pPr>
        <w:pStyle w:val="58"/>
        <w:ind w:left="0" w:firstLine="0"/>
        <w:rPr>
          <w:i/>
          <w:sz w:val="22"/>
          <w:szCs w:val="22"/>
        </w:rPr>
      </w:pPr>
      <w:r>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CD60C32">
      <w:pPr>
        <w:pStyle w:val="58"/>
        <w:ind w:left="0" w:firstLine="0"/>
        <w:rPr>
          <w:i/>
          <w:iCs/>
          <w:sz w:val="22"/>
          <w:szCs w:val="22"/>
        </w:rPr>
      </w:pPr>
      <w:r>
        <w:rPr>
          <w:sz w:val="22"/>
          <w:szCs w:val="22"/>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0A9EA1A6">
      <w:pPr>
        <w:pStyle w:val="60"/>
        <w:ind w:left="284"/>
        <w:rPr>
          <w:i/>
          <w:iCs/>
          <w:sz w:val="22"/>
          <w:szCs w:val="22"/>
        </w:rPr>
      </w:pPr>
      <w:r>
        <w:rPr>
          <w:sz w:val="22"/>
          <w:szCs w:val="22"/>
        </w:rPr>
        <w:t>O licitante que optar por realizar vistoria prévia terá disponibilizado pela Administração data e horário exclusivos, a ser agendado [INDICAR FORMA DE AGENDAMENTO], de modo que seu agendamento não coincida com o agendamento de outros licitantes.</w:t>
      </w:r>
    </w:p>
    <w:p w14:paraId="02AC1BB9">
      <w:pPr>
        <w:pStyle w:val="60"/>
        <w:ind w:left="284"/>
        <w:rPr>
          <w:i/>
          <w:iCs/>
          <w:sz w:val="22"/>
          <w:szCs w:val="22"/>
        </w:rPr>
      </w:pPr>
      <w:r>
        <w:rPr>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FB04773">
      <w:pPr>
        <w:pStyle w:val="58"/>
        <w:ind w:left="0" w:firstLine="0"/>
        <w:rPr>
          <w:i/>
          <w:iCs/>
          <w:sz w:val="22"/>
          <w:szCs w:val="22"/>
        </w:rPr>
      </w:pPr>
      <w:r>
        <w:rPr>
          <w:sz w:val="22"/>
          <w:szCs w:val="22"/>
        </w:rPr>
        <w:t>A verificação pelo pregoeiro, em sítios eletrônicos oficiais de órgãos e entidades emissores de certidões constitui meio legal de prova, para fins de habilitação.</w:t>
      </w:r>
    </w:p>
    <w:p w14:paraId="48B1C5F2">
      <w:pPr>
        <w:pStyle w:val="58"/>
        <w:ind w:left="0" w:firstLine="0"/>
        <w:rPr>
          <w:sz w:val="22"/>
          <w:szCs w:val="22"/>
        </w:rPr>
      </w:pPr>
      <w:r>
        <w:rPr>
          <w:sz w:val="22"/>
          <w:szCs w:val="22"/>
        </w:rPr>
        <w:t>Os documentos adicionais exigidos para habilitação serão enviados por meio do sistema, em formato digital, no prazo estipulado pelo pregoeiro.</w:t>
      </w:r>
    </w:p>
    <w:p w14:paraId="6703A41C">
      <w:pPr>
        <w:pStyle w:val="58"/>
        <w:ind w:left="0" w:firstLine="0"/>
        <w:rPr>
          <w:i/>
          <w:iCs/>
          <w:sz w:val="22"/>
          <w:szCs w:val="22"/>
        </w:rPr>
      </w:pPr>
      <w:r>
        <w:rPr>
          <w:sz w:val="22"/>
          <w:szCs w:val="22"/>
        </w:rPr>
        <w:t xml:space="preserve">Após a </w:t>
      </w:r>
      <w:r>
        <w:rPr>
          <w:color w:val="auto"/>
          <w:sz w:val="22"/>
          <w:szCs w:val="22"/>
        </w:rPr>
        <w:t xml:space="preserve">vinculação </w:t>
      </w:r>
      <w:r>
        <w:rPr>
          <w:sz w:val="22"/>
          <w:szCs w:val="22"/>
        </w:rPr>
        <w:t>dos documentos para habilitação, não será permitida a substituição ou a apresentação de novos documentos, salvo em sede de diligência:</w:t>
      </w:r>
    </w:p>
    <w:p w14:paraId="11BBC627">
      <w:pPr>
        <w:pStyle w:val="60"/>
        <w:ind w:left="284"/>
        <w:rPr>
          <w:i/>
          <w:iCs/>
          <w:sz w:val="22"/>
          <w:szCs w:val="22"/>
        </w:rPr>
      </w:pPr>
      <w:r>
        <w:rPr>
          <w:sz w:val="22"/>
          <w:szCs w:val="22"/>
        </w:rPr>
        <w:t>complementação de informações acerca dos documentos já apresentados pelos licitantes e desde que necessária para apurar fatos existentes à época da abertura do certame; e</w:t>
      </w:r>
    </w:p>
    <w:p w14:paraId="6BAD82EF">
      <w:pPr>
        <w:pStyle w:val="60"/>
        <w:ind w:left="284"/>
        <w:rPr>
          <w:i/>
          <w:iCs/>
          <w:sz w:val="22"/>
          <w:szCs w:val="22"/>
        </w:rPr>
      </w:pPr>
      <w:r>
        <w:rPr>
          <w:sz w:val="22"/>
          <w:szCs w:val="22"/>
        </w:rPr>
        <w:t>atualização de documentos cuja validade tenha expirado após a data de recebimento das propostas;</w:t>
      </w:r>
    </w:p>
    <w:p w14:paraId="7A84F093">
      <w:pPr>
        <w:pStyle w:val="58"/>
        <w:ind w:left="0" w:firstLine="0"/>
        <w:rPr>
          <w:i/>
          <w:sz w:val="22"/>
          <w:szCs w:val="22"/>
        </w:rPr>
      </w:pPr>
      <w:r>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90E2B04">
      <w:pPr>
        <w:pStyle w:val="58"/>
        <w:ind w:left="0" w:firstLine="0"/>
        <w:rPr>
          <w:i/>
          <w:iCs/>
          <w:color w:val="auto"/>
          <w:sz w:val="22"/>
          <w:szCs w:val="22"/>
        </w:rPr>
      </w:pPr>
      <w:r>
        <w:rPr>
          <w:sz w:val="22"/>
          <w:szCs w:val="22"/>
        </w:rPr>
        <w:t xml:space="preserve">Na hipótese de o licitante não atender às exigências para habilitação, o pregoeiro examinará a proposta subsequente e assim sucessivamente, na ordem </w:t>
      </w:r>
      <w:r>
        <w:rPr>
          <w:color w:val="auto"/>
          <w:sz w:val="22"/>
          <w:szCs w:val="22"/>
        </w:rPr>
        <w:t>de classificação, até a apuração de uma proposta que atenda ao presente edital.</w:t>
      </w:r>
    </w:p>
    <w:p w14:paraId="6491B710">
      <w:pPr>
        <w:pStyle w:val="41"/>
        <w:rPr>
          <w:sz w:val="22"/>
          <w:szCs w:val="22"/>
        </w:rPr>
      </w:pPr>
      <w:r>
        <w:rPr>
          <w:sz w:val="22"/>
          <w:szCs w:val="22"/>
        </w:rPr>
        <w:t>ADEQUAÇÃO ORÇAMENTÁRIA</w:t>
      </w:r>
    </w:p>
    <w:p w14:paraId="4528CDAF">
      <w:pPr>
        <w:pStyle w:val="58"/>
        <w:ind w:left="0" w:firstLine="0"/>
        <w:rPr>
          <w:sz w:val="22"/>
          <w:szCs w:val="22"/>
        </w:rPr>
      </w:pPr>
      <w:r>
        <w:rPr>
          <w:sz w:val="22"/>
          <w:szCs w:val="22"/>
        </w:rPr>
        <w:t>As despesas decorrentes da presente contratação correrão à conta de recursos específicos consignados no Orçamento Geral da União.</w:t>
      </w:r>
    </w:p>
    <w:p w14:paraId="4967897E">
      <w:pPr>
        <w:pStyle w:val="58"/>
        <w:ind w:left="0" w:firstLine="0"/>
        <w:rPr>
          <w:sz w:val="22"/>
          <w:szCs w:val="22"/>
        </w:rPr>
      </w:pPr>
      <w:r>
        <w:rPr>
          <w:sz w:val="22"/>
          <w:szCs w:val="22"/>
        </w:rPr>
        <w:t>A contratação será atendida pela seguinte dotação:</w:t>
      </w:r>
    </w:p>
    <w:p w14:paraId="5DA391C3">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A dotação relativa aos exercícios financeiros subsequentes será indicada após aprovação da Lei Orçamentária respectiva e liberação dos créditos correspondentes, mediante apostilamento.</w:t>
      </w:r>
    </w:p>
    <w:p w14:paraId="671BC7EB">
      <w:pPr>
        <w:pStyle w:val="58"/>
        <w:numPr>
          <w:ilvl w:val="0"/>
          <w:numId w:val="0"/>
        </w:numPr>
        <w:rPr>
          <w:sz w:val="22"/>
          <w:szCs w:val="22"/>
        </w:rPr>
      </w:pPr>
    </w:p>
    <w:p w14:paraId="2FD179A9">
      <w:pPr>
        <w:pStyle w:val="58"/>
        <w:numPr>
          <w:ilvl w:val="0"/>
          <w:numId w:val="0"/>
        </w:numPr>
        <w:jc w:val="right"/>
        <w:rPr>
          <w:sz w:val="22"/>
          <w:szCs w:val="22"/>
        </w:rPr>
      </w:pPr>
      <w:r>
        <w:rPr>
          <w:sz w:val="22"/>
          <w:szCs w:val="22"/>
        </w:rPr>
        <w:t>RAFAEL FERNANDES/RN. 02/Junho/2025</w:t>
      </w:r>
    </w:p>
    <w:p w14:paraId="1226AF92">
      <w:pPr>
        <w:pStyle w:val="58"/>
        <w:numPr>
          <w:ilvl w:val="0"/>
          <w:numId w:val="0"/>
        </w:numPr>
        <w:jc w:val="right"/>
        <w:rPr>
          <w:sz w:val="22"/>
          <w:szCs w:val="22"/>
        </w:rPr>
      </w:pPr>
    </w:p>
    <w:p w14:paraId="16AC604E">
      <w:pPr>
        <w:spacing w:after="288" w:afterLines="120" w:line="312" w:lineRule="auto"/>
        <w:ind w:left="357"/>
        <w:jc w:val="center"/>
        <w:rPr>
          <w:rFonts w:ascii="Arial" w:hAnsi="Arial" w:eastAsia="Arial" w:cs="Arial"/>
          <w:sz w:val="22"/>
          <w:szCs w:val="22"/>
        </w:rPr>
      </w:pPr>
      <w:r>
        <w:rPr>
          <w:rFonts w:ascii="Arial" w:hAnsi="Arial" w:eastAsia="Arial" w:cs="Arial"/>
          <w:sz w:val="22"/>
          <w:szCs w:val="22"/>
        </w:rPr>
        <w:t>__________________________________</w:t>
      </w:r>
    </w:p>
    <w:p w14:paraId="6DF75857">
      <w:pPr>
        <w:spacing w:after="288" w:afterLines="120" w:line="312" w:lineRule="auto"/>
        <w:ind w:left="360"/>
        <w:jc w:val="center"/>
        <w:rPr>
          <w:rFonts w:ascii="Arial" w:hAnsi="Arial" w:eastAsia="Arial" w:cs="Arial"/>
          <w:sz w:val="22"/>
          <w:szCs w:val="22"/>
        </w:rPr>
      </w:pPr>
      <w:r>
        <w:rPr>
          <w:rFonts w:ascii="Arial" w:hAnsi="Arial" w:eastAsia="Arial" w:cs="Arial"/>
          <w:sz w:val="22"/>
          <w:szCs w:val="22"/>
        </w:rPr>
        <w:t>BENILTON RODRIGUES FERREIRA</w:t>
      </w:r>
    </w:p>
    <w:p w14:paraId="4504F0CD">
      <w:pPr>
        <w:spacing w:after="288" w:afterLines="120" w:line="312" w:lineRule="auto"/>
        <w:ind w:left="360"/>
        <w:jc w:val="center"/>
        <w:rPr>
          <w:rFonts w:ascii="Arial" w:hAnsi="Arial" w:cs="Arial"/>
          <w:sz w:val="22"/>
          <w:szCs w:val="22"/>
        </w:rPr>
      </w:pPr>
      <w:r>
        <w:rPr>
          <w:rFonts w:ascii="Arial" w:hAnsi="Arial" w:eastAsia="Arial" w:cs="Arial"/>
          <w:sz w:val="22"/>
          <w:szCs w:val="22"/>
        </w:rPr>
        <w:t>PREFEITO MUNICIPAL</w:t>
      </w:r>
    </w:p>
    <w:p w14:paraId="2B35F281">
      <w:pPr>
        <w:rPr>
          <w:rFonts w:ascii="Arial" w:hAnsi="Arial" w:eastAsia="Arial" w:cs="Arial"/>
          <w:b/>
          <w:color w:val="FF0000"/>
          <w:sz w:val="22"/>
          <w:szCs w:val="22"/>
        </w:rPr>
      </w:pPr>
      <w:r>
        <w:rPr>
          <w:rFonts w:ascii="Arial" w:hAnsi="Arial" w:cs="Arial"/>
          <w:sz w:val="22"/>
          <w:szCs w:val="22"/>
        </w:rPr>
        <w:br w:type="page"/>
      </w:r>
      <w:r>
        <w:rPr>
          <w:rFonts w:ascii="Arial" w:hAnsi="Arial" w:eastAsia="Arial" w:cs="Arial"/>
          <w:b/>
          <w:sz w:val="22"/>
          <w:szCs w:val="22"/>
        </w:rPr>
        <w:t xml:space="preserve">CONTRATO ADMINISTRATIVO Nº </w:t>
      </w:r>
      <w:r>
        <w:rPr>
          <w:rFonts w:ascii="Arial" w:hAnsi="Arial" w:eastAsia="Arial" w:cs="Arial"/>
          <w:b/>
          <w:color w:val="FF0000"/>
          <w:sz w:val="22"/>
          <w:szCs w:val="22"/>
        </w:rPr>
        <w:t>......../....</w:t>
      </w:r>
      <w:r>
        <w:rPr>
          <w:rFonts w:ascii="Arial" w:hAnsi="Arial" w:eastAsia="Arial" w:cs="Arial"/>
          <w:b/>
          <w:sz w:val="22"/>
          <w:szCs w:val="22"/>
        </w:rPr>
        <w:t xml:space="preserve">, QUE FAZEM ENTRE SI A UNIÃO, POR INTERMÉDIO DO (A) </w:t>
      </w:r>
      <w:r>
        <w:rPr>
          <w:rFonts w:ascii="Arial" w:hAnsi="Arial" w:eastAsia="Arial" w:cs="Arial"/>
          <w:b/>
          <w:color w:val="FF0000"/>
          <w:sz w:val="22"/>
          <w:szCs w:val="22"/>
        </w:rPr>
        <w:t>.........................................................</w:t>
      </w:r>
      <w:r>
        <w:rPr>
          <w:rFonts w:ascii="Arial" w:hAnsi="Arial" w:eastAsia="Arial" w:cs="Arial"/>
          <w:b/>
          <w:sz w:val="22"/>
          <w:szCs w:val="22"/>
        </w:rPr>
        <w:t xml:space="preserve"> E A EMPRESA </w:t>
      </w:r>
      <w:r>
        <w:rPr>
          <w:rFonts w:ascii="Arial" w:hAnsi="Arial" w:eastAsia="Arial" w:cs="Arial"/>
          <w:b/>
          <w:color w:val="FF0000"/>
          <w:sz w:val="22"/>
          <w:szCs w:val="22"/>
        </w:rPr>
        <w:t xml:space="preserve">.............................................................  </w:t>
      </w:r>
    </w:p>
    <w:p w14:paraId="4FA507B1">
      <w:pPr>
        <w:spacing w:before="120" w:after="120"/>
        <w:jc w:val="both"/>
        <w:rPr>
          <w:rFonts w:ascii="Arial" w:hAnsi="Arial" w:eastAsia="Arial" w:cs="Arial"/>
          <w:sz w:val="22"/>
          <w:szCs w:val="22"/>
        </w:rPr>
      </w:pPr>
      <w:r>
        <w:rPr>
          <w:rFonts w:ascii="Arial" w:hAnsi="Arial" w:eastAsia="Arial" w:cs="Arial"/>
          <w:i/>
          <w:sz w:val="22"/>
          <w:szCs w:val="22"/>
        </w:rPr>
        <w:t xml:space="preserve">O Município de RAFAEL FERNANDES/RN </w:t>
      </w:r>
      <w:r>
        <w:rPr>
          <w:rFonts w:ascii="Arial" w:hAnsi="Arial" w:eastAsia="Arial" w:cs="Arial"/>
          <w:sz w:val="22"/>
          <w:szCs w:val="22"/>
        </w:rPr>
        <w:t xml:space="preserve">por intermédio do seu Ordenador de Despesas, com sede no(a) Rua da Matriz, nº 158, Centro, na cidade de RAFAEL FERNANDES /RN, inscrito(a) no CNPJ sob o nº 08.148.439/0001-78, neste ato representado(a) pelo(a) </w:t>
      </w:r>
      <w:r>
        <w:rPr>
          <w:rFonts w:ascii="Arial" w:hAnsi="Arial" w:eastAsia="Arial" w:cs="Arial"/>
          <w:color w:val="FF0000"/>
          <w:sz w:val="22"/>
          <w:szCs w:val="22"/>
        </w:rPr>
        <w:t>......................... (</w:t>
      </w:r>
      <w:r>
        <w:rPr>
          <w:rFonts w:ascii="Arial" w:hAnsi="Arial" w:eastAsia="Arial" w:cs="Arial"/>
          <w:i/>
          <w:color w:val="FF0000"/>
          <w:sz w:val="22"/>
          <w:szCs w:val="22"/>
        </w:rPr>
        <w:t>cargo e nome</w:t>
      </w:r>
      <w:r>
        <w:rPr>
          <w:rFonts w:ascii="Arial" w:hAnsi="Arial" w:eastAsia="Arial" w:cs="Arial"/>
          <w:color w:val="FF0000"/>
          <w:sz w:val="22"/>
          <w:szCs w:val="22"/>
        </w:rPr>
        <w:t>)</w:t>
      </w:r>
      <w:r>
        <w:rPr>
          <w:rFonts w:ascii="Arial" w:hAnsi="Arial" w:eastAsia="Arial" w:cs="Arial"/>
          <w:sz w:val="22"/>
          <w:szCs w:val="22"/>
        </w:rPr>
        <w:t xml:space="preserve">, nomeado(a) ............, doravante denominado CONTRATANTE, e o(a) </w:t>
      </w:r>
      <w:r>
        <w:rPr>
          <w:rFonts w:ascii="Arial" w:hAnsi="Arial" w:eastAsia="Arial" w:cs="Arial"/>
          <w:color w:val="FF0000"/>
          <w:sz w:val="22"/>
          <w:szCs w:val="22"/>
        </w:rPr>
        <w:t>..............................</w:t>
      </w:r>
      <w:r>
        <w:rPr>
          <w:rFonts w:ascii="Arial" w:hAnsi="Arial" w:eastAsia="Arial" w:cs="Arial"/>
          <w:sz w:val="22"/>
          <w:szCs w:val="22"/>
        </w:rPr>
        <w:t xml:space="preserve"> inscrito(a) no CNPJ/MF sob o nº </w:t>
      </w:r>
      <w:r>
        <w:rPr>
          <w:rFonts w:ascii="Arial" w:hAnsi="Arial" w:eastAsia="Arial" w:cs="Arial"/>
          <w:color w:val="FF0000"/>
          <w:sz w:val="22"/>
          <w:szCs w:val="22"/>
        </w:rPr>
        <w:t>............................</w:t>
      </w:r>
      <w:r>
        <w:rPr>
          <w:rFonts w:ascii="Arial" w:hAnsi="Arial" w:eastAsia="Arial" w:cs="Arial"/>
          <w:sz w:val="22"/>
          <w:szCs w:val="22"/>
        </w:rPr>
        <w:t xml:space="preserve">, sediado(a) na </w:t>
      </w:r>
      <w:r>
        <w:rPr>
          <w:rFonts w:ascii="Arial" w:hAnsi="Arial" w:eastAsia="Arial" w:cs="Arial"/>
          <w:color w:val="FF0000"/>
          <w:sz w:val="22"/>
          <w:szCs w:val="22"/>
        </w:rPr>
        <w:t>...................................</w:t>
      </w:r>
      <w:r>
        <w:rPr>
          <w:rFonts w:ascii="Arial" w:hAnsi="Arial" w:eastAsia="Arial" w:cs="Arial"/>
          <w:sz w:val="22"/>
          <w:szCs w:val="22"/>
        </w:rPr>
        <w:t xml:space="preserve">, em </w:t>
      </w:r>
      <w:r>
        <w:rPr>
          <w:rFonts w:ascii="Arial" w:hAnsi="Arial" w:eastAsia="Arial" w:cs="Arial"/>
          <w:color w:val="FF0000"/>
          <w:sz w:val="22"/>
          <w:szCs w:val="22"/>
        </w:rPr>
        <w:t>.............................</w:t>
      </w:r>
      <w:r>
        <w:rPr>
          <w:rFonts w:ascii="Arial" w:hAnsi="Arial" w:eastAsia="Arial" w:cs="Arial"/>
          <w:sz w:val="22"/>
          <w:szCs w:val="22"/>
        </w:rPr>
        <w:t xml:space="preserve"> doravante designado CONTRATADO, neste ato representada por .................................. </w:t>
      </w:r>
      <w:r>
        <w:rPr>
          <w:rFonts w:ascii="Arial" w:hAnsi="Arial" w:eastAsia="Arial" w:cs="Arial"/>
          <w:color w:val="FF0000"/>
          <w:sz w:val="22"/>
          <w:szCs w:val="22"/>
        </w:rPr>
        <w:t>(nome e função no contratado)</w:t>
      </w:r>
      <w:r>
        <w:rPr>
          <w:rFonts w:ascii="Arial" w:hAnsi="Arial" w:eastAsia="Arial" w:cs="Arial"/>
          <w:sz w:val="22"/>
          <w:szCs w:val="22"/>
        </w:rPr>
        <w:t xml:space="preserve">, </w:t>
      </w:r>
      <w:r>
        <w:rPr>
          <w:rFonts w:ascii="Arial" w:hAnsi="Arial" w:eastAsia="Arial" w:cs="Arial"/>
          <w:i/>
          <w:color w:val="FF0000"/>
          <w:sz w:val="22"/>
          <w:szCs w:val="22"/>
        </w:rPr>
        <w:t xml:space="preserve">conforme atos constitutivos da empresa </w:t>
      </w:r>
      <w:r>
        <w:rPr>
          <w:rFonts w:ascii="Arial" w:hAnsi="Arial" w:eastAsia="Arial" w:cs="Arial"/>
          <w:b/>
          <w:i/>
          <w:color w:val="FF0000"/>
          <w:sz w:val="22"/>
          <w:szCs w:val="22"/>
        </w:rPr>
        <w:t>OU</w:t>
      </w:r>
      <w:r>
        <w:rPr>
          <w:rFonts w:ascii="Arial" w:hAnsi="Arial" w:eastAsia="Arial" w:cs="Arial"/>
          <w:i/>
          <w:color w:val="FF0000"/>
          <w:sz w:val="22"/>
          <w:szCs w:val="22"/>
        </w:rPr>
        <w:t xml:space="preserve"> procuração apresentada nos autos, </w:t>
      </w:r>
      <w:r>
        <w:rPr>
          <w:rFonts w:ascii="Arial" w:hAnsi="Arial" w:eastAsia="Arial" w:cs="Arial"/>
          <w:sz w:val="22"/>
          <w:szCs w:val="22"/>
        </w:rPr>
        <w:t xml:space="preserve">tendo em vista o que consta no Processo nº </w:t>
      </w:r>
      <w:r>
        <w:rPr>
          <w:rFonts w:ascii="Arial" w:hAnsi="Arial" w:eastAsia="Arial" w:cs="Arial"/>
          <w:color w:val="FF0000"/>
          <w:sz w:val="22"/>
          <w:szCs w:val="22"/>
        </w:rPr>
        <w:t xml:space="preserve">.............................. </w:t>
      </w:r>
      <w:r>
        <w:rPr>
          <w:rFonts w:ascii="Arial" w:hAnsi="Arial" w:eastAsia="Arial" w:cs="Arial"/>
          <w:sz w:val="22"/>
          <w:szCs w:val="22"/>
        </w:rPr>
        <w:t xml:space="preserve">e em observância às disposições da Lei nº 14.133, de 2021, resolvem celebrar o presente Termo de Contrato, decorrente </w:t>
      </w:r>
      <w:r>
        <w:rPr>
          <w:rFonts w:ascii="Arial" w:hAnsi="Arial" w:eastAsia="Arial" w:cs="Arial"/>
          <w:i/>
          <w:color w:val="FF0000"/>
          <w:sz w:val="22"/>
          <w:szCs w:val="22"/>
        </w:rPr>
        <w:t>do pregão .../.....</w:t>
      </w:r>
      <w:r>
        <w:rPr>
          <w:rFonts w:ascii="Arial" w:hAnsi="Arial" w:eastAsia="Arial" w:cs="Arial"/>
          <w:sz w:val="22"/>
          <w:szCs w:val="22"/>
        </w:rPr>
        <w:t>, mediante as cláusulas e condições a seguir enunciadas.</w:t>
      </w:r>
    </w:p>
    <w:p w14:paraId="0925006C">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PRIMEIRA – OBJETO (art. 92, I e II)</w:t>
      </w:r>
    </w:p>
    <w:p w14:paraId="6B8DF105">
      <w:pPr>
        <w:numPr>
          <w:ilvl w:val="1"/>
          <w:numId w:val="4"/>
        </w:numPr>
        <w:spacing w:before="120" w:after="120" w:line="276" w:lineRule="auto"/>
        <w:ind w:left="425"/>
        <w:jc w:val="both"/>
        <w:rPr>
          <w:rFonts w:ascii="Arial" w:hAnsi="Arial" w:eastAsia="Arial" w:cs="Arial"/>
          <w:color w:val="000000"/>
          <w:sz w:val="22"/>
          <w:szCs w:val="22"/>
        </w:rPr>
      </w:pPr>
      <w:r>
        <w:rPr>
          <w:rFonts w:ascii="Arial" w:hAnsi="Arial" w:eastAsia="Arial" w:cs="Arial"/>
          <w:color w:val="000000"/>
          <w:sz w:val="22"/>
          <w:szCs w:val="22"/>
        </w:rPr>
        <w:t xml:space="preserve">O objeto do presente instrumento é a contratação de </w:t>
      </w:r>
      <w:r>
        <w:rPr>
          <w:rFonts w:ascii="Arial" w:hAnsi="Arial" w:eastAsia="Arial" w:cs="Arial"/>
          <w:color w:val="FF0000"/>
          <w:sz w:val="22"/>
          <w:szCs w:val="22"/>
        </w:rPr>
        <w:t>..........................</w:t>
      </w:r>
      <w:r>
        <w:rPr>
          <w:rFonts w:ascii="Arial" w:hAnsi="Arial" w:eastAsia="Arial" w:cs="Arial"/>
          <w:color w:val="000000"/>
          <w:sz w:val="22"/>
          <w:szCs w:val="22"/>
        </w:rPr>
        <w:t>, nas condições estabelecidas no Termo de Referência.</w:t>
      </w:r>
    </w:p>
    <w:p w14:paraId="3F643917">
      <w:pPr>
        <w:numPr>
          <w:ilvl w:val="1"/>
          <w:numId w:val="4"/>
        </w:numPr>
        <w:spacing w:before="120" w:after="120" w:line="276" w:lineRule="auto"/>
        <w:ind w:left="425"/>
        <w:jc w:val="both"/>
        <w:rPr>
          <w:rFonts w:ascii="Arial" w:hAnsi="Arial" w:eastAsia="Arial" w:cs="Arial"/>
          <w:sz w:val="22"/>
          <w:szCs w:val="22"/>
        </w:rPr>
      </w:pPr>
      <w:r>
        <w:rPr>
          <w:rFonts w:ascii="Arial" w:hAnsi="Arial" w:eastAsia="Arial" w:cs="Arial"/>
          <w:sz w:val="22"/>
          <w:szCs w:val="22"/>
        </w:rPr>
        <w:t>Objeto da contratação:</w:t>
      </w:r>
    </w:p>
    <w:tbl>
      <w:tblPr>
        <w:tblStyle w:val="8"/>
        <w:tblW w:w="949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552"/>
        <w:gridCol w:w="1276"/>
        <w:gridCol w:w="1134"/>
        <w:gridCol w:w="1559"/>
        <w:gridCol w:w="1276"/>
        <w:gridCol w:w="992"/>
      </w:tblGrid>
      <w:tr w14:paraId="086C5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02EEECF8">
            <w:pPr>
              <w:widowControl w:val="0"/>
              <w:jc w:val="center"/>
              <w:rPr>
                <w:rFonts w:ascii="Arial" w:hAnsi="Arial" w:eastAsia="Arial" w:cs="Arial"/>
                <w:b/>
                <w:color w:val="000000"/>
                <w:sz w:val="22"/>
                <w:szCs w:val="22"/>
              </w:rPr>
            </w:pPr>
            <w:r>
              <w:rPr>
                <w:rFonts w:ascii="Arial" w:hAnsi="Arial" w:eastAsia="Arial" w:cs="Arial"/>
                <w:b/>
                <w:color w:val="000000"/>
                <w:sz w:val="22"/>
                <w:szCs w:val="22"/>
              </w:rPr>
              <w:t>ITEM</w:t>
            </w:r>
          </w:p>
          <w:p w14:paraId="23058FC2">
            <w:pPr>
              <w:widowControl w:val="0"/>
              <w:jc w:val="center"/>
              <w:rPr>
                <w:rFonts w:ascii="Arial" w:hAnsi="Arial" w:eastAsia="Arial" w:cs="Arial"/>
                <w:b/>
                <w:color w:val="000000"/>
                <w:sz w:val="22"/>
                <w:szCs w:val="22"/>
              </w:rPr>
            </w:pPr>
          </w:p>
        </w:tc>
        <w:tc>
          <w:tcPr>
            <w:tcW w:w="2552" w:type="dxa"/>
            <w:tcBorders>
              <w:top w:val="single" w:color="000000" w:sz="4" w:space="0"/>
              <w:left w:val="single" w:color="000000" w:sz="4" w:space="0"/>
              <w:bottom w:val="single" w:color="000000" w:sz="4" w:space="0"/>
              <w:right w:val="single" w:color="000000" w:sz="4" w:space="0"/>
            </w:tcBorders>
          </w:tcPr>
          <w:p w14:paraId="2768B8A8">
            <w:pPr>
              <w:widowControl w:val="0"/>
              <w:jc w:val="center"/>
              <w:rPr>
                <w:rFonts w:ascii="Arial" w:hAnsi="Arial" w:eastAsia="Arial" w:cs="Arial"/>
                <w:color w:val="000000"/>
                <w:sz w:val="22"/>
                <w:szCs w:val="22"/>
              </w:rPr>
            </w:pPr>
            <w:r>
              <w:rPr>
                <w:rFonts w:ascii="Arial" w:hAnsi="Arial" w:eastAsia="Arial" w:cs="Arial"/>
                <w:b/>
                <w:color w:val="000000"/>
                <w:sz w:val="22"/>
                <w:szCs w:val="22"/>
              </w:rPr>
              <w:t>ESPECIFICAÇÃO</w:t>
            </w:r>
          </w:p>
        </w:tc>
        <w:tc>
          <w:tcPr>
            <w:tcW w:w="1276" w:type="dxa"/>
            <w:tcBorders>
              <w:top w:val="single" w:color="000000" w:sz="4" w:space="0"/>
              <w:left w:val="single" w:color="000000" w:sz="4" w:space="0"/>
              <w:bottom w:val="single" w:color="000000" w:sz="4" w:space="0"/>
              <w:right w:val="single" w:color="000000" w:sz="4" w:space="0"/>
            </w:tcBorders>
          </w:tcPr>
          <w:p w14:paraId="7780D1D4">
            <w:pPr>
              <w:widowControl w:val="0"/>
              <w:jc w:val="center"/>
              <w:rPr>
                <w:rFonts w:ascii="Arial" w:hAnsi="Arial" w:eastAsia="Arial" w:cs="Arial"/>
                <w:color w:val="000000"/>
                <w:sz w:val="22"/>
                <w:szCs w:val="22"/>
              </w:rPr>
            </w:pPr>
            <w:r>
              <w:rPr>
                <w:rFonts w:ascii="Arial" w:hAnsi="Arial" w:eastAsia="Arial" w:cs="Arial"/>
                <w:b/>
                <w:color w:val="000000"/>
                <w:sz w:val="22"/>
                <w:szCs w:val="22"/>
              </w:rPr>
              <w:t>CATSER</w:t>
            </w:r>
          </w:p>
        </w:tc>
        <w:tc>
          <w:tcPr>
            <w:tcW w:w="1134" w:type="dxa"/>
            <w:tcBorders>
              <w:top w:val="single" w:color="000000" w:sz="4" w:space="0"/>
              <w:left w:val="single" w:color="000000" w:sz="4" w:space="0"/>
              <w:bottom w:val="single" w:color="000000" w:sz="4" w:space="0"/>
              <w:right w:val="single" w:color="000000" w:sz="4" w:space="0"/>
            </w:tcBorders>
          </w:tcPr>
          <w:p w14:paraId="23FEB930">
            <w:pPr>
              <w:widowControl w:val="0"/>
              <w:jc w:val="center"/>
              <w:rPr>
                <w:rFonts w:ascii="Arial" w:hAnsi="Arial" w:eastAsia="Arial" w:cs="Arial"/>
                <w:color w:val="000000"/>
                <w:sz w:val="22"/>
                <w:szCs w:val="22"/>
              </w:rPr>
            </w:pPr>
            <w:r>
              <w:rPr>
                <w:rFonts w:ascii="Arial" w:hAnsi="Arial" w:eastAsia="Arial" w:cs="Arial"/>
                <w:b/>
                <w:color w:val="000000"/>
                <w:sz w:val="22"/>
                <w:szCs w:val="22"/>
              </w:rPr>
              <w:t>UNIDADE DE MEDIDA</w:t>
            </w:r>
          </w:p>
        </w:tc>
        <w:tc>
          <w:tcPr>
            <w:tcW w:w="1559" w:type="dxa"/>
            <w:tcBorders>
              <w:top w:val="single" w:color="000000" w:sz="4" w:space="0"/>
              <w:left w:val="single" w:color="000000" w:sz="4" w:space="0"/>
              <w:bottom w:val="single" w:color="000000" w:sz="4" w:space="0"/>
              <w:right w:val="single" w:color="000000" w:sz="4" w:space="0"/>
            </w:tcBorders>
          </w:tcPr>
          <w:p w14:paraId="7E1333FC">
            <w:pPr>
              <w:widowControl w:val="0"/>
              <w:jc w:val="center"/>
              <w:rPr>
                <w:rFonts w:ascii="Arial" w:hAnsi="Arial" w:eastAsia="Arial" w:cs="Arial"/>
                <w:b/>
                <w:sz w:val="22"/>
                <w:szCs w:val="22"/>
              </w:rPr>
            </w:pPr>
            <w:r>
              <w:rPr>
                <w:rFonts w:ascii="Arial" w:hAnsi="Arial" w:eastAsia="Arial" w:cs="Arial"/>
                <w:b/>
                <w:sz w:val="22"/>
                <w:szCs w:val="22"/>
              </w:rPr>
              <w:t>QUANTIDADE</w:t>
            </w:r>
          </w:p>
        </w:tc>
        <w:tc>
          <w:tcPr>
            <w:tcW w:w="1276" w:type="dxa"/>
            <w:tcBorders>
              <w:top w:val="single" w:color="000000" w:sz="4" w:space="0"/>
              <w:left w:val="single" w:color="000000" w:sz="4" w:space="0"/>
              <w:bottom w:val="single" w:color="000000" w:sz="4" w:space="0"/>
              <w:right w:val="single" w:color="000000" w:sz="4" w:space="0"/>
            </w:tcBorders>
          </w:tcPr>
          <w:p w14:paraId="41BE4AAD">
            <w:pPr>
              <w:widowControl w:val="0"/>
              <w:jc w:val="center"/>
              <w:rPr>
                <w:rFonts w:ascii="Arial" w:hAnsi="Arial" w:eastAsia="Arial" w:cs="Arial"/>
                <w:b/>
                <w:sz w:val="22"/>
                <w:szCs w:val="22"/>
              </w:rPr>
            </w:pPr>
            <w:r>
              <w:rPr>
                <w:rFonts w:ascii="Arial" w:hAnsi="Arial" w:eastAsia="Arial" w:cs="Arial"/>
                <w:b/>
                <w:sz w:val="22"/>
                <w:szCs w:val="22"/>
              </w:rPr>
              <w:t>VALOR UNITÁRIO</w:t>
            </w:r>
          </w:p>
        </w:tc>
        <w:tc>
          <w:tcPr>
            <w:tcW w:w="992" w:type="dxa"/>
            <w:tcBorders>
              <w:top w:val="single" w:color="000000" w:sz="4" w:space="0"/>
              <w:left w:val="single" w:color="000000" w:sz="4" w:space="0"/>
              <w:bottom w:val="single" w:color="000000" w:sz="4" w:space="0"/>
              <w:right w:val="single" w:color="000000" w:sz="4" w:space="0"/>
            </w:tcBorders>
          </w:tcPr>
          <w:p w14:paraId="3C4399B4">
            <w:pPr>
              <w:widowControl w:val="0"/>
              <w:jc w:val="center"/>
              <w:rPr>
                <w:rFonts w:ascii="Arial" w:hAnsi="Arial" w:eastAsia="Arial" w:cs="Arial"/>
                <w:b/>
                <w:sz w:val="22"/>
                <w:szCs w:val="22"/>
              </w:rPr>
            </w:pPr>
            <w:r>
              <w:rPr>
                <w:rFonts w:ascii="Arial" w:hAnsi="Arial" w:eastAsia="Arial" w:cs="Arial"/>
                <w:b/>
                <w:sz w:val="22"/>
                <w:szCs w:val="22"/>
              </w:rPr>
              <w:t>VALOR TOTAL</w:t>
            </w:r>
          </w:p>
        </w:tc>
      </w:tr>
      <w:tr w14:paraId="37287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3ECB34EE">
            <w:pPr>
              <w:widowControl w:val="0"/>
              <w:jc w:val="center"/>
              <w:rPr>
                <w:rFonts w:ascii="Arial" w:hAnsi="Arial" w:eastAsia="Arial" w:cs="Arial"/>
                <w:b/>
                <w:color w:val="000000"/>
                <w:sz w:val="22"/>
                <w:szCs w:val="22"/>
              </w:rPr>
            </w:pPr>
            <w:r>
              <w:rPr>
                <w:rFonts w:ascii="Arial" w:hAnsi="Arial" w:eastAsia="Arial" w:cs="Arial"/>
                <w:b/>
                <w:color w:val="000000"/>
                <w:sz w:val="22"/>
                <w:szCs w:val="22"/>
              </w:rPr>
              <w:t>1</w:t>
            </w:r>
          </w:p>
        </w:tc>
        <w:tc>
          <w:tcPr>
            <w:tcW w:w="2552" w:type="dxa"/>
            <w:tcBorders>
              <w:top w:val="single" w:color="000000" w:sz="4" w:space="0"/>
              <w:left w:val="single" w:color="000000" w:sz="4" w:space="0"/>
              <w:bottom w:val="single" w:color="000000" w:sz="4" w:space="0"/>
              <w:right w:val="single" w:color="000000" w:sz="4" w:space="0"/>
            </w:tcBorders>
          </w:tcPr>
          <w:p w14:paraId="14BA5E7D">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4CC79496">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1F9C1AA8">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42B7628B">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104C3B3A">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5788D38C">
            <w:pPr>
              <w:widowControl w:val="0"/>
              <w:rPr>
                <w:rFonts w:ascii="Arial" w:hAnsi="Arial" w:eastAsia="Arial" w:cs="Arial"/>
                <w:color w:val="000000"/>
                <w:sz w:val="22"/>
                <w:szCs w:val="22"/>
              </w:rPr>
            </w:pPr>
          </w:p>
        </w:tc>
      </w:tr>
      <w:tr w14:paraId="1C256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25E501CC">
            <w:pPr>
              <w:widowControl w:val="0"/>
              <w:jc w:val="center"/>
              <w:rPr>
                <w:rFonts w:ascii="Arial" w:hAnsi="Arial" w:eastAsia="Arial" w:cs="Arial"/>
                <w:b/>
                <w:color w:val="000000"/>
                <w:sz w:val="22"/>
                <w:szCs w:val="22"/>
              </w:rPr>
            </w:pPr>
            <w:r>
              <w:rPr>
                <w:rFonts w:ascii="Arial" w:hAnsi="Arial" w:eastAsia="Arial" w:cs="Arial"/>
                <w:b/>
                <w:color w:val="000000"/>
                <w:sz w:val="22"/>
                <w:szCs w:val="22"/>
              </w:rPr>
              <w:t>2</w:t>
            </w:r>
          </w:p>
        </w:tc>
        <w:tc>
          <w:tcPr>
            <w:tcW w:w="2552" w:type="dxa"/>
            <w:tcBorders>
              <w:top w:val="single" w:color="000000" w:sz="4" w:space="0"/>
              <w:left w:val="single" w:color="000000" w:sz="4" w:space="0"/>
              <w:bottom w:val="single" w:color="000000" w:sz="4" w:space="0"/>
              <w:right w:val="single" w:color="000000" w:sz="4" w:space="0"/>
            </w:tcBorders>
          </w:tcPr>
          <w:p w14:paraId="5D82BD55">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7BA657FE">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378A9D9D">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5BCD7111">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73777BA1">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49CEC341">
            <w:pPr>
              <w:widowControl w:val="0"/>
              <w:rPr>
                <w:rFonts w:ascii="Arial" w:hAnsi="Arial" w:eastAsia="Arial" w:cs="Arial"/>
                <w:color w:val="000000"/>
                <w:sz w:val="22"/>
                <w:szCs w:val="22"/>
              </w:rPr>
            </w:pPr>
          </w:p>
        </w:tc>
      </w:tr>
      <w:tr w14:paraId="759C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60F481DE">
            <w:pPr>
              <w:widowControl w:val="0"/>
              <w:jc w:val="center"/>
              <w:rPr>
                <w:rFonts w:ascii="Arial" w:hAnsi="Arial" w:eastAsia="Arial" w:cs="Arial"/>
                <w:b/>
                <w:color w:val="000000"/>
                <w:sz w:val="22"/>
                <w:szCs w:val="22"/>
              </w:rPr>
            </w:pPr>
            <w:r>
              <w:rPr>
                <w:rFonts w:ascii="Arial" w:hAnsi="Arial" w:eastAsia="Arial" w:cs="Arial"/>
                <w:b/>
                <w:color w:val="000000"/>
                <w:sz w:val="22"/>
                <w:szCs w:val="22"/>
              </w:rPr>
              <w:t>3</w:t>
            </w:r>
          </w:p>
        </w:tc>
        <w:tc>
          <w:tcPr>
            <w:tcW w:w="2552" w:type="dxa"/>
            <w:tcBorders>
              <w:top w:val="single" w:color="000000" w:sz="4" w:space="0"/>
              <w:left w:val="single" w:color="000000" w:sz="4" w:space="0"/>
              <w:bottom w:val="single" w:color="000000" w:sz="4" w:space="0"/>
              <w:right w:val="single" w:color="000000" w:sz="4" w:space="0"/>
            </w:tcBorders>
          </w:tcPr>
          <w:p w14:paraId="1F26FA4A">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355CBE27">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41F7ACC5">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55ABC9CC">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3A6974D8">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7AB46539">
            <w:pPr>
              <w:widowControl w:val="0"/>
              <w:rPr>
                <w:rFonts w:ascii="Arial" w:hAnsi="Arial" w:eastAsia="Arial" w:cs="Arial"/>
                <w:color w:val="000000"/>
                <w:sz w:val="22"/>
                <w:szCs w:val="22"/>
              </w:rPr>
            </w:pPr>
          </w:p>
        </w:tc>
      </w:tr>
      <w:tr w14:paraId="6A186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024392F8">
            <w:pPr>
              <w:widowControl w:val="0"/>
              <w:jc w:val="center"/>
              <w:rPr>
                <w:rFonts w:ascii="Arial" w:hAnsi="Arial" w:eastAsia="Arial" w:cs="Arial"/>
                <w:b/>
                <w:color w:val="000000"/>
                <w:sz w:val="22"/>
                <w:szCs w:val="22"/>
              </w:rPr>
            </w:pPr>
            <w:r>
              <w:rPr>
                <w:rFonts w:ascii="Arial" w:hAnsi="Arial" w:eastAsia="Arial" w:cs="Arial"/>
                <w:b/>
                <w:color w:val="000000"/>
                <w:sz w:val="22"/>
                <w:szCs w:val="22"/>
              </w:rPr>
              <w:t>...</w:t>
            </w:r>
          </w:p>
        </w:tc>
        <w:tc>
          <w:tcPr>
            <w:tcW w:w="2552" w:type="dxa"/>
            <w:tcBorders>
              <w:top w:val="single" w:color="000000" w:sz="4" w:space="0"/>
              <w:left w:val="single" w:color="000000" w:sz="4" w:space="0"/>
              <w:bottom w:val="single" w:color="000000" w:sz="4" w:space="0"/>
              <w:right w:val="single" w:color="000000" w:sz="4" w:space="0"/>
            </w:tcBorders>
          </w:tcPr>
          <w:p w14:paraId="7569E937">
            <w:pPr>
              <w:widowControl w:val="0"/>
              <w:rPr>
                <w:rFonts w:ascii="Arial" w:hAnsi="Arial" w:eastAsia="Arial" w:cs="Arial"/>
                <w:color w:val="000000"/>
                <w:sz w:val="22"/>
                <w:szCs w:val="22"/>
              </w:rPr>
            </w:pPr>
          </w:p>
          <w:p w14:paraId="7B24DADD">
            <w:pPr>
              <w:jc w:val="center"/>
              <w:rPr>
                <w:rFonts w:ascii="Arial" w:hAnsi="Arial" w:eastAsia="Arial" w:cs="Arial"/>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4FED592E">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5F830E27">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41C2E335">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6C933773">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66C336C1">
            <w:pPr>
              <w:widowControl w:val="0"/>
              <w:rPr>
                <w:rFonts w:ascii="Arial" w:hAnsi="Arial" w:eastAsia="Arial" w:cs="Arial"/>
                <w:color w:val="000000"/>
                <w:sz w:val="22"/>
                <w:szCs w:val="22"/>
              </w:rPr>
            </w:pPr>
          </w:p>
        </w:tc>
      </w:tr>
    </w:tbl>
    <w:p w14:paraId="4623C947">
      <w:pPr>
        <w:spacing w:after="120"/>
        <w:jc w:val="both"/>
        <w:rPr>
          <w:rFonts w:ascii="Arial" w:hAnsi="Arial" w:eastAsia="Arial" w:cs="Arial"/>
          <w:color w:val="FF0000"/>
          <w:sz w:val="22"/>
          <w:szCs w:val="22"/>
        </w:rPr>
      </w:pPr>
    </w:p>
    <w:p w14:paraId="65ED75E4">
      <w:pPr>
        <w:numPr>
          <w:ilvl w:val="1"/>
          <w:numId w:val="4"/>
        </w:numPr>
        <w:spacing w:before="120" w:after="120" w:line="276" w:lineRule="auto"/>
        <w:ind w:left="425"/>
        <w:jc w:val="both"/>
        <w:rPr>
          <w:rFonts w:ascii="Arial" w:hAnsi="Arial" w:eastAsia="Arial" w:cs="Arial"/>
          <w:sz w:val="22"/>
          <w:szCs w:val="22"/>
        </w:rPr>
      </w:pPr>
      <w:r>
        <w:rPr>
          <w:rFonts w:ascii="Arial" w:hAnsi="Arial" w:eastAsia="Arial" w:cs="Arial"/>
          <w:sz w:val="22"/>
          <w:szCs w:val="22"/>
        </w:rPr>
        <w:t>São anexos a este instrumento e vinculam esta contratação, independentemente de transcrição:</w:t>
      </w:r>
    </w:p>
    <w:p w14:paraId="61D0A882">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O Termo de Referência que embasou a contratação;</w:t>
      </w:r>
    </w:p>
    <w:p w14:paraId="1CDD66A9">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O Edital de Licitação, a Autorização de Contratação Direta e/ou o Aviso de Dispensa Eletrônica, caso existentes; </w:t>
      </w:r>
    </w:p>
    <w:p w14:paraId="74B8164B">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A Proposta do Contratado; e</w:t>
      </w:r>
    </w:p>
    <w:p w14:paraId="553C1E3A">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Eventuais anexos dos documentos supracitados.</w:t>
      </w:r>
    </w:p>
    <w:p w14:paraId="7E606EF5">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SEGUNDA – VIGÊNCIA E PRORROGAÇÃO.</w:t>
      </w:r>
    </w:p>
    <w:p w14:paraId="548DAFAE">
      <w:pPr>
        <w:numPr>
          <w:ilvl w:val="1"/>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O prazo de vigência da contratação é de ..............................(máximo de um ano) contados do(a) ............................., prorrogável, na forma do art. 106, da Lei n° 14.133/2021.</w:t>
      </w:r>
    </w:p>
    <w:p w14:paraId="5A9977A8">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TERCEIRA – MODELOS DE EXECUÇÃO E GESTÃO CONTRATUAIS (art. 92, IV, VII e XVIII)</w:t>
      </w:r>
    </w:p>
    <w:p w14:paraId="4C9052E1">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O regime de execução contratual, o modelo de gestão, assim como os prazos e condições de</w:t>
      </w:r>
      <w:r>
        <w:rPr>
          <w:rFonts w:ascii="Arial" w:hAnsi="Arial" w:eastAsia="Arial" w:cs="Arial"/>
          <w:color w:val="000000"/>
          <w:sz w:val="22"/>
          <w:szCs w:val="22"/>
        </w:rPr>
        <w:t xml:space="preserve"> conclusão, entrega, observação e recebimento definitivo</w:t>
      </w:r>
      <w:r>
        <w:rPr>
          <w:rFonts w:ascii="Arial" w:hAnsi="Arial" w:eastAsia="Arial" w:cs="Arial"/>
          <w:sz w:val="22"/>
          <w:szCs w:val="22"/>
        </w:rPr>
        <w:t xml:space="preserve"> constam no Termo de Referência, anexo a este Contrato.</w:t>
      </w:r>
    </w:p>
    <w:p w14:paraId="57C85C53">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 xml:space="preserve">CLÁUSULA QUARTA - SUBCONTRATAÇÃO </w:t>
      </w:r>
    </w:p>
    <w:p w14:paraId="3C8ACD25">
      <w:pPr>
        <w:numPr>
          <w:ilvl w:val="1"/>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Não será admitida a subcontratação do objeto contratual.</w:t>
      </w:r>
    </w:p>
    <w:p w14:paraId="33ECDAFC">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QUINTA – PAGAMENTO (art. 92, V e VI)</w:t>
      </w:r>
    </w:p>
    <w:p w14:paraId="2099C785">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PREÇO</w:t>
      </w:r>
    </w:p>
    <w:p w14:paraId="46880837">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i/>
          <w:color w:val="FF0000"/>
          <w:sz w:val="22"/>
          <w:szCs w:val="22"/>
        </w:rPr>
        <w:t>O valor total da contratação é de R$.......... (.....)</w:t>
      </w:r>
    </w:p>
    <w:p w14:paraId="6BB00A15">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7FBB3E">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FORMA DE PAGAMENTO</w:t>
      </w:r>
    </w:p>
    <w:p w14:paraId="4E3F1DDA">
      <w:pPr>
        <w:numPr>
          <w:ilvl w:val="2"/>
          <w:numId w:val="5"/>
        </w:numPr>
        <w:spacing w:before="120" w:after="120" w:line="276" w:lineRule="auto"/>
        <w:ind w:left="284"/>
        <w:jc w:val="both"/>
        <w:rPr>
          <w:rFonts w:ascii="Arial" w:hAnsi="Arial" w:eastAsia="Arial" w:cs="Arial"/>
          <w:i/>
          <w:sz w:val="22"/>
          <w:szCs w:val="22"/>
        </w:rPr>
      </w:pPr>
      <w:r>
        <w:rPr>
          <w:rFonts w:ascii="Arial" w:hAnsi="Arial" w:eastAsia="Arial" w:cs="Arial"/>
          <w:i/>
          <w:sz w:val="22"/>
          <w:szCs w:val="22"/>
        </w:rPr>
        <w:t>O pagamento será realizado através de ordem bancária, para crédito em banco, agência e conta corrente indicados pelo contratado.</w:t>
      </w:r>
    </w:p>
    <w:p w14:paraId="66691659">
      <w:pPr>
        <w:numPr>
          <w:ilvl w:val="2"/>
          <w:numId w:val="5"/>
        </w:numPr>
        <w:spacing w:before="120" w:after="120" w:line="276" w:lineRule="auto"/>
        <w:ind w:left="284"/>
        <w:jc w:val="both"/>
        <w:rPr>
          <w:rFonts w:ascii="Arial" w:hAnsi="Arial" w:eastAsia="Arial" w:cs="Arial"/>
          <w:i/>
          <w:sz w:val="22"/>
          <w:szCs w:val="22"/>
        </w:rPr>
      </w:pPr>
      <w:r>
        <w:rPr>
          <w:rFonts w:ascii="Arial" w:hAnsi="Arial" w:eastAsia="Arial" w:cs="Arial"/>
          <w:i/>
          <w:sz w:val="22"/>
          <w:szCs w:val="22"/>
        </w:rPr>
        <w:t>Será considerada data do pagamento o dia em que constar como emitida a ordem bancária para pagamento.</w:t>
      </w:r>
    </w:p>
    <w:p w14:paraId="688B5296">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PRAZO DE PAGAMENTO</w:t>
      </w:r>
    </w:p>
    <w:p w14:paraId="43EC20CE">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O </w:t>
      </w:r>
      <w:r>
        <w:rPr>
          <w:rFonts w:ascii="Arial" w:hAnsi="Arial" w:eastAsia="Arial" w:cs="Arial"/>
          <w:sz w:val="22"/>
          <w:szCs w:val="22"/>
        </w:rPr>
        <w:t>pagamento</w:t>
      </w:r>
      <w:r>
        <w:rPr>
          <w:rFonts w:ascii="Arial" w:hAnsi="Arial" w:eastAsia="Arial" w:cs="Arial"/>
          <w:color w:val="000000"/>
          <w:sz w:val="22"/>
          <w:szCs w:val="22"/>
        </w:rPr>
        <w:t xml:space="preserve"> será efetuado no prazo máximo de até </w:t>
      </w:r>
      <w:r>
        <w:rPr>
          <w:rFonts w:ascii="Arial" w:hAnsi="Arial" w:eastAsia="Arial" w:cs="Arial"/>
          <w:sz w:val="22"/>
          <w:szCs w:val="22"/>
        </w:rPr>
        <w:t>30 (trinta) dias, contados do recebimento da Nota Fiscal/Fatura.</w:t>
      </w:r>
    </w:p>
    <w:p w14:paraId="54B35048">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Considera-se ocorrido o recebimento da nota fiscal ou fatura quando o órgão contratante atestar a execução do objeto do contrato.</w:t>
      </w:r>
    </w:p>
    <w:p w14:paraId="7E1BC500">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No caso de atraso pelo Contratante, os valores devidos ao contratado serão atualizados monetariamente entre o termo final do prazo de pagamento até a data de sua efetiva realização, mediante aplicação do </w:t>
      </w:r>
      <w:r>
        <w:rPr>
          <w:rFonts w:ascii="Arial" w:hAnsi="Arial" w:eastAsia="Arial" w:cs="Arial"/>
          <w:b/>
          <w:color w:val="000000"/>
          <w:sz w:val="22"/>
          <w:szCs w:val="22"/>
        </w:rPr>
        <w:t xml:space="preserve">índice </w:t>
      </w:r>
      <w:r>
        <w:rPr>
          <w:rFonts w:ascii="Arial" w:hAnsi="Arial" w:eastAsia="Arial" w:cs="Arial"/>
          <w:b/>
          <w:sz w:val="22"/>
          <w:szCs w:val="22"/>
        </w:rPr>
        <w:t>IPCA</w:t>
      </w:r>
      <w:r>
        <w:rPr>
          <w:rFonts w:ascii="Arial" w:hAnsi="Arial" w:eastAsia="Arial" w:cs="Arial"/>
          <w:color w:val="000000"/>
          <w:sz w:val="22"/>
          <w:szCs w:val="22"/>
        </w:rPr>
        <w:t xml:space="preserve"> de correção monetária.</w:t>
      </w:r>
    </w:p>
    <w:p w14:paraId="0A6191F5">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CONDIÇÕES DE PAGAMENTO</w:t>
      </w:r>
    </w:p>
    <w:p w14:paraId="5C290858">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sz w:val="22"/>
          <w:szCs w:val="22"/>
        </w:rPr>
        <w:t xml:space="preserve">A emissão da </w:t>
      </w:r>
      <w:r>
        <w:rPr>
          <w:rFonts w:ascii="Arial" w:hAnsi="Arial" w:eastAsia="Arial" w:cs="Arial"/>
          <w:color w:val="000000"/>
          <w:sz w:val="22"/>
          <w:szCs w:val="22"/>
        </w:rPr>
        <w:t>Nota Fiscal/Fatura será precedida do recebimento definitivo do objeto da contratação, conforme disposto neste instrumento e/ou no Termo de Referência.</w:t>
      </w:r>
    </w:p>
    <w:p w14:paraId="2D31F57B">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 Quando houver glosa parcial do objeto, o contratante deverá comunicar a empresa para que emita a nota fiscal ou fatura com o valor exato dimensionado.</w:t>
      </w:r>
    </w:p>
    <w:p w14:paraId="70A33D88">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color w:val="000000"/>
          <w:sz w:val="22"/>
          <w:szCs w:val="22"/>
        </w:rPr>
        <w:t xml:space="preserve">O setor competente para proceder o pagamento deve verificar se a Nota Fiscal ou Fatura apresentada expressa os elementos necessários e essenciais do documento, tais como: </w:t>
      </w:r>
    </w:p>
    <w:p w14:paraId="417C800B">
      <w:pPr>
        <w:numPr>
          <w:ilvl w:val="0"/>
          <w:numId w:val="6"/>
        </w:numPr>
        <w:pBdr>
          <w:top w:val="none" w:color="auto" w:sz="0" w:space="0"/>
          <w:left w:val="none" w:color="auto" w:sz="0" w:space="0"/>
          <w:bottom w:val="none" w:color="auto" w:sz="0" w:space="0"/>
          <w:right w:val="none" w:color="auto" w:sz="0" w:space="0"/>
          <w:between w:val="none" w:color="auto" w:sz="0" w:space="0"/>
        </w:pBdr>
        <w:spacing w:before="120"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 prazo de validade; </w:t>
      </w:r>
    </w:p>
    <w:p w14:paraId="604906BA">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a data da emissão; </w:t>
      </w:r>
    </w:p>
    <w:p w14:paraId="6C93FA83">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os dados do contrato e do órgão contratante; </w:t>
      </w:r>
    </w:p>
    <w:p w14:paraId="03FE77D8">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 período respectivo de execução do contrato; </w:t>
      </w:r>
    </w:p>
    <w:p w14:paraId="54483D82">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 valor a pagar; e </w:t>
      </w:r>
    </w:p>
    <w:p w14:paraId="726C8C39">
      <w:pPr>
        <w:numPr>
          <w:ilvl w:val="0"/>
          <w:numId w:val="6"/>
        </w:numPr>
        <w:pBdr>
          <w:top w:val="none" w:color="auto" w:sz="0" w:space="0"/>
          <w:left w:val="none" w:color="auto" w:sz="0" w:space="0"/>
          <w:bottom w:val="none" w:color="auto" w:sz="0" w:space="0"/>
          <w:right w:val="none" w:color="auto" w:sz="0" w:space="0"/>
          <w:between w:val="none" w:color="auto" w:sz="0" w:space="0"/>
        </w:pBdr>
        <w:spacing w:after="120" w:line="276" w:lineRule="auto"/>
        <w:ind w:left="1560"/>
        <w:jc w:val="both"/>
        <w:rPr>
          <w:rFonts w:ascii="Arial" w:hAnsi="Arial" w:eastAsia="Arial" w:cs="Arial"/>
          <w:color w:val="000000"/>
          <w:sz w:val="22"/>
          <w:szCs w:val="22"/>
        </w:rPr>
      </w:pPr>
      <w:r>
        <w:rPr>
          <w:rFonts w:ascii="Arial" w:hAnsi="Arial" w:eastAsia="Arial" w:cs="Arial"/>
          <w:color w:val="000000"/>
          <w:sz w:val="22"/>
          <w:szCs w:val="22"/>
        </w:rPr>
        <w:t>eventual destaque do valor de retenções tributárias cabíveis.</w:t>
      </w:r>
    </w:p>
    <w:p w14:paraId="494C6B68">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sz w:val="22"/>
          <w:szCs w:val="22"/>
        </w:rPr>
        <w:t xml:space="preserve">Havendo erro </w:t>
      </w:r>
      <w:r>
        <w:rPr>
          <w:rFonts w:ascii="Arial" w:hAnsi="Arial" w:eastAsia="Arial" w:cs="Arial"/>
          <w:color w:val="000000"/>
          <w:sz w:val="22"/>
          <w:szCs w:val="22"/>
        </w:rPr>
        <w:t>na</w:t>
      </w:r>
      <w:r>
        <w:rPr>
          <w:rFonts w:ascii="Arial" w:hAnsi="Arial" w:eastAsia="Arial" w:cs="Arial"/>
          <w:sz w:val="22"/>
          <w:szCs w:val="22"/>
        </w:rPr>
        <w:t xml:space="preserve"> apresentação da Nota Fiscal/Fatura, ou circunstância que impeça a liquidação da </w:t>
      </w:r>
      <w:r>
        <w:rPr>
          <w:rFonts w:ascii="Arial" w:hAnsi="Arial" w:eastAsia="Arial" w:cs="Arial"/>
          <w:color w:val="000000"/>
          <w:sz w:val="22"/>
          <w:szCs w:val="22"/>
        </w:rPr>
        <w:t>despesa</w:t>
      </w:r>
      <w:r>
        <w:rPr>
          <w:rFonts w:ascii="Arial" w:hAnsi="Arial" w:eastAsia="Arial" w:cs="Arial"/>
          <w:sz w:val="22"/>
          <w:szCs w:val="22"/>
        </w:rPr>
        <w:t>, o pagamento ficará sobrestado até que o contratado providencie as medidas saneadoras. Nesta hipótese, o prazo para pagamento iniciar-se-á após a comprovação da regularização da situação, não acarretando qualquer ônus para o contratante;</w:t>
      </w:r>
    </w:p>
    <w:p w14:paraId="13C142A3">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A Nota Fiscal ou Fatura deverá ser obrigatoriamente acompanhada da comprovação da regularidade fiscal, constatada por meio de consulta </w:t>
      </w:r>
      <w:r>
        <w:rPr>
          <w:rFonts w:ascii="Arial" w:hAnsi="Arial" w:eastAsia="Arial" w:cs="Arial"/>
          <w:i/>
          <w:color w:val="000000"/>
          <w:sz w:val="22"/>
          <w:szCs w:val="22"/>
        </w:rPr>
        <w:t>on-line</w:t>
      </w:r>
      <w:r>
        <w:rPr>
          <w:rFonts w:ascii="Arial" w:hAnsi="Arial" w:eastAsia="Arial" w:cs="Arial"/>
          <w:color w:val="000000"/>
          <w:sz w:val="22"/>
          <w:szCs w:val="22"/>
        </w:rPr>
        <w:t xml:space="preserve"> ao SICAF ou, na impossibilidade de acesso ao referido Sistema, mediante consulta aos sítios eletrônicos oficiais ou à documentação mencionada no art. 68 da Lei nº </w:t>
      </w:r>
      <w:r>
        <w:rPr>
          <w:rFonts w:ascii="Arial" w:hAnsi="Arial" w:eastAsia="Arial" w:cs="Arial"/>
          <w:sz w:val="22"/>
          <w:szCs w:val="22"/>
        </w:rPr>
        <w:t xml:space="preserve">14.133/2021. </w:t>
      </w:r>
    </w:p>
    <w:p w14:paraId="7826101F">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sz w:val="22"/>
          <w:szCs w:val="22"/>
        </w:rPr>
        <w:t xml:space="preserve">Previamente à emissão de nota de empenho e a cada pagamento, a Administração deverá realizar consulta ao </w:t>
      </w:r>
      <w:r>
        <w:rPr>
          <w:rFonts w:ascii="Arial" w:hAnsi="Arial" w:eastAsia="Arial" w:cs="Arial"/>
          <w:color w:val="000000"/>
          <w:sz w:val="22"/>
          <w:szCs w:val="22"/>
        </w:rPr>
        <w:t>SICAF</w:t>
      </w:r>
      <w:r>
        <w:rPr>
          <w:rFonts w:ascii="Arial" w:hAnsi="Arial" w:eastAsia="Arial" w:cs="Arial"/>
          <w:sz w:val="22"/>
          <w:szCs w:val="22"/>
        </w:rPr>
        <w:t xml:space="preserve">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67457C35">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Constatando-se, junto ao SICAF, a situação de irregularidade do contratado, será providenciada sua </w:t>
      </w:r>
      <w:r>
        <w:rPr>
          <w:rFonts w:ascii="Arial" w:hAnsi="Arial" w:eastAsia="Arial" w:cs="Arial"/>
          <w:color w:val="000000"/>
          <w:sz w:val="22"/>
          <w:szCs w:val="22"/>
        </w:rPr>
        <w:t>notificação</w:t>
      </w:r>
      <w:r>
        <w:rPr>
          <w:rFonts w:ascii="Arial" w:hAnsi="Arial" w:eastAsia="Arial" w:cs="Arial"/>
          <w:sz w:val="22"/>
          <w:szCs w:val="22"/>
        </w:rPr>
        <w:t>, por escrito, para que, no prazo de 5 (cinco) dias úteis, regularize sua situação ou, no mesmo prazo, apresente sua defesa. O prazo poderá ser prorrogado uma vez, por igual período, a critério do contratante.</w:t>
      </w:r>
    </w:p>
    <w:p w14:paraId="6FBADC56">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EA3BC56">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Persistindo a irregularidade, o contratante deverá adotar as medidas necessárias à rescisão contratual nos autos do processo administrativo correspondente, assegurada ao contratado a ampla defesa. </w:t>
      </w:r>
    </w:p>
    <w:p w14:paraId="1A7D1B11">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Havendo a efetiva execução do objeto, os pagamentos serão realizados normalmente, até que se decida pela rescisão do contrato, caso o contratado não regularize sua situação junto ao SICAF.  </w:t>
      </w:r>
    </w:p>
    <w:p w14:paraId="4C841D56">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Quando do pagamento, será efetuada a retenção tributária prevista na legislação aplicável.</w:t>
      </w:r>
    </w:p>
    <w:p w14:paraId="036654FF">
      <w:pPr>
        <w:numPr>
          <w:ilvl w:val="3"/>
          <w:numId w:val="5"/>
        </w:numPr>
        <w:spacing w:before="120" w:after="120" w:line="276" w:lineRule="auto"/>
        <w:jc w:val="both"/>
        <w:rPr>
          <w:rFonts w:ascii="Arial" w:hAnsi="Arial" w:eastAsia="Arial" w:cs="Arial"/>
          <w:sz w:val="22"/>
          <w:szCs w:val="22"/>
        </w:rPr>
      </w:pPr>
      <w:r>
        <w:rPr>
          <w:rFonts w:ascii="Arial" w:hAnsi="Arial" w:eastAsia="Arial" w:cs="Arial"/>
          <w:sz w:val="22"/>
          <w:szCs w:val="22"/>
        </w:rPr>
        <w:t>Independentemente do percentual de tributo inserido na planilha, no pagamento serão retidos na fonte os percentuais estabelecidos na legislação vigente.</w:t>
      </w:r>
    </w:p>
    <w:p w14:paraId="07D76B92">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46649A">
      <w:pPr>
        <w:jc w:val="both"/>
        <w:rPr>
          <w:rFonts w:ascii="Arial" w:hAnsi="Arial" w:eastAsia="Arial" w:cs="Arial"/>
          <w:sz w:val="22"/>
          <w:szCs w:val="22"/>
        </w:rPr>
      </w:pPr>
    </w:p>
    <w:p w14:paraId="1D8E5A5D">
      <w:pPr>
        <w:numPr>
          <w:ilvl w:val="1"/>
          <w:numId w:val="5"/>
        </w:numPr>
        <w:spacing w:before="120" w:after="120" w:line="276" w:lineRule="auto"/>
        <w:ind w:left="0"/>
        <w:jc w:val="both"/>
        <w:rPr>
          <w:rFonts w:ascii="Arial" w:hAnsi="Arial" w:eastAsia="Arial" w:cs="Arial"/>
          <w:b/>
          <w:color w:val="0000CC"/>
          <w:sz w:val="22"/>
          <w:szCs w:val="22"/>
        </w:rPr>
      </w:pPr>
      <w:r>
        <w:rPr>
          <w:rFonts w:ascii="Arial" w:hAnsi="Arial" w:eastAsia="Arial" w:cs="Arial"/>
          <w:b/>
          <w:color w:val="0000CC"/>
          <w:sz w:val="22"/>
          <w:szCs w:val="22"/>
        </w:rPr>
        <w:t>CESSÃO DE CRÉDITO</w:t>
      </w:r>
    </w:p>
    <w:p w14:paraId="792D6358">
      <w:pPr>
        <w:numPr>
          <w:ilvl w:val="2"/>
          <w:numId w:val="5"/>
        </w:numPr>
        <w:spacing w:before="120" w:after="120" w:line="276" w:lineRule="auto"/>
        <w:ind w:left="284"/>
        <w:jc w:val="both"/>
        <w:rPr>
          <w:rFonts w:ascii="Arial" w:hAnsi="Arial" w:eastAsia="Arial" w:cs="Arial"/>
          <w:sz w:val="22"/>
          <w:szCs w:val="22"/>
        </w:rPr>
      </w:pPr>
      <w:r>
        <w:rPr>
          <w:rFonts w:ascii="Arial" w:hAnsi="Arial" w:cs="Arial"/>
          <w:sz w:val="22"/>
          <w:szCs w:val="22"/>
        </w:rPr>
        <w:t>Nos</w:t>
      </w:r>
      <w:r>
        <w:rPr>
          <w:rFonts w:ascii="Arial" w:hAnsi="Arial" w:eastAsia="Arial" w:cs="Arial"/>
          <w:sz w:val="22"/>
          <w:szCs w:val="22"/>
        </w:rPr>
        <w:t xml:space="preserve"> termos e de acordo com os procedimentos previstos na Instrução Normativa SEGES/ME nº 53, de 8 de Julho de 2020, conforme as regras deste presente tópico.</w:t>
      </w:r>
    </w:p>
    <w:p w14:paraId="5D4924B2">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A cessão de crédito, de qualquer natureza,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5A11B913">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O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74F5E3C4">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0000CC"/>
          <w:sz w:val="22"/>
          <w:szCs w:val="22"/>
        </w:rPr>
      </w:pPr>
      <w:r>
        <w:rPr>
          <w:rFonts w:ascii="Arial" w:hAnsi="Arial" w:eastAsia="Arial" w:cs="Arial"/>
          <w:b/>
          <w:color w:val="2F5496"/>
          <w:sz w:val="22"/>
          <w:szCs w:val="22"/>
        </w:rPr>
        <w:t>CLÁUSULA SEXTA - REAJUSTE (art. 92, V)</w:t>
      </w:r>
    </w:p>
    <w:p w14:paraId="182FDC8D">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Os preços inicialmente contratados são fixos e irreajustáveis no prazo de um ano contado da data do orçamento estimado, em </w:t>
      </w:r>
      <w:r>
        <w:rPr>
          <w:rFonts w:ascii="Arial" w:hAnsi="Arial" w:eastAsia="Arial" w:cs="Arial"/>
          <w:i/>
          <w:color w:val="FF0000"/>
          <w:sz w:val="22"/>
          <w:szCs w:val="22"/>
        </w:rPr>
        <w:t>__/__/__ (DD/MM/AAAA)</w:t>
      </w:r>
      <w:r>
        <w:rPr>
          <w:rFonts w:ascii="Arial" w:hAnsi="Arial" w:eastAsia="Arial" w:cs="Arial"/>
          <w:sz w:val="22"/>
          <w:szCs w:val="22"/>
        </w:rPr>
        <w:t>.</w:t>
      </w:r>
    </w:p>
    <w:p w14:paraId="7F2CDAEB">
      <w:pPr>
        <w:numPr>
          <w:ilvl w:val="1"/>
          <w:numId w:val="5"/>
        </w:numPr>
        <w:spacing w:before="120" w:after="120" w:line="276" w:lineRule="auto"/>
        <w:ind w:left="425"/>
        <w:jc w:val="both"/>
        <w:rPr>
          <w:rFonts w:ascii="Arial" w:hAnsi="Arial" w:cs="Arial"/>
          <w:sz w:val="22"/>
          <w:szCs w:val="22"/>
        </w:rPr>
      </w:pPr>
      <w:r>
        <w:rPr>
          <w:rFonts w:ascii="Arial" w:hAnsi="Arial" w:eastAsia="Arial" w:cs="Arial"/>
          <w:sz w:val="22"/>
          <w:szCs w:val="22"/>
        </w:rPr>
        <w:t>Após o interregno de um ano, e independentemente de pedido do Contratado, os preços iniciais serão reajustados, mediante a aplicação, pelo Contratante, do índice IPCA</w:t>
      </w:r>
      <w:r>
        <w:rPr>
          <w:rFonts w:ascii="Arial" w:hAnsi="Arial" w:eastAsia="Arial" w:cs="Arial"/>
          <w:i/>
          <w:sz w:val="22"/>
          <w:szCs w:val="22"/>
        </w:rPr>
        <w:t>,</w:t>
      </w:r>
      <w:r>
        <w:rPr>
          <w:rFonts w:ascii="Arial" w:hAnsi="Arial" w:eastAsia="Arial" w:cs="Arial"/>
          <w:sz w:val="22"/>
          <w:szCs w:val="22"/>
        </w:rPr>
        <w:t xml:space="preserve"> exclusivamente para as obrigações iniciadas e concluídas após a ocorrência da anualidade</w:t>
      </w:r>
    </w:p>
    <w:p w14:paraId="76D7776F">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Nos reajustes subsequentes ao primeiro, o interregno mínimo de um ano será contado a partir dos efeitos financeiros do último reajuste.</w:t>
      </w:r>
    </w:p>
    <w:p w14:paraId="430DC626">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2777E25">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Nas aferições finais, o(s) índice(s) utilizado(s) para reajuste será(ão), obrigatoriamente, o(s) definitivo(s).</w:t>
      </w:r>
    </w:p>
    <w:p w14:paraId="3D2EF8DB">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4E0DB1DE">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Na ausência de previsão legal quanto ao índice substituto, as partes elegerão novo índice oficial, para reajustamento do preço do valor remanescente, por meio de termo aditivo. </w:t>
      </w:r>
    </w:p>
    <w:p w14:paraId="7E6D66FD">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 reajuste será realizado por apostilamento.</w:t>
      </w:r>
    </w:p>
    <w:p w14:paraId="4614F3D7">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SÉTIMA - OBRIGAÇÕES DO CONTRATANTE (art. 92, X, XI e XIV)</w:t>
      </w:r>
    </w:p>
    <w:p w14:paraId="2CDB69BB">
      <w:pPr>
        <w:numPr>
          <w:ilvl w:val="1"/>
          <w:numId w:val="5"/>
        </w:numPr>
        <w:spacing w:before="120" w:after="120" w:line="276" w:lineRule="auto"/>
        <w:ind w:left="425"/>
        <w:jc w:val="both"/>
        <w:rPr>
          <w:rFonts w:ascii="Arial" w:hAnsi="Arial" w:eastAsia="Arial" w:cs="Arial"/>
          <w:b/>
          <w:color w:val="000000"/>
          <w:sz w:val="22"/>
          <w:szCs w:val="22"/>
        </w:rPr>
      </w:pPr>
      <w:r>
        <w:rPr>
          <w:rFonts w:ascii="Arial" w:hAnsi="Arial" w:eastAsia="Arial" w:cs="Arial"/>
          <w:sz w:val="22"/>
          <w:szCs w:val="22"/>
        </w:rPr>
        <w:t>São obrigações do Contratante:</w:t>
      </w:r>
    </w:p>
    <w:p w14:paraId="7873F09D">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Exigir</w:t>
      </w:r>
      <w:r>
        <w:rPr>
          <w:rFonts w:ascii="Arial" w:hAnsi="Arial" w:eastAsia="Arial" w:cs="Arial"/>
          <w:color w:val="000000"/>
          <w:sz w:val="22"/>
          <w:szCs w:val="22"/>
        </w:rPr>
        <w:t xml:space="preserve"> o cumprimento de todas as obrigações assumidas pelo Contratado, de acordo com o contrato e seus anexos;</w:t>
      </w:r>
    </w:p>
    <w:p w14:paraId="12E2B465">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Receber o objeto no prazo e condições estabelecidas no Termo de Referência;</w:t>
      </w:r>
    </w:p>
    <w:p w14:paraId="1E2F35D3">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color w:val="000000"/>
          <w:sz w:val="22"/>
          <w:szCs w:val="22"/>
        </w:rPr>
        <w:t>Notificar o Contratado</w:t>
      </w:r>
      <w:r>
        <w:rPr>
          <w:rFonts w:ascii="Arial" w:hAnsi="Arial" w:eastAsia="Arial" w:cs="Arial"/>
          <w:sz w:val="22"/>
          <w:szCs w:val="22"/>
        </w:rPr>
        <w:t>, por escrito, sobre vícios, defeitos ou incorreções verificadas no objeto fornecido, para que seja por ele substituído, reparado ou corrigido, no total ou em parte, às suas expensas;</w:t>
      </w:r>
    </w:p>
    <w:p w14:paraId="14309CCC">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Acompanhar e fiscalizar a execução do contrato e o cumprimento das obrigações pelo Contratado</w:t>
      </w:r>
      <w:r>
        <w:rPr>
          <w:rFonts w:ascii="Arial" w:hAnsi="Arial" w:eastAsia="Arial" w:cs="Arial"/>
          <w:color w:val="000000"/>
          <w:sz w:val="22"/>
          <w:szCs w:val="22"/>
        </w:rPr>
        <w:t>;</w:t>
      </w:r>
    </w:p>
    <w:p w14:paraId="27FBF9FB">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Efetuar o pagamento ao Contratado do valor correspondente ao fornecimento do objeto, no prazo, forma e condições estabelecidos no presente Contrato;</w:t>
      </w:r>
    </w:p>
    <w:p w14:paraId="08B1CAAF">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color w:val="000000"/>
          <w:sz w:val="22"/>
          <w:szCs w:val="22"/>
        </w:rPr>
        <w:t>Aplicar ao Contratado sanções motivadas pela inexecução total ou parcial do Contrato;</w:t>
      </w:r>
    </w:p>
    <w:p w14:paraId="27B94D67">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 xml:space="preserve">Cientificar o órgão de representação judicial </w:t>
      </w:r>
      <w:r>
        <w:rPr>
          <w:rFonts w:ascii="Arial" w:hAnsi="Arial" w:cs="Arial"/>
          <w:color w:val="000000"/>
          <w:sz w:val="22"/>
          <w:szCs w:val="22"/>
        </w:rPr>
        <w:t>do Município</w:t>
      </w:r>
      <w:r>
        <w:rPr>
          <w:rFonts w:ascii="Arial" w:hAnsi="Arial" w:eastAsia="Arial" w:cs="Arial"/>
          <w:color w:val="000000"/>
          <w:sz w:val="22"/>
          <w:szCs w:val="22"/>
        </w:rPr>
        <w:t xml:space="preserve"> para adoção das medidas cabíveis quando do descumprimento de obrigações pelo Contratado;</w:t>
      </w:r>
    </w:p>
    <w:p w14:paraId="0ADB3A3E">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7561D7D">
      <w:pPr>
        <w:numPr>
          <w:ilvl w:val="3"/>
          <w:numId w:val="5"/>
        </w:numPr>
        <w:spacing w:before="120" w:after="120" w:line="276" w:lineRule="auto"/>
        <w:ind w:left="2835"/>
        <w:jc w:val="both"/>
        <w:rPr>
          <w:rFonts w:ascii="Arial" w:hAnsi="Arial" w:eastAsia="Arial" w:cs="Arial"/>
          <w:b/>
          <w:color w:val="000000"/>
          <w:sz w:val="22"/>
          <w:szCs w:val="22"/>
        </w:rPr>
      </w:pPr>
      <w:r>
        <w:rPr>
          <w:rFonts w:ascii="Arial" w:hAnsi="Arial" w:eastAsia="Arial" w:cs="Arial"/>
          <w:color w:val="000000"/>
          <w:sz w:val="22"/>
          <w:szCs w:val="22"/>
        </w:rPr>
        <w:t xml:space="preserve">Concluída a instrução do requerimento, a Administração terá o prazo de </w:t>
      </w:r>
      <w:r>
        <w:rPr>
          <w:rFonts w:ascii="Arial" w:hAnsi="Arial" w:eastAsia="Arial" w:cs="Arial"/>
          <w:sz w:val="22"/>
          <w:szCs w:val="22"/>
        </w:rPr>
        <w:t>30 (TRINTA) DIAS</w:t>
      </w:r>
      <w:r>
        <w:rPr>
          <w:rFonts w:ascii="Arial" w:hAnsi="Arial" w:eastAsia="Arial" w:cs="Arial"/>
          <w:color w:val="000000"/>
          <w:sz w:val="22"/>
          <w:szCs w:val="22"/>
        </w:rPr>
        <w:t xml:space="preserve"> para decidir, admitida a prorrogação motivada por igual período.</w:t>
      </w:r>
    </w:p>
    <w:p w14:paraId="5DB60A64">
      <w:pPr>
        <w:numPr>
          <w:ilvl w:val="2"/>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Notificar os emitentes das garantias quanto ao início de processo administrativo para apuração de descumprimento de cláusulas contratuais.</w:t>
      </w:r>
    </w:p>
    <w:p w14:paraId="2BB99132">
      <w:pPr>
        <w:numPr>
          <w:ilvl w:val="2"/>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Comunicar o Contratado na hipótese de posterior alteração do projeto pelo Contratante, no caso do art. 93, §2º, da Lei nº 14.133/21.</w:t>
      </w:r>
    </w:p>
    <w:p w14:paraId="0903F01A">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71ECD1D">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OITAVA - OBRIGAÇÕES DO CONTRATADO (art. 92, XIV, XVI e XVII)</w:t>
      </w:r>
    </w:p>
    <w:p w14:paraId="73AFD029">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 Contratado deve cumprir todas as obrigações constantes deste Contrato, em seus anexos, assumindo como exclusivamente seus os riscos e as despesas decorrentes da boa e perfeita execução do objeto, observando, ainda, as obrigações a seguir dispostas:</w:t>
      </w:r>
    </w:p>
    <w:p w14:paraId="3AD1B433">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manter preposto aceito pela Administração no local para representá-lo na execução do contrato.</w:t>
      </w:r>
    </w:p>
    <w:p w14:paraId="19FAD362">
      <w:pPr>
        <w:numPr>
          <w:ilvl w:val="3"/>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A indicação ou a manutenção do preposto da empresa poderá ser recusada pelo órgão ou entidade, desde que devidamente justificada, devendo a empresa designar outro para o exercício da atividade.</w:t>
      </w:r>
    </w:p>
    <w:p w14:paraId="468C1BAF">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Atender às determinações regulares emitidas pelo fiscal do contrato ou autoridade superior (art. 137, II);</w:t>
      </w:r>
    </w:p>
    <w:p w14:paraId="080EF48D">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0C86EE2">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6452ADA4">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DC48BD">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67DF6488">
      <w:pPr>
        <w:numPr>
          <w:ilvl w:val="2"/>
          <w:numId w:val="5"/>
        </w:numPr>
        <w:spacing w:before="120" w:after="120" w:line="276" w:lineRule="auto"/>
        <w:jc w:val="both"/>
        <w:rPr>
          <w:rFonts w:ascii="Arial" w:hAnsi="Arial" w:eastAsia="Arial" w:cs="Arial"/>
          <w:sz w:val="22"/>
          <w:szCs w:val="22"/>
        </w:rPr>
      </w:pPr>
      <w:r>
        <w:rPr>
          <w:rFonts w:ascii="Arial" w:hAnsi="Arial" w:cs="Arial"/>
          <w:color w:val="000000"/>
          <w:sz w:val="22"/>
          <w:szCs w:val="22"/>
        </w:rPr>
        <w:t>A</w:t>
      </w:r>
      <w:r>
        <w:rPr>
          <w:rFonts w:ascii="Arial" w:hAnsi="Arial" w:eastAsia="Arial" w:cs="Arial"/>
          <w:sz w:val="22"/>
          <w:szCs w:val="22"/>
        </w:rPr>
        <w:t xml:space="preserve"> empresa contratada deverá entregar ao setor responsável pela fiscalização do contrato, até o dia trinta do mês seguinte ao da prestação dos serviços</w:t>
      </w:r>
      <w:r>
        <w:rPr>
          <w:rFonts w:ascii="Arial" w:hAnsi="Arial" w:cs="Arial"/>
          <w:sz w:val="22"/>
          <w:szCs w:val="22"/>
        </w:rPr>
        <w:t>/compras</w:t>
      </w:r>
      <w:r>
        <w:rPr>
          <w:rFonts w:ascii="Arial" w:hAnsi="Arial" w:eastAsia="Arial" w:cs="Arial"/>
          <w:sz w:val="22"/>
          <w:szCs w:val="22"/>
        </w:rPr>
        <w:t xml:space="preserve">,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0020A880">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FECE9F9">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Comunicar ao Fiscal do contrato, no prazo de 24 (vinte e quatro) horas, qualquer ocorrência anormal ou </w:t>
      </w:r>
      <w:r>
        <w:rPr>
          <w:rFonts w:ascii="Arial" w:hAnsi="Arial" w:eastAsia="Arial" w:cs="Arial"/>
          <w:color w:val="000000"/>
          <w:sz w:val="22"/>
          <w:szCs w:val="22"/>
        </w:rPr>
        <w:t>acidente</w:t>
      </w:r>
      <w:r>
        <w:rPr>
          <w:rFonts w:ascii="Arial" w:hAnsi="Arial" w:eastAsia="Arial" w:cs="Arial"/>
          <w:sz w:val="22"/>
          <w:szCs w:val="22"/>
        </w:rPr>
        <w:t xml:space="preserve"> que se verifique no local dos serviços.</w:t>
      </w:r>
    </w:p>
    <w:p w14:paraId="3ED8ED7E">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Prestar todo esclarecimento ou informação solicitada pelo Contratante ou por seus prepostos, garantindo-lhes o acesso, a qualquer tempo, ao local dos trabalhos, bem como aos documentos relativos à execução do empreendimento.</w:t>
      </w:r>
    </w:p>
    <w:p w14:paraId="231BE28D">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Paralisar, por determinação do Contratante, qualquer atividade que não esteja sendo executada de acordo com a boa técnica ou que ponha em risco a segurança de pessoas ou bens de terceiros.</w:t>
      </w:r>
    </w:p>
    <w:p w14:paraId="7FCF04A6">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Promover a guarda, manutenção e vigilância de materiais, ferramentas, e tudo o que for necessário à execução do objeto, durante a vigência do contrato.</w:t>
      </w:r>
    </w:p>
    <w:p w14:paraId="43F254CF">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42AC5075">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Submeter previamente, por escrito, ao Contratante, para análise e aprovação, quaisquer mudanças nos métodos executivos que fujam às especificações do memorial descritivo ou instrumento congênere.</w:t>
      </w:r>
    </w:p>
    <w:p w14:paraId="67976860">
      <w:pPr>
        <w:numPr>
          <w:ilvl w:val="2"/>
          <w:numId w:val="5"/>
        </w:numPr>
        <w:spacing w:before="120" w:after="120" w:line="276" w:lineRule="auto"/>
        <w:jc w:val="both"/>
        <w:rPr>
          <w:rFonts w:ascii="Arial" w:hAnsi="Arial" w:eastAsia="Arial" w:cs="Arial"/>
          <w:sz w:val="22"/>
          <w:szCs w:val="22"/>
        </w:rPr>
      </w:pPr>
      <w:r>
        <w:rPr>
          <w:rFonts w:ascii="Arial" w:hAnsi="Arial" w:eastAsia="Arial" w:cs="Arial"/>
          <w:color w:val="000000"/>
          <w:sz w:val="22"/>
          <w:szCs w:val="22"/>
        </w:rPr>
        <w:t xml:space="preserve">Não permitir a utilização de qualquer trabalho do menor de dezesseis anos, </w:t>
      </w:r>
      <w:r>
        <w:rPr>
          <w:rFonts w:ascii="Arial" w:hAnsi="Arial" w:eastAsia="Arial" w:cs="Arial"/>
          <w:sz w:val="22"/>
          <w:szCs w:val="22"/>
        </w:rPr>
        <w:t>exceto na condição de aprendiz para os maiores de quatorze anos, nem permitir a utilização do trabalho do menor de dezoito anos em trabalho noturno, perigoso ou insalubre;</w:t>
      </w:r>
    </w:p>
    <w:p w14:paraId="368C1CD8">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 Manter durante toda a vigência do contrato, em compatibilidade com as obrigações assumidas, todas as condições exigidas para habilitação na licitação, ou para qualificação, na contratação direta; </w:t>
      </w:r>
    </w:p>
    <w:p w14:paraId="383B4883">
      <w:pPr>
        <w:numPr>
          <w:ilvl w:val="2"/>
          <w:numId w:val="5"/>
        </w:numPr>
        <w:spacing w:before="120" w:after="120" w:line="276" w:lineRule="auto"/>
        <w:jc w:val="both"/>
        <w:rPr>
          <w:rFonts w:ascii="Arial" w:hAnsi="Arial" w:eastAsia="Arial" w:cs="Arial"/>
          <w:b/>
          <w:sz w:val="22"/>
          <w:szCs w:val="22"/>
        </w:rPr>
      </w:pPr>
      <w:r>
        <w:rPr>
          <w:rFonts w:ascii="Arial" w:hAnsi="Arial" w:eastAsia="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 (art. 116);</w:t>
      </w:r>
    </w:p>
    <w:p w14:paraId="55598C5A">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Comprovar a reserva de cargos a que se refere a cláusula acima, no prazo fixado pelo fiscal do contrato, com a indicação dos empregados que preencheram as referidas vagas (art. 116, parágrafo único);</w:t>
      </w:r>
    </w:p>
    <w:p w14:paraId="676A2C77">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  Guardar sigilo sobre todas as informações obtidas em decorrência do cumprimento do contrato; </w:t>
      </w:r>
    </w:p>
    <w:p w14:paraId="6F38ADEA">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C74DE4B">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Cumprir, além dos postulados legais vigentes de âmbito federal, estadual ou municipal, as normas de segurança do Contratante;</w:t>
      </w:r>
    </w:p>
    <w:p w14:paraId="5A80DFDA">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i/>
          <w:color w:val="000000"/>
          <w:sz w:val="22"/>
          <w:szCs w:val="22"/>
        </w:rPr>
      </w:pPr>
      <w:r>
        <w:rPr>
          <w:rFonts w:ascii="Arial" w:hAnsi="Arial" w:eastAsia="Arial" w:cs="Arial"/>
          <w:b/>
          <w:i/>
          <w:color w:val="000000"/>
          <w:sz w:val="22"/>
          <w:szCs w:val="22"/>
        </w:rPr>
        <w:t>CLÁUSULA NONA- OBRIGAÇÕES PERTINENTES À LGPD</w:t>
      </w:r>
    </w:p>
    <w:p w14:paraId="1D188ABC">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18F0E49">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Os dados obtidos somente poderão ser utilizados para as finalidades que justificaram seu acesso e de acordo com a boa-fé e com os princípios do art. 6º da LGPD. </w:t>
      </w:r>
    </w:p>
    <w:p w14:paraId="7823E500">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É vedado o compartilhamento com terceiros dos dados obtidos fora das hipóteses permitidas em Lei.</w:t>
      </w:r>
    </w:p>
    <w:p w14:paraId="14153314">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A Administração deverá ser informada no prazo de 5 (cinco) dias úteis sobre todos os contratos de suboperação firmados ou que venham a ser celebrados pelo Contratado. </w:t>
      </w:r>
    </w:p>
    <w:p w14:paraId="0C554655">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3E77E9F8">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É dever do contratado orientar e treinar seus empregados sobre os deveres, requisitos e responsabilidades decorrentes da LGPD. </w:t>
      </w:r>
    </w:p>
    <w:p w14:paraId="1957A6B0">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O Contratado deverá exigir de suboperadores e subcontratados o cumprimento dos deveres da presente cláusula, permanecendo integralmente responsável por garantir sua observância.</w:t>
      </w:r>
    </w:p>
    <w:p w14:paraId="52A26E60">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O Contratante poderá realizar diligência para aferir o cumprimento dessa cláusula, devendo o Contratado atender prontamente eventuais pedidos de comprovação formulados. </w:t>
      </w:r>
    </w:p>
    <w:p w14:paraId="3C713ACF">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5EE9DA2F">
      <w:pPr>
        <w:numPr>
          <w:ilvl w:val="1"/>
          <w:numId w:val="7"/>
        </w:numPr>
        <w:tabs>
          <w:tab w:val="left" w:pos="709"/>
        </w:tabs>
        <w:spacing w:before="120" w:after="120" w:line="276" w:lineRule="auto"/>
        <w:ind w:left="851" w:hanging="425"/>
        <w:jc w:val="both"/>
        <w:rPr>
          <w:rFonts w:ascii="Arial" w:hAnsi="Arial" w:eastAsia="Arial" w:cs="Arial"/>
          <w:i/>
          <w:sz w:val="22"/>
          <w:szCs w:val="22"/>
        </w:rPr>
      </w:pPr>
      <w:r>
        <w:rPr>
          <w:rFonts w:ascii="Arial" w:hAnsi="Arial" w:eastAsia="Arial" w:cs="Arial"/>
          <w:i/>
          <w:sz w:val="22"/>
          <w:szCs w:val="22"/>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4C6425C0">
      <w:pPr>
        <w:numPr>
          <w:ilvl w:val="2"/>
          <w:numId w:val="7"/>
        </w:numPr>
        <w:spacing w:before="120" w:after="120" w:line="276" w:lineRule="auto"/>
        <w:ind w:left="1560"/>
        <w:jc w:val="both"/>
        <w:rPr>
          <w:rFonts w:ascii="Arial" w:hAnsi="Arial" w:eastAsia="Arial" w:cs="Arial"/>
          <w:i/>
          <w:sz w:val="22"/>
          <w:szCs w:val="22"/>
        </w:rPr>
      </w:pPr>
      <w:r>
        <w:rPr>
          <w:rFonts w:ascii="Arial" w:hAnsi="Arial" w:eastAsia="Arial" w:cs="Arial"/>
          <w:i/>
          <w:sz w:val="22"/>
          <w:szCs w:val="22"/>
        </w:rPr>
        <w:t xml:space="preserve">Os referidos bancos de dados devem ser desenvolvidos em formato interoperável, a fim de garantir a reutilização desses dados pela Administração nas hipóteses previstas na LGPD. </w:t>
      </w:r>
    </w:p>
    <w:p w14:paraId="39090713">
      <w:pPr>
        <w:numPr>
          <w:ilvl w:val="1"/>
          <w:numId w:val="7"/>
        </w:numPr>
        <w:tabs>
          <w:tab w:val="left" w:pos="709"/>
        </w:tabs>
        <w:spacing w:before="120" w:after="120" w:line="276" w:lineRule="auto"/>
        <w:ind w:left="851" w:hanging="425"/>
        <w:jc w:val="both"/>
        <w:rPr>
          <w:rFonts w:ascii="Arial" w:hAnsi="Arial" w:eastAsia="Arial" w:cs="Arial"/>
          <w:i/>
          <w:sz w:val="22"/>
          <w:szCs w:val="22"/>
        </w:rPr>
      </w:pPr>
      <w:r>
        <w:rPr>
          <w:rFonts w:ascii="Arial" w:hAnsi="Arial" w:eastAsia="Arial" w:cs="Arial"/>
          <w:i/>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2A6132F4">
      <w:pPr>
        <w:numPr>
          <w:ilvl w:val="1"/>
          <w:numId w:val="7"/>
        </w:numPr>
        <w:tabs>
          <w:tab w:val="left" w:pos="709"/>
        </w:tabs>
        <w:spacing w:before="120" w:after="120" w:line="276" w:lineRule="auto"/>
        <w:ind w:left="851" w:hanging="425"/>
        <w:jc w:val="both"/>
        <w:rPr>
          <w:rFonts w:ascii="Arial" w:hAnsi="Arial" w:eastAsia="Arial" w:cs="Arial"/>
          <w:i/>
          <w:sz w:val="22"/>
          <w:szCs w:val="22"/>
        </w:rPr>
      </w:pPr>
      <w:r>
        <w:rPr>
          <w:rFonts w:ascii="Arial" w:hAnsi="Arial" w:eastAsia="Arial" w:cs="Arial"/>
          <w:i/>
          <w:sz w:val="22"/>
          <w:szCs w:val="22"/>
        </w:rPr>
        <w:t xml:space="preserve">Os contratos e convênios de que trata o § 1º do art. 26 da LGPD deverão ser comunicados à autoridade nacional. </w:t>
      </w:r>
    </w:p>
    <w:p w14:paraId="6DEC8651">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 GARANTIA DE EXECUÇÃO (art. 92, XII e XIII)</w:t>
      </w:r>
    </w:p>
    <w:p w14:paraId="25E9BCCD">
      <w:pPr>
        <w:rPr>
          <w:rFonts w:ascii="Arial" w:hAnsi="Arial" w:eastAsia="Arial" w:cs="Arial"/>
          <w:i/>
          <w:sz w:val="22"/>
          <w:szCs w:val="22"/>
        </w:rPr>
      </w:pPr>
    </w:p>
    <w:p w14:paraId="12FCC331">
      <w:pPr>
        <w:numPr>
          <w:ilvl w:val="1"/>
          <w:numId w:val="5"/>
        </w:numPr>
        <w:spacing w:before="120" w:after="120" w:line="276" w:lineRule="auto"/>
        <w:ind w:left="425"/>
        <w:jc w:val="both"/>
        <w:rPr>
          <w:rFonts w:ascii="Arial" w:hAnsi="Arial" w:cs="Arial"/>
          <w:i/>
          <w:sz w:val="22"/>
          <w:szCs w:val="22"/>
        </w:rPr>
      </w:pPr>
      <w:r>
        <w:rPr>
          <w:rFonts w:ascii="Arial" w:hAnsi="Arial" w:eastAsia="Arial" w:cs="Arial"/>
          <w:i/>
          <w:sz w:val="22"/>
          <w:szCs w:val="22"/>
        </w:rPr>
        <w:t>Não haverá exigência de garantia contratual da execução.</w:t>
      </w:r>
    </w:p>
    <w:p w14:paraId="05D8E38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PRIMEIRA – INFRAÇÕES E SANÇÕES ADMINISTRATIVAS (art. 92, XIV)</w:t>
      </w:r>
    </w:p>
    <w:p w14:paraId="6C9E6D44">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Comete infração administrativa, nos termos da Lei nº 14.133, de 2021, o Contratado que:</w:t>
      </w:r>
    </w:p>
    <w:p w14:paraId="14D2A9C4">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der causa à inexecução parcial do contrato;</w:t>
      </w:r>
    </w:p>
    <w:p w14:paraId="70C77295">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der causa à inexecução parcial do contrato que cause grave dano à Administração ou ao funcionamento dos serviços públicos ou ao interesse coletivo;</w:t>
      </w:r>
    </w:p>
    <w:p w14:paraId="2E83A8AE">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der causa à inexecução total do contrato;</w:t>
      </w:r>
    </w:p>
    <w:p w14:paraId="0BEADA14">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deixar de entregar a documentação exigida para o certame;</w:t>
      </w:r>
    </w:p>
    <w:p w14:paraId="4BBCF3F4">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não manter a proposta, salvo em decorrência de fato superveniente devidamente justificado;</w:t>
      </w:r>
    </w:p>
    <w:p w14:paraId="2AE7A472">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não celebrar o contrato ou não entregar a documentação exigida para a contratação, quando convocado dentro do prazo de validade de sua proposta;</w:t>
      </w:r>
    </w:p>
    <w:p w14:paraId="139C63DC">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ensejar o retardamento da execução ou da entrega do objeto da contratação sem motivo justificado;</w:t>
      </w:r>
    </w:p>
    <w:p w14:paraId="71AFBC78">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apresentar declaração ou documentação falsa exigida para o certame ou prestar declaração falsa durante a dispensa eletrônica ou execução do contrato;</w:t>
      </w:r>
    </w:p>
    <w:p w14:paraId="7DDE47B8">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fraudar a contratação ou praticar ato fraudulento na execução do contrato;</w:t>
      </w:r>
    </w:p>
    <w:p w14:paraId="53724F0F">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comportar-se de modo inidôneo ou cometer fraude de qualquer natureza;</w:t>
      </w:r>
    </w:p>
    <w:p w14:paraId="634FDDF8">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praticar atos ilícitos com vistas a frustrar os objetivos da contratação;</w:t>
      </w:r>
    </w:p>
    <w:p w14:paraId="0A03660A">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praticar ato lesivo previsto no art. 5º da Lei nº 12.846, de 1º de agosto de 2013.</w:t>
      </w:r>
    </w:p>
    <w:p w14:paraId="3F6E332C">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Serão aplicadas ao responsável pelas infrações administrativas acima descritas as seguintes sanções:</w:t>
      </w:r>
    </w:p>
    <w:p w14:paraId="01ADF8E7">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Advertência</w:t>
      </w:r>
      <w:r>
        <w:rPr>
          <w:rFonts w:ascii="Arial" w:hAnsi="Arial" w:eastAsia="Arial" w:cs="Arial"/>
          <w:sz w:val="22"/>
          <w:szCs w:val="22"/>
        </w:rPr>
        <w:t>, quando o Contratado der causa à inexecução parcial do contrato, sempre que não se justificar a imposição de penalidade mais grave (art. 156, §2º, da Lei);</w:t>
      </w:r>
    </w:p>
    <w:p w14:paraId="0A326833">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Impedimento de licitar e contratar</w:t>
      </w:r>
      <w:r>
        <w:rPr>
          <w:rFonts w:ascii="Arial" w:hAnsi="Arial" w:eastAsia="Arial" w:cs="Arial"/>
          <w:sz w:val="22"/>
          <w:szCs w:val="22"/>
        </w:rPr>
        <w:t>, quando praticadas as condutas descritas nas alíneas b, c, d, e, f e g do subitem acima deste Contrato, sempre que não se justificar a imposição de penalidade mais grave (art. 156, §4º, da Lei);</w:t>
      </w:r>
    </w:p>
    <w:p w14:paraId="4AD41B6F">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Declaração de inidoneidade para licitar e contratar</w:t>
      </w:r>
      <w:r>
        <w:rPr>
          <w:rFonts w:ascii="Arial" w:hAnsi="Arial" w:eastAsia="Arial" w:cs="Arial"/>
          <w:sz w:val="22"/>
          <w:szCs w:val="22"/>
        </w:rPr>
        <w:t>, quando praticadas as condutas descritas nas alíneas h, i, j, k e l do subitem acima deste Contrato, bem como nas alíneas b, c, d, e, f e g, que justifiquem a imposição de penalidade mais grave (art. 156, §5º, da Lei)</w:t>
      </w:r>
    </w:p>
    <w:p w14:paraId="462D56EB">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Multa:</w:t>
      </w:r>
    </w:p>
    <w:p w14:paraId="546C4B9D">
      <w:pPr>
        <w:numPr>
          <w:ilvl w:val="3"/>
          <w:numId w:val="9"/>
        </w:numPr>
        <w:spacing w:before="120" w:after="120" w:line="276" w:lineRule="auto"/>
        <w:jc w:val="both"/>
        <w:rPr>
          <w:rFonts w:ascii="Arial" w:hAnsi="Arial" w:eastAsia="Arial" w:cs="Arial"/>
          <w:sz w:val="22"/>
          <w:szCs w:val="22"/>
        </w:rPr>
      </w:pPr>
      <w:r>
        <w:rPr>
          <w:rFonts w:ascii="Arial" w:hAnsi="Arial" w:eastAsia="Arial" w:cs="Arial"/>
          <w:sz w:val="22"/>
          <w:szCs w:val="22"/>
        </w:rPr>
        <w:t>moratória de 1% dez por cento) por dia de atraso injustificado sobre o valor da parcela inadimplida, até o limite de 30 (trinta) dias;</w:t>
      </w:r>
    </w:p>
    <w:p w14:paraId="599DA27F">
      <w:pPr>
        <w:numPr>
          <w:ilvl w:val="4"/>
          <w:numId w:val="9"/>
        </w:numPr>
        <w:spacing w:before="120" w:after="120" w:line="276" w:lineRule="auto"/>
        <w:jc w:val="both"/>
        <w:rPr>
          <w:rFonts w:ascii="Arial" w:hAnsi="Arial" w:eastAsia="Arial" w:cs="Arial"/>
          <w:i/>
          <w:sz w:val="22"/>
          <w:szCs w:val="22"/>
        </w:rPr>
      </w:pPr>
      <w:r>
        <w:rPr>
          <w:rFonts w:ascii="Arial" w:hAnsi="Arial" w:eastAsia="Arial" w:cs="Arial"/>
          <w:i/>
          <w:sz w:val="22"/>
          <w:szCs w:val="22"/>
        </w:rPr>
        <w:t xml:space="preserve">O atraso superior a 90 dias autoriza a Administração a promover a rescisão do contrato por descumprimento ou cumprimento irregular de suas cláusulas, conforme dispõe o inciso I do art. 137 da Lei n. 14.133, de 2021. </w:t>
      </w:r>
    </w:p>
    <w:p w14:paraId="0F6FC186">
      <w:pPr>
        <w:numPr>
          <w:ilvl w:val="3"/>
          <w:numId w:val="9"/>
        </w:numPr>
        <w:spacing w:before="120" w:after="120" w:line="276" w:lineRule="auto"/>
        <w:jc w:val="both"/>
        <w:rPr>
          <w:rFonts w:ascii="Arial" w:hAnsi="Arial" w:eastAsia="Arial" w:cs="Arial"/>
          <w:sz w:val="22"/>
          <w:szCs w:val="22"/>
        </w:rPr>
      </w:pPr>
      <w:r>
        <w:rPr>
          <w:rFonts w:ascii="Arial" w:hAnsi="Arial" w:eastAsia="Arial" w:cs="Arial"/>
          <w:sz w:val="22"/>
          <w:szCs w:val="22"/>
        </w:rPr>
        <w:t>compensatória de 10% (dez por cento) sobre o valor total do contrato, no caso de inexecução total do objeto;</w:t>
      </w:r>
    </w:p>
    <w:p w14:paraId="4D5FEDEC">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A aplicação das sanções previstas neste Contrato não exclui, em hipótese alguma, a obrigação de reparação integral do dano causado à Contratante (art. 156, §9º)</w:t>
      </w:r>
    </w:p>
    <w:p w14:paraId="74375212">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Todas as sanções previstas neste Contrato poderão ser aplicadas cumulativamente com a multa (art. 156, §7º).</w:t>
      </w:r>
    </w:p>
    <w:p w14:paraId="0954667E">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Antes da aplicação da multa será facultada a defesa do interessado no prazo de 15 (quinze) dias úteis, contado da data de sua intimação (art. 157)</w:t>
      </w:r>
    </w:p>
    <w:p w14:paraId="05EC9D42">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159AA44">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Previamente ao encaminhamento à cobrança judicial, a multa poderá ser recolhida administrativamente no prazo máximo de </w:t>
      </w:r>
      <w:r>
        <w:rPr>
          <w:rFonts w:ascii="Arial" w:hAnsi="Arial" w:eastAsia="Arial" w:cs="Arial"/>
          <w:i/>
          <w:sz w:val="22"/>
          <w:szCs w:val="22"/>
        </w:rPr>
        <w:t xml:space="preserve">30 (trinta) </w:t>
      </w:r>
      <w:r>
        <w:rPr>
          <w:rFonts w:ascii="Arial" w:hAnsi="Arial" w:eastAsia="Arial" w:cs="Arial"/>
          <w:sz w:val="22"/>
          <w:szCs w:val="22"/>
        </w:rPr>
        <w:t>dias, a contar da data do recebimento da comunicação enviada pela autoridade competente.</w:t>
      </w:r>
    </w:p>
    <w:p w14:paraId="47E5E2DF">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A aplicação das sanções realizar-se-á em processo administrativo que assegure o contraditório e a ampla defesa ao Contratado, observando-se o procedimento previsto no </w:t>
      </w:r>
      <w:r>
        <w:rPr>
          <w:rFonts w:ascii="Arial" w:hAnsi="Arial" w:eastAsia="Arial" w:cs="Arial"/>
          <w:b/>
          <w:sz w:val="22"/>
          <w:szCs w:val="22"/>
        </w:rPr>
        <w:t xml:space="preserve">caput </w:t>
      </w:r>
      <w:r>
        <w:rPr>
          <w:rFonts w:ascii="Arial" w:hAnsi="Arial" w:eastAsia="Arial" w:cs="Arial"/>
          <w:sz w:val="22"/>
          <w:szCs w:val="22"/>
        </w:rPr>
        <w:t>e parágrafos do art. 158 da Lei nº 14.133, de 2021, para as penalidades de impedimento de licitar e contratar e de declaração de inidoneidade para licitar ou contratar.</w:t>
      </w:r>
    </w:p>
    <w:p w14:paraId="593D5BA1">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Na aplicação das sanções serão considerados (art. 156, §1º) :</w:t>
      </w:r>
    </w:p>
    <w:p w14:paraId="21F1086E">
      <w:pPr>
        <w:numPr>
          <w:ilvl w:val="0"/>
          <w:numId w:val="10"/>
        </w:numPr>
        <w:pBdr>
          <w:top w:val="none" w:color="auto" w:sz="0" w:space="0"/>
          <w:left w:val="none" w:color="auto" w:sz="0" w:space="0"/>
          <w:bottom w:val="none" w:color="auto" w:sz="0" w:space="0"/>
          <w:right w:val="none" w:color="auto" w:sz="0" w:space="0"/>
          <w:between w:val="none" w:color="auto" w:sz="0" w:space="0"/>
        </w:pBdr>
        <w:spacing w:before="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a natureza e a gravidade da infração cometida;</w:t>
      </w:r>
    </w:p>
    <w:p w14:paraId="36DD2EBE">
      <w:pPr>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ind w:right="-30"/>
        <w:jc w:val="both"/>
        <w:rPr>
          <w:rFonts w:ascii="Arial" w:hAnsi="Arial" w:eastAsia="Arial" w:cs="Arial"/>
          <w:color w:val="000000"/>
          <w:sz w:val="22"/>
          <w:szCs w:val="22"/>
        </w:rPr>
      </w:pPr>
      <w:r>
        <w:rPr>
          <w:rFonts w:ascii="Arial" w:hAnsi="Arial" w:eastAsia="Arial" w:cs="Arial"/>
          <w:color w:val="000000"/>
          <w:sz w:val="22"/>
          <w:szCs w:val="22"/>
        </w:rPr>
        <w:t>as peculiaridades do caso concreto;</w:t>
      </w:r>
    </w:p>
    <w:p w14:paraId="5E56ED23">
      <w:pPr>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ind w:right="-30"/>
        <w:jc w:val="both"/>
        <w:rPr>
          <w:rFonts w:ascii="Arial" w:hAnsi="Arial" w:eastAsia="Arial" w:cs="Arial"/>
          <w:color w:val="000000"/>
          <w:sz w:val="22"/>
          <w:szCs w:val="22"/>
        </w:rPr>
      </w:pPr>
      <w:r>
        <w:rPr>
          <w:rFonts w:ascii="Arial" w:hAnsi="Arial" w:eastAsia="Arial" w:cs="Arial"/>
          <w:color w:val="000000"/>
          <w:sz w:val="22"/>
          <w:szCs w:val="22"/>
        </w:rPr>
        <w:t>as circunstâncias agravantes ou atenuantes;</w:t>
      </w:r>
    </w:p>
    <w:p w14:paraId="47D447CF">
      <w:pPr>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ind w:right="-30"/>
        <w:jc w:val="both"/>
        <w:rPr>
          <w:rFonts w:ascii="Arial" w:hAnsi="Arial" w:eastAsia="Arial" w:cs="Arial"/>
          <w:color w:val="000000"/>
          <w:sz w:val="22"/>
          <w:szCs w:val="22"/>
        </w:rPr>
      </w:pPr>
      <w:r>
        <w:rPr>
          <w:rFonts w:ascii="Arial" w:hAnsi="Arial" w:eastAsia="Arial" w:cs="Arial"/>
          <w:color w:val="000000"/>
          <w:sz w:val="22"/>
          <w:szCs w:val="22"/>
        </w:rPr>
        <w:t>os danos que dela provierem para o Contratante;</w:t>
      </w:r>
    </w:p>
    <w:p w14:paraId="35D39FD9">
      <w:pPr>
        <w:numPr>
          <w:ilvl w:val="0"/>
          <w:numId w:val="10"/>
        </w:numPr>
        <w:pBdr>
          <w:top w:val="none" w:color="auto" w:sz="0" w:space="0"/>
          <w:left w:val="none" w:color="auto" w:sz="0" w:space="0"/>
          <w:bottom w:val="none" w:color="auto" w:sz="0" w:space="0"/>
          <w:right w:val="none" w:color="auto" w:sz="0" w:space="0"/>
          <w:between w:val="none" w:color="auto" w:sz="0" w:space="0"/>
        </w:pBdr>
        <w:spacing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a implantação ou o aperfeiçoamento de programa de integridade, conforme normas e orientações dos órgãos de controle.</w:t>
      </w:r>
    </w:p>
    <w:p w14:paraId="12A824E5">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579C2F98">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1DDAC239">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14:paraId="6C59BCAD">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sz w:val="22"/>
          <w:szCs w:val="22"/>
        </w:rPr>
        <w:t>As sanções de impedimento de licitar e contratar e declaração de inidoneidade para licitar ou contratar são passíveis de reabilitação na forma do art. 163 da Lei nº 14.133/21.</w:t>
      </w:r>
    </w:p>
    <w:p w14:paraId="49A82CFC">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SEGUNDA – DA EXTINÇÃO CONTRATUAL (art. 92, XIX)</w:t>
      </w:r>
    </w:p>
    <w:p w14:paraId="53D2AE5D">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i/>
          <w:sz w:val="22"/>
          <w:szCs w:val="22"/>
        </w:rPr>
        <w:t>O contrato se extingue quando cumpridas as obrigações de ambas as partes, ainda que isso ocorra antes do prazo estipulado para tanto.</w:t>
      </w:r>
    </w:p>
    <w:p w14:paraId="5478186D">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i/>
          <w:sz w:val="22"/>
          <w:szCs w:val="22"/>
        </w:rPr>
        <w:t>Se as obrigações não forem cumpridas no prazo estipulado, a vigência ficará prorrogada até a conclusão do objeto, caso em que deverá a Administração providenciar a readequação do cronograma físico-financeiro.</w:t>
      </w:r>
    </w:p>
    <w:p w14:paraId="1E4DE3FE">
      <w:pPr>
        <w:numPr>
          <w:ilvl w:val="2"/>
          <w:numId w:val="5"/>
        </w:numPr>
        <w:spacing w:before="120" w:after="120" w:line="276" w:lineRule="auto"/>
        <w:ind w:left="1701"/>
        <w:jc w:val="both"/>
        <w:rPr>
          <w:rFonts w:ascii="Arial" w:hAnsi="Arial" w:eastAsia="Arial" w:cs="Arial"/>
          <w:i/>
          <w:sz w:val="22"/>
          <w:szCs w:val="22"/>
        </w:rPr>
      </w:pPr>
      <w:r>
        <w:rPr>
          <w:rFonts w:ascii="Arial" w:hAnsi="Arial" w:eastAsia="Arial" w:cs="Arial"/>
          <w:i/>
          <w:sz w:val="22"/>
          <w:szCs w:val="22"/>
        </w:rPr>
        <w:t>Quando a não conclusão do contrato referida no item anterior decorrer de culpa do contratado:</w:t>
      </w:r>
    </w:p>
    <w:p w14:paraId="2D304B4F">
      <w:pPr>
        <w:numPr>
          <w:ilvl w:val="0"/>
          <w:numId w:val="11"/>
        </w:numPr>
        <w:pBdr>
          <w:top w:val="none" w:color="auto" w:sz="0" w:space="0"/>
          <w:left w:val="none" w:color="auto" w:sz="0" w:space="0"/>
          <w:bottom w:val="none" w:color="auto" w:sz="0" w:space="0"/>
          <w:right w:val="none" w:color="auto" w:sz="0" w:space="0"/>
          <w:between w:val="none" w:color="auto" w:sz="0" w:space="0"/>
        </w:pBdr>
        <w:ind w:left="1985"/>
        <w:jc w:val="both"/>
        <w:rPr>
          <w:rFonts w:ascii="Arial" w:hAnsi="Arial" w:eastAsia="Arial" w:cs="Arial"/>
          <w:i/>
          <w:color w:val="000000"/>
          <w:sz w:val="22"/>
          <w:szCs w:val="22"/>
        </w:rPr>
      </w:pPr>
      <w:r>
        <w:rPr>
          <w:rFonts w:ascii="Arial" w:hAnsi="Arial" w:eastAsia="Arial" w:cs="Arial"/>
          <w:i/>
          <w:color w:val="000000"/>
          <w:sz w:val="22"/>
          <w:szCs w:val="22"/>
        </w:rPr>
        <w:t xml:space="preserve">ficará ele constituído em mora, sendo-lhe aplicáveis as respectivas sanções administrativas; e  </w:t>
      </w:r>
    </w:p>
    <w:p w14:paraId="30C5ECD8">
      <w:pPr>
        <w:numPr>
          <w:ilvl w:val="0"/>
          <w:numId w:val="11"/>
        </w:numPr>
        <w:pBdr>
          <w:top w:val="none" w:color="auto" w:sz="0" w:space="0"/>
          <w:left w:val="none" w:color="auto" w:sz="0" w:space="0"/>
          <w:bottom w:val="none" w:color="auto" w:sz="0" w:space="0"/>
          <w:right w:val="none" w:color="auto" w:sz="0" w:space="0"/>
          <w:between w:val="none" w:color="auto" w:sz="0" w:space="0"/>
        </w:pBdr>
        <w:spacing w:after="160"/>
        <w:ind w:left="1985"/>
        <w:jc w:val="both"/>
        <w:rPr>
          <w:rFonts w:ascii="Arial" w:hAnsi="Arial" w:eastAsia="Arial" w:cs="Arial"/>
          <w:i/>
          <w:color w:val="000000"/>
          <w:sz w:val="22"/>
          <w:szCs w:val="22"/>
        </w:rPr>
      </w:pPr>
      <w:r>
        <w:rPr>
          <w:rFonts w:ascii="Arial" w:hAnsi="Arial" w:eastAsia="Arial" w:cs="Arial"/>
          <w:i/>
          <w:color w:val="000000"/>
          <w:sz w:val="22"/>
          <w:szCs w:val="22"/>
        </w:rPr>
        <w:t>poderá a Administração optar pela extinção do contrato e, nesse caso, adotará as medidas admitidas em lei para a continuidade da execução contratual.</w:t>
      </w:r>
    </w:p>
    <w:p w14:paraId="341BD776">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O contrato pode ser extinto antes de cumpridas as obrigações nele estipuladas, ou antes do prazo nele fixado, por algum dos motivos previstos no artigo 137 da NLLC, bem como amigavelmente, assegurados o contraditório e a ampla defesa.</w:t>
      </w:r>
    </w:p>
    <w:p w14:paraId="2B259E2A">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Nesta hipótese, aplicam-se também os artigos 138 e 139 da mesma Lei.</w:t>
      </w:r>
    </w:p>
    <w:p w14:paraId="5D3171FF">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A alteração social ou modificação da finalidade ou da estrutura da empresa não ensejará rescisão se não restringir sua capacidade de concluir o contrato.</w:t>
      </w:r>
    </w:p>
    <w:p w14:paraId="4CEF1B14">
      <w:pPr>
        <w:numPr>
          <w:ilvl w:val="3"/>
          <w:numId w:val="5"/>
        </w:numPr>
        <w:spacing w:before="120" w:after="120" w:line="276" w:lineRule="auto"/>
        <w:jc w:val="both"/>
        <w:rPr>
          <w:rFonts w:ascii="Arial" w:hAnsi="Arial" w:eastAsia="Arial" w:cs="Arial"/>
          <w:sz w:val="22"/>
          <w:szCs w:val="22"/>
        </w:rPr>
      </w:pPr>
      <w:r>
        <w:rPr>
          <w:rFonts w:ascii="Arial" w:hAnsi="Arial" w:eastAsia="Arial" w:cs="Arial"/>
          <w:sz w:val="22"/>
          <w:szCs w:val="22"/>
        </w:rPr>
        <w:t>Se a operação implicar mudança da pessoa jurídica contratada, deverá ser formalizado termo aditivo para alteração subjetiva.</w:t>
      </w:r>
    </w:p>
    <w:p w14:paraId="0BEEA722">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O termo de rescisão, sempre que possível, será precedido:</w:t>
      </w:r>
    </w:p>
    <w:p w14:paraId="5D8E8729">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Balanço dos eventos contratuais já cumpridos ou parcialmente cumpridos;</w:t>
      </w:r>
    </w:p>
    <w:p w14:paraId="3FE4187F">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Relação dos pagamentos já efetuados e ainda devidos;</w:t>
      </w:r>
    </w:p>
    <w:p w14:paraId="2C8C897E">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Indenizações e multas.</w:t>
      </w:r>
    </w:p>
    <w:p w14:paraId="268379F2">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TERCEIRA – DOTAÇÃO ORÇAMENTÁRIA (art. 92, VIII)</w:t>
      </w:r>
    </w:p>
    <w:p w14:paraId="1CEA0438">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As despesas decorrentes da presente contratação correrão à conta de recursos específicos consignados no Orçamento Geral do Município deste exercício, na dotação: Exercício de 2025, Atividade: </w:t>
      </w:r>
    </w:p>
    <w:p w14:paraId="58B0A0E0">
      <w:pPr>
        <w:numPr>
          <w:ilvl w:val="1"/>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A dotação relativa aos exercícios financeiros subsequentes será indicada após aprovação da Lei Orçamentária respectiva e liberação dos créditos correspondentes, mediante apostilamento.</w:t>
      </w:r>
    </w:p>
    <w:p w14:paraId="0B1884A0">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QUARTA – DOS CASOS OMISSOS (art. 92, III)</w:t>
      </w:r>
    </w:p>
    <w:p w14:paraId="46A49A08">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33B60FA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QUINTA – ALTERAÇÕES</w:t>
      </w:r>
    </w:p>
    <w:p w14:paraId="6A8459D4">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Eventuais alterações contratuais reger-se-ão pela disciplina dos arts. 124 e seguintes da Lei nº 14.133, de 2021.</w:t>
      </w:r>
    </w:p>
    <w:p w14:paraId="72770F20">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 CONTRATADO é obrigada a aceitar, nas mesmas condições contratuais, os acréscimos ou supressões que se fizerem necessários, até o limite de 25% (vinte e cinco por cento) do valor inicial atualizado do contrato.</w:t>
      </w:r>
    </w:p>
    <w:p w14:paraId="5C8C3B28">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As supressões resultantes de acordo celebrado entre as partes contratantes poderão exceder o limite de 25% (vinte e cinco por cento) do valor inicial atualizado do termo de contrato.</w:t>
      </w:r>
    </w:p>
    <w:p w14:paraId="0AC6432E">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Registros que não caracterizam alteração do contrato podem ser realizados por simples apostila, dispensada a celebração de termo aditivo, na forma do art. 136 da Lei nº 14.133, de 2021.</w:t>
      </w:r>
    </w:p>
    <w:p w14:paraId="730BE06C">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SEXTA – PUBLICAÇÃO</w:t>
      </w:r>
    </w:p>
    <w:p w14:paraId="29AD8F97">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Incumbirá à CONTRATANTE providenciar a publicação deste instrumento nos termos e condições previstas na Lei nº 14.133/21.</w:t>
      </w:r>
    </w:p>
    <w:p w14:paraId="026A4D2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SÉTIMA – FORO (art. 92, §1º)</w:t>
      </w:r>
    </w:p>
    <w:p w14:paraId="431F8F77">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 É eleito o Foro da Justiça Federal em </w:t>
      </w:r>
      <w:r>
        <w:rPr>
          <w:rFonts w:ascii="Arial" w:hAnsi="Arial" w:eastAsia="Arial" w:cs="Arial"/>
          <w:color w:val="FF0000"/>
          <w:sz w:val="22"/>
          <w:szCs w:val="22"/>
        </w:rPr>
        <w:t>......</w:t>
      </w:r>
      <w:r>
        <w:rPr>
          <w:rFonts w:ascii="Arial" w:hAnsi="Arial" w:eastAsia="Arial" w:cs="Arial"/>
          <w:sz w:val="22"/>
          <w:szCs w:val="22"/>
        </w:rPr>
        <w:t>, Seção Judiciária de</w:t>
      </w:r>
      <w:r>
        <w:rPr>
          <w:rFonts w:ascii="Arial" w:hAnsi="Arial" w:eastAsia="Arial" w:cs="Arial"/>
          <w:color w:val="FF0000"/>
          <w:sz w:val="22"/>
          <w:szCs w:val="22"/>
        </w:rPr>
        <w:t>......</w:t>
      </w:r>
      <w:r>
        <w:rPr>
          <w:rFonts w:ascii="Arial" w:hAnsi="Arial" w:eastAsia="Arial" w:cs="Arial"/>
          <w:sz w:val="22"/>
          <w:szCs w:val="22"/>
        </w:rPr>
        <w:t xml:space="preserve"> para dirimir os litígios que decorrerem da execução deste Termo de Contrato que não possam ser compostos pela conciliação, conforme art. 92, §1º da Lei nº 14.133/21. </w:t>
      </w:r>
    </w:p>
    <w:p w14:paraId="2CCF9316">
      <w:pPr>
        <w:spacing w:before="120" w:after="120"/>
        <w:ind w:left="425"/>
        <w:jc w:val="both"/>
        <w:rPr>
          <w:rFonts w:ascii="Arial" w:hAnsi="Arial" w:eastAsia="Arial" w:cs="Arial"/>
          <w:sz w:val="22"/>
          <w:szCs w:val="22"/>
        </w:rPr>
      </w:pPr>
    </w:p>
    <w:p w14:paraId="324A8F15">
      <w:pPr>
        <w:spacing w:after="120" w:line="360" w:lineRule="auto"/>
        <w:ind w:right="-15"/>
        <w:jc w:val="both"/>
        <w:rPr>
          <w:rFonts w:ascii="Arial" w:hAnsi="Arial" w:eastAsia="Arial" w:cs="Arial"/>
          <w:sz w:val="22"/>
          <w:szCs w:val="22"/>
        </w:rPr>
      </w:pPr>
      <w:r>
        <w:rPr>
          <w:rFonts w:ascii="Arial" w:hAnsi="Arial" w:eastAsia="Arial" w:cs="Arial"/>
          <w:sz w:val="22"/>
          <w:szCs w:val="22"/>
        </w:rPr>
        <w:t>...........................................,  .......... de.......................................... de 20.....</w:t>
      </w:r>
    </w:p>
    <w:p w14:paraId="715FD52B">
      <w:pPr>
        <w:spacing w:after="120" w:line="360" w:lineRule="auto"/>
        <w:ind w:right="-15"/>
        <w:jc w:val="both"/>
        <w:rPr>
          <w:rFonts w:ascii="Arial" w:hAnsi="Arial" w:eastAsia="Arial" w:cs="Arial"/>
          <w:sz w:val="22"/>
          <w:szCs w:val="22"/>
        </w:rPr>
      </w:pPr>
    </w:p>
    <w:p w14:paraId="0481C9D6">
      <w:pPr>
        <w:spacing w:after="120"/>
        <w:jc w:val="center"/>
        <w:rPr>
          <w:rFonts w:ascii="Arial" w:hAnsi="Arial" w:eastAsia="Arial" w:cs="Arial"/>
          <w:sz w:val="22"/>
          <w:szCs w:val="22"/>
        </w:rPr>
      </w:pPr>
      <w:r>
        <w:rPr>
          <w:rFonts w:ascii="Arial" w:hAnsi="Arial" w:eastAsia="Arial" w:cs="Arial"/>
          <w:sz w:val="22"/>
          <w:szCs w:val="22"/>
        </w:rPr>
        <w:t>_________________________</w:t>
      </w:r>
    </w:p>
    <w:p w14:paraId="0228C9EC">
      <w:pPr>
        <w:spacing w:after="120"/>
        <w:jc w:val="center"/>
        <w:rPr>
          <w:rFonts w:ascii="Arial" w:hAnsi="Arial" w:eastAsia="Arial" w:cs="Arial"/>
          <w:sz w:val="22"/>
          <w:szCs w:val="22"/>
        </w:rPr>
      </w:pPr>
      <w:r>
        <w:rPr>
          <w:rFonts w:ascii="Arial" w:hAnsi="Arial" w:eastAsia="Arial" w:cs="Arial"/>
          <w:sz w:val="22"/>
          <w:szCs w:val="22"/>
        </w:rPr>
        <w:t>Representante legal do CONTRATANTE</w:t>
      </w:r>
    </w:p>
    <w:p w14:paraId="71D71888">
      <w:pPr>
        <w:spacing w:after="120"/>
        <w:jc w:val="center"/>
        <w:rPr>
          <w:rFonts w:ascii="Arial" w:hAnsi="Arial" w:eastAsia="Arial" w:cs="Arial"/>
          <w:sz w:val="22"/>
          <w:szCs w:val="22"/>
        </w:rPr>
      </w:pPr>
      <w:r>
        <w:rPr>
          <w:rFonts w:ascii="Arial" w:hAnsi="Arial" w:eastAsia="Arial" w:cs="Arial"/>
          <w:sz w:val="22"/>
          <w:szCs w:val="22"/>
        </w:rPr>
        <w:t>_________________________</w:t>
      </w:r>
    </w:p>
    <w:p w14:paraId="63D50348">
      <w:pPr>
        <w:spacing w:after="120"/>
        <w:jc w:val="center"/>
        <w:rPr>
          <w:rFonts w:ascii="Arial" w:hAnsi="Arial" w:eastAsia="Arial" w:cs="Arial"/>
          <w:sz w:val="22"/>
          <w:szCs w:val="22"/>
        </w:rPr>
      </w:pPr>
      <w:r>
        <w:rPr>
          <w:rFonts w:ascii="Arial" w:hAnsi="Arial" w:eastAsia="Arial" w:cs="Arial"/>
          <w:sz w:val="22"/>
          <w:szCs w:val="22"/>
        </w:rPr>
        <w:t>Representante legal do CONTRATADO</w:t>
      </w:r>
    </w:p>
    <w:p w14:paraId="032AF5FD">
      <w:pPr>
        <w:spacing w:after="120"/>
        <w:jc w:val="both"/>
        <w:rPr>
          <w:rFonts w:ascii="Arial" w:hAnsi="Arial" w:eastAsia="Arial" w:cs="Arial"/>
          <w:i/>
          <w:sz w:val="22"/>
          <w:szCs w:val="22"/>
        </w:rPr>
      </w:pPr>
    </w:p>
    <w:p w14:paraId="7DEBC4E2">
      <w:pPr>
        <w:spacing w:after="120"/>
        <w:jc w:val="both"/>
        <w:rPr>
          <w:rFonts w:ascii="Arial" w:hAnsi="Arial" w:eastAsia="Arial" w:cs="Arial"/>
          <w:i/>
          <w:sz w:val="22"/>
          <w:szCs w:val="22"/>
        </w:rPr>
      </w:pPr>
      <w:r>
        <w:rPr>
          <w:rFonts w:ascii="Arial" w:hAnsi="Arial" w:eastAsia="Arial" w:cs="Arial"/>
          <w:i/>
          <w:sz w:val="22"/>
          <w:szCs w:val="22"/>
        </w:rPr>
        <w:t>TESTEMUNHAS:</w:t>
      </w:r>
    </w:p>
    <w:p w14:paraId="58ED093D">
      <w:pPr>
        <w:rPr>
          <w:rFonts w:ascii="Arial" w:hAnsi="Arial" w:eastAsia="Arial" w:cs="Arial"/>
          <w:i/>
          <w:sz w:val="22"/>
          <w:szCs w:val="22"/>
        </w:rPr>
      </w:pPr>
      <w:r>
        <w:rPr>
          <w:rFonts w:ascii="Arial" w:hAnsi="Arial" w:eastAsia="Arial" w:cs="Arial"/>
          <w:i/>
          <w:sz w:val="22"/>
          <w:szCs w:val="22"/>
        </w:rPr>
        <w:t>1-</w:t>
      </w:r>
    </w:p>
    <w:p w14:paraId="18883BCF">
      <w:pPr>
        <w:rPr>
          <w:rFonts w:ascii="Arial" w:hAnsi="Arial" w:eastAsia="Arial" w:cs="Arial"/>
          <w:i/>
          <w:sz w:val="22"/>
          <w:szCs w:val="22"/>
        </w:rPr>
      </w:pPr>
      <w:r>
        <w:rPr>
          <w:rFonts w:ascii="Arial" w:hAnsi="Arial" w:eastAsia="Arial" w:cs="Arial"/>
          <w:i/>
          <w:sz w:val="22"/>
          <w:szCs w:val="22"/>
        </w:rPr>
        <w:t xml:space="preserve">2- </w:t>
      </w:r>
    </w:p>
    <w:p w14:paraId="3D6B3516">
      <w:pPr>
        <w:pBdr>
          <w:top w:val="none" w:color="auto" w:sz="0" w:space="0"/>
          <w:left w:val="none" w:color="auto" w:sz="0" w:space="0"/>
          <w:bottom w:val="none" w:color="auto" w:sz="0" w:space="0"/>
          <w:right w:val="none" w:color="auto" w:sz="0" w:space="0"/>
          <w:between w:val="none" w:color="auto" w:sz="0" w:space="0"/>
        </w:pBdr>
        <w:spacing w:before="120"/>
        <w:jc w:val="both"/>
        <w:rPr>
          <w:rFonts w:ascii="Arial" w:hAnsi="Arial" w:cs="Arial"/>
          <w:i/>
          <w:color w:val="000000"/>
          <w:sz w:val="22"/>
          <w:szCs w:val="22"/>
        </w:rPr>
      </w:pPr>
    </w:p>
    <w:p w14:paraId="54E0725F">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41907723">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5E373E46">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085CE4FD">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6EC9846A">
      <w:pPr>
        <w:pStyle w:val="98"/>
        <w:spacing w:before="57" w:after="57"/>
        <w:ind w:left="992" w:hanging="992"/>
        <w:jc w:val="both"/>
        <w:rPr>
          <w:rFonts w:ascii="Arial" w:hAnsi="Arial" w:cs="Arial"/>
          <w:sz w:val="22"/>
          <w:szCs w:val="22"/>
        </w:rPr>
      </w:pPr>
    </w:p>
    <w:p w14:paraId="12DFF66A">
      <w:pPr>
        <w:spacing w:before="120" w:line="276" w:lineRule="auto"/>
        <w:ind w:firstLine="567"/>
        <w:jc w:val="center"/>
        <w:rPr>
          <w:rFonts w:ascii="Arial" w:hAnsi="Arial" w:cs="Arial"/>
          <w:sz w:val="22"/>
          <w:szCs w:val="22"/>
        </w:rPr>
      </w:pPr>
    </w:p>
    <w:sectPr>
      <w:headerReference r:id="rId4" w:type="first"/>
      <w:footerReference r:id="rId6" w:type="first"/>
      <w:headerReference r:id="rId3" w:type="default"/>
      <w:footerReference r:id="rId5" w:type="default"/>
      <w:pgSz w:w="11906" w:h="16838"/>
      <w:pgMar w:top="1560" w:right="1134" w:bottom="1560"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Zurich BT">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Arial Black">
    <w:panose1 w:val="020B0A04020102020204"/>
    <w:charset w:val="00"/>
    <w:family w:val="swiss"/>
    <w:pitch w:val="default"/>
    <w:sig w:usb0="A00002AF" w:usb1="400078FB" w:usb2="00000000" w:usb3="00000000" w:csb0="6000009F" w:csb1="DFD7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11550"/>
      <w:docPartObj>
        <w:docPartGallery w:val="AutoText"/>
      </w:docPartObj>
    </w:sdtPr>
    <w:sdtEndPr>
      <w:rPr>
        <w:rFonts w:ascii="Arial" w:hAnsi="Arial" w:cs="Arial"/>
        <w:sz w:val="14"/>
        <w:szCs w:val="14"/>
      </w:rPr>
    </w:sdtEndPr>
    <w:sdtContent>
      <w:p w14:paraId="58DEC1BC">
        <w:pPr>
          <w:pStyle w:val="22"/>
          <w:rPr>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p>
      <w:p w14:paraId="59673409">
        <w:pPr>
          <w:pStyle w:val="1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ge">
                    <wp:posOffset>9824720</wp:posOffset>
                  </wp:positionV>
                  <wp:extent cx="6201410" cy="458470"/>
                  <wp:effectExtent l="0" t="0" r="8890" b="17780"/>
                  <wp:wrapNone/>
                  <wp:docPr id="1923080857" name="Text Box 4"/>
                  <wp:cNvGraphicFramePr/>
                  <a:graphic xmlns:a="http://schemas.openxmlformats.org/drawingml/2006/main">
                    <a:graphicData uri="http://schemas.microsoft.com/office/word/2010/wordprocessingShape">
                      <wps:wsp>
                        <wps:cNvSpPr txBox="1">
                          <a:spLocks noChangeArrowheads="1"/>
                        </wps:cNvSpPr>
                        <wps:spPr bwMode="auto">
                          <a:xfrm>
                            <a:off x="0" y="0"/>
                            <a:ext cx="6201410" cy="458470"/>
                          </a:xfrm>
                          <a:prstGeom prst="rect">
                            <a:avLst/>
                          </a:prstGeom>
                          <a:noFill/>
                          <a:ln>
                            <a:noFill/>
                          </a:ln>
                        </wps:spPr>
                        <wps:txbx>
                          <w:txbxContent>
                            <w:p w14:paraId="01857FF6">
                              <w:pPr>
                                <w:spacing w:before="10"/>
                                <w:ind w:left="19" w:right="153"/>
                                <w:jc w:val="center"/>
                                <w:rPr>
                                  <w:rFonts w:ascii="Times New Roman"/>
                                  <w:b/>
                                  <w:sz w:val="20"/>
                                </w:rPr>
                              </w:pPr>
                              <w:r>
                                <w:rPr>
                                  <w:rFonts w:ascii="Times New Roman"/>
                                  <w:b/>
                                  <w:sz w:val="20"/>
                                </w:rPr>
                                <w:t>CNPJ: 08.357.675/0001-02</w:t>
                              </w:r>
                            </w:p>
                            <w:p w14:paraId="798AB5A3">
                              <w:pPr>
                                <w:spacing w:before="1"/>
                                <w:ind w:left="19" w:right="18"/>
                                <w:jc w:val="center"/>
                                <w:rPr>
                                  <w:rFonts w:ascii="Times New Roman" w:hAnsi="Times New Roman"/>
                                  <w:b/>
                                  <w:sz w:val="20"/>
                                </w:rPr>
                              </w:pPr>
                              <w:r>
                                <w:rPr>
                                  <w:rFonts w:ascii="Times New Roman" w:hAnsi="Times New Roman"/>
                                  <w:b/>
                                  <w:sz w:val="20"/>
                                </w:rPr>
                                <w:t xml:space="preserve">Endereço: Rua josé martins de oliveira, Nº. 178 – Bairro: Centro – CEP. 59990-000 – RAFAEL FERNANDES/RN -   </w:t>
                              </w:r>
                              <w:r>
                                <w:fldChar w:fldCharType="begin"/>
                              </w:r>
                              <w:r>
                                <w:instrText xml:space="preserve"> HYPERLINK "mailto:email:%20licitacao.pmsmrn@severianomelo.rn.gov.br." </w:instrText>
                              </w:r>
                              <w:r>
                                <w:fldChar w:fldCharType="separate"/>
                              </w:r>
                              <w:r>
                                <w:rPr>
                                  <w:rStyle w:val="13"/>
                                  <w:rFonts w:ascii="Times New Roman" w:hAnsi="Times New Roman"/>
                                  <w:b/>
                                  <w:sz w:val="20"/>
                                </w:rPr>
                                <w:t>email:rafaelfernandes@gmail.com.</w:t>
                              </w:r>
                              <w:r>
                                <w:rPr>
                                  <w:rStyle w:val="13"/>
                                  <w:rFonts w:ascii="Times New Roman" w:hAnsi="Times New Roman"/>
                                  <w:b/>
                                  <w:sz w:val="20"/>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73.6pt;height:36.1pt;width:488.3pt;mso-position-horizontal:left;mso-position-horizontal-relative:margin;mso-position-vertical-relative:page;z-index:-251654144;mso-width-relative:page;mso-height-relative:page;" filled="f" stroked="f" coordsize="21600,21600" o:gfxdata="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dXHU2QAAAAoBAAAPAAAAAAAAAAEAIAAAACIAAABk&#10;cnMvZG93bnJldi54bWxQSwECFAAUAAAACACHTuJA4WvPvwUCAAANBAAADgAAAAAAAAABACAAAAAo&#10;AQAAZHJzL2Uyb0RvYy54bWxQSwUGAAAAAAYABgBZAQAAnwUAAAAA&#10;">
                  <v:fill on="f" focussize="0,0"/>
                  <v:stroke on="f"/>
                  <v:imagedata o:title=""/>
                  <o:lock v:ext="edit" aspectratio="f"/>
                  <v:textbox inset="0mm,0mm,0mm,0mm">
                    <w:txbxContent>
                      <w:p w14:paraId="01857FF6">
                        <w:pPr>
                          <w:spacing w:before="10"/>
                          <w:ind w:left="19" w:right="153"/>
                          <w:jc w:val="center"/>
                          <w:rPr>
                            <w:rFonts w:ascii="Times New Roman"/>
                            <w:b/>
                            <w:sz w:val="20"/>
                          </w:rPr>
                        </w:pPr>
                        <w:r>
                          <w:rPr>
                            <w:rFonts w:ascii="Times New Roman"/>
                            <w:b/>
                            <w:sz w:val="20"/>
                          </w:rPr>
                          <w:t>CNPJ: 08.357.675/0001-02</w:t>
                        </w:r>
                      </w:p>
                      <w:p w14:paraId="798AB5A3">
                        <w:pPr>
                          <w:spacing w:before="1"/>
                          <w:ind w:left="19" w:right="18"/>
                          <w:jc w:val="center"/>
                          <w:rPr>
                            <w:rFonts w:ascii="Times New Roman" w:hAnsi="Times New Roman"/>
                            <w:b/>
                            <w:sz w:val="20"/>
                          </w:rPr>
                        </w:pPr>
                        <w:r>
                          <w:rPr>
                            <w:rFonts w:ascii="Times New Roman" w:hAnsi="Times New Roman"/>
                            <w:b/>
                            <w:sz w:val="20"/>
                          </w:rPr>
                          <w:t xml:space="preserve">Endereço: Rua josé martins de oliveira, Nº. 178 – Bairro: Centro – CEP. 59990-000 – RAFAEL FERNANDES/RN -   </w:t>
                        </w:r>
                        <w:r>
                          <w:fldChar w:fldCharType="begin"/>
                        </w:r>
                        <w:r>
                          <w:instrText xml:space="preserve"> HYPERLINK "mailto:email:%20licitacao.pmsmrn@severianomelo.rn.gov.br." </w:instrText>
                        </w:r>
                        <w:r>
                          <w:fldChar w:fldCharType="separate"/>
                        </w:r>
                        <w:r>
                          <w:rPr>
                            <w:rStyle w:val="13"/>
                            <w:rFonts w:ascii="Times New Roman" w:hAnsi="Times New Roman"/>
                            <w:b/>
                            <w:sz w:val="20"/>
                          </w:rPr>
                          <w:t>email:rafaelfernandes@gmail.com.</w:t>
                        </w:r>
                        <w:r>
                          <w:rPr>
                            <w:rStyle w:val="13"/>
                            <w:rFonts w:ascii="Times New Roman" w:hAnsi="Times New Roman"/>
                            <w:b/>
                            <w:sz w:val="20"/>
                          </w:rPr>
                          <w:fldChar w:fldCharType="end"/>
                        </w:r>
                      </w:p>
                    </w:txbxContent>
                  </v:textbox>
                </v:shape>
              </w:pict>
            </mc:Fallback>
          </mc:AlternateContent>
        </w:r>
      </w:p>
      <w:p w14:paraId="1D29B53F">
        <w:pPr>
          <w:pStyle w:val="22"/>
          <w:rPr>
            <w:rFonts w:ascii="Arial" w:hAnsi="Arial" w:cs="Arial"/>
            <w:color w:val="808080" w:themeColor="text1" w:themeTint="80"/>
            <w:sz w:val="18"/>
            <w:szCs w:val="18"/>
            <w14:textFill>
              <w14:solidFill>
                <w14:schemeClr w14:val="tx1">
                  <w14:lumMod w14:val="50000"/>
                  <w14:lumOff w14:val="50000"/>
                </w14:schemeClr>
              </w14:solidFill>
            </w14:textFill>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Layout w:type="fixed"/>
      <w:tblCellMar>
        <w:top w:w="0" w:type="dxa"/>
        <w:left w:w="108" w:type="dxa"/>
        <w:bottom w:w="0" w:type="dxa"/>
        <w:right w:w="108" w:type="dxa"/>
      </w:tblCellMar>
    </w:tblPr>
    <w:tblGrid>
      <w:gridCol w:w="3210"/>
      <w:gridCol w:w="3210"/>
      <w:gridCol w:w="3210"/>
    </w:tblGrid>
    <w:tr w14:paraId="1976B794">
      <w:tblPrEx>
        <w:tblCellMar>
          <w:top w:w="0" w:type="dxa"/>
          <w:left w:w="108" w:type="dxa"/>
          <w:bottom w:w="0" w:type="dxa"/>
          <w:right w:w="108" w:type="dxa"/>
        </w:tblCellMar>
      </w:tblPrEx>
      <w:trPr>
        <w:trHeight w:val="300" w:hRule="atLeast"/>
      </w:trPr>
      <w:tc>
        <w:tcPr>
          <w:tcW w:w="3210" w:type="dxa"/>
        </w:tcPr>
        <w:p w14:paraId="78286E39"/>
      </w:tc>
      <w:tc>
        <w:tcPr>
          <w:tcW w:w="3210" w:type="dxa"/>
        </w:tcPr>
        <w:p w14:paraId="1F8BE2FD">
          <w:pPr>
            <w:jc w:val="center"/>
          </w:pPr>
        </w:p>
      </w:tc>
      <w:tc>
        <w:tcPr>
          <w:tcW w:w="3210" w:type="dxa"/>
        </w:tcPr>
        <w:p w14:paraId="4C2B3254">
          <w:pPr>
            <w:ind w:right="-115"/>
            <w:jc w:val="right"/>
          </w:pPr>
        </w:p>
      </w:tc>
    </w:tr>
  </w:tbl>
  <w:p w14:paraId="4E8E21A0">
    <w:pPr>
      <w:pStyle w:val="1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ge">
                <wp:posOffset>9824720</wp:posOffset>
              </wp:positionV>
              <wp:extent cx="6201410" cy="458470"/>
              <wp:effectExtent l="0" t="0" r="8890" b="17780"/>
              <wp:wrapNone/>
              <wp:docPr id="80" name="Text Box 4"/>
              <wp:cNvGraphicFramePr/>
              <a:graphic xmlns:a="http://schemas.openxmlformats.org/drawingml/2006/main">
                <a:graphicData uri="http://schemas.microsoft.com/office/word/2010/wordprocessingShape">
                  <wps:wsp>
                    <wps:cNvSpPr txBox="1">
                      <a:spLocks noChangeArrowheads="1"/>
                    </wps:cNvSpPr>
                    <wps:spPr bwMode="auto">
                      <a:xfrm>
                        <a:off x="0" y="0"/>
                        <a:ext cx="6201410" cy="458470"/>
                      </a:xfrm>
                      <a:prstGeom prst="rect">
                        <a:avLst/>
                      </a:prstGeom>
                      <a:noFill/>
                      <a:ln>
                        <a:noFill/>
                      </a:ln>
                    </wps:spPr>
                    <wps:txbx>
                      <w:txbxContent>
                        <w:p w14:paraId="79109BF4">
                          <w:pPr>
                            <w:spacing w:before="10"/>
                            <w:ind w:left="19" w:right="153"/>
                            <w:jc w:val="center"/>
                            <w:rPr>
                              <w:rFonts w:ascii="Times New Roman"/>
                              <w:b/>
                              <w:sz w:val="20"/>
                            </w:rPr>
                          </w:pPr>
                          <w:r>
                            <w:rPr>
                              <w:rFonts w:ascii="Times New Roman"/>
                              <w:b/>
                              <w:sz w:val="20"/>
                            </w:rPr>
                            <w:t>CNPJ: 08.357.675/0001-02</w:t>
                          </w:r>
                        </w:p>
                        <w:p w14:paraId="0D3BEA09">
                          <w:pPr>
                            <w:spacing w:before="1"/>
                            <w:ind w:left="19" w:right="18"/>
                            <w:jc w:val="center"/>
                            <w:rPr>
                              <w:rFonts w:ascii="Times New Roman" w:hAnsi="Times New Roman"/>
                              <w:b/>
                              <w:sz w:val="20"/>
                            </w:rPr>
                          </w:pPr>
                          <w:r>
                            <w:rPr>
                              <w:rFonts w:ascii="Times New Roman" w:hAnsi="Times New Roman"/>
                              <w:b/>
                              <w:sz w:val="20"/>
                            </w:rPr>
                            <w:t xml:space="preserve">Endereço: Rua josé martins de oliveira, Nº. 178 – Bairro: Centro – CEP. 59990-000 – RAFAEL FERNANDES/RN -   </w:t>
                          </w:r>
                          <w:r>
                            <w:fldChar w:fldCharType="begin"/>
                          </w:r>
                          <w:r>
                            <w:instrText xml:space="preserve"> HYPERLINK "mailto:email:%20licitacao.pmsmrn@severianomelo.rn.gov.br." </w:instrText>
                          </w:r>
                          <w:r>
                            <w:fldChar w:fldCharType="separate"/>
                          </w:r>
                          <w:r>
                            <w:rPr>
                              <w:rStyle w:val="13"/>
                              <w:rFonts w:ascii="Times New Roman" w:hAnsi="Times New Roman"/>
                              <w:b/>
                              <w:sz w:val="20"/>
                            </w:rPr>
                            <w:t>email:rafaelfernandes@gmail.com.</w:t>
                          </w:r>
                          <w:r>
                            <w:rPr>
                              <w:rStyle w:val="13"/>
                              <w:rFonts w:ascii="Times New Roman" w:hAnsi="Times New Roman"/>
                              <w:b/>
                              <w:sz w:val="20"/>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73.6pt;height:36.1pt;width:488.3pt;mso-position-horizontal:left;mso-position-horizontal-relative:margin;mso-position-vertical-relative:page;z-index:-251655168;mso-width-relative:page;mso-height-relative:page;" filled="f" stroked="f" coordsize="21600,21600" o:gfxdata="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3Vx1NkAAAAKAQAADwAAAAAAAAABACAAAAAiAAAAZHJzL2Rvd25y&#10;ZXYueG1sUEsBAhQAFAAAAAgAh07iQEoHH4v9AQAABQQAAA4AAAAAAAAAAQAgAAAAKAEAAGRycy9l&#10;Mm9Eb2MueG1sUEsFBgAAAAAGAAYAWQEAAJcFAAAAAA==&#10;">
              <v:fill on="f" focussize="0,0"/>
              <v:stroke on="f"/>
              <v:imagedata o:title=""/>
              <o:lock v:ext="edit" aspectratio="f"/>
              <v:textbox inset="0mm,0mm,0mm,0mm">
                <w:txbxContent>
                  <w:p w14:paraId="79109BF4">
                    <w:pPr>
                      <w:spacing w:before="10"/>
                      <w:ind w:left="19" w:right="153"/>
                      <w:jc w:val="center"/>
                      <w:rPr>
                        <w:rFonts w:ascii="Times New Roman"/>
                        <w:b/>
                        <w:sz w:val="20"/>
                      </w:rPr>
                    </w:pPr>
                    <w:r>
                      <w:rPr>
                        <w:rFonts w:ascii="Times New Roman"/>
                        <w:b/>
                        <w:sz w:val="20"/>
                      </w:rPr>
                      <w:t>CNPJ: 08.357.675/0001-02</w:t>
                    </w:r>
                  </w:p>
                  <w:p w14:paraId="0D3BEA09">
                    <w:pPr>
                      <w:spacing w:before="1"/>
                      <w:ind w:left="19" w:right="18"/>
                      <w:jc w:val="center"/>
                      <w:rPr>
                        <w:rFonts w:ascii="Times New Roman" w:hAnsi="Times New Roman"/>
                        <w:b/>
                        <w:sz w:val="20"/>
                      </w:rPr>
                    </w:pPr>
                    <w:r>
                      <w:rPr>
                        <w:rFonts w:ascii="Times New Roman" w:hAnsi="Times New Roman"/>
                        <w:b/>
                        <w:sz w:val="20"/>
                      </w:rPr>
                      <w:t xml:space="preserve">Endereço: Rua josé martins de oliveira, Nº. 178 – Bairro: Centro – CEP. 59990-000 – RAFAEL FERNANDES/RN -   </w:t>
                    </w:r>
                    <w:r>
                      <w:fldChar w:fldCharType="begin"/>
                    </w:r>
                    <w:r>
                      <w:instrText xml:space="preserve"> HYPERLINK "mailto:email:%20licitacao.pmsmrn@severianomelo.rn.gov.br." </w:instrText>
                    </w:r>
                    <w:r>
                      <w:fldChar w:fldCharType="separate"/>
                    </w:r>
                    <w:r>
                      <w:rPr>
                        <w:rStyle w:val="13"/>
                        <w:rFonts w:ascii="Times New Roman" w:hAnsi="Times New Roman"/>
                        <w:b/>
                        <w:sz w:val="20"/>
                      </w:rPr>
                      <w:t>email:rafaelfernandes@gmail.com.</w:t>
                    </w:r>
                    <w:r>
                      <w:rPr>
                        <w:rStyle w:val="13"/>
                        <w:rFonts w:ascii="Times New Roman" w:hAnsi="Times New Roman"/>
                        <w:b/>
                        <w:sz w:val="20"/>
                      </w:rPr>
                      <w:fldChar w:fldCharType="end"/>
                    </w:r>
                  </w:p>
                </w:txbxContent>
              </v:textbox>
            </v:shape>
          </w:pict>
        </mc:Fallback>
      </mc:AlternateContent>
    </w:r>
  </w:p>
  <w:p w14:paraId="44762AD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EE91">
    <w:pPr>
      <w:pStyle w:val="14"/>
      <w:spacing w:line="14" w:lineRule="auto"/>
      <w:rPr>
        <w:sz w:val="20"/>
      </w:rPr>
    </w:pPr>
    <w:r>
      <w:drawing>
        <wp:anchor distT="0" distB="0" distL="114300" distR="114300" simplePos="0" relativeHeight="251664384" behindDoc="0" locked="0" layoutInCell="1" allowOverlap="1">
          <wp:simplePos x="0" y="0"/>
          <wp:positionH relativeFrom="column">
            <wp:posOffset>-302895</wp:posOffset>
          </wp:positionH>
          <wp:positionV relativeFrom="paragraph">
            <wp:posOffset>-321945</wp:posOffset>
          </wp:positionV>
          <wp:extent cx="1676400" cy="1057275"/>
          <wp:effectExtent l="0" t="0" r="0" b="0"/>
          <wp:wrapNone/>
          <wp:docPr id="1619321414" name="Imagem 4"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21414" name="Imagem 4" descr="Texto&#10;&#10;O conteúdo gerado por IA pode estar incorre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6400" cy="1057109"/>
                  </a:xfrm>
                  <a:prstGeom prst="rect">
                    <a:avLst/>
                  </a:prstGeom>
                </pic:spPr>
              </pic:pic>
            </a:graphicData>
          </a:graphic>
        </wp:anchor>
      </w:drawing>
    </w:r>
    <w:r>
      <mc:AlternateContent>
        <mc:Choice Requires="wps">
          <w:drawing>
            <wp:anchor distT="0" distB="0" distL="114300" distR="114300" simplePos="0" relativeHeight="251663360" behindDoc="1" locked="0" layoutInCell="1" allowOverlap="1">
              <wp:simplePos x="0" y="0"/>
              <wp:positionH relativeFrom="margin">
                <wp:posOffset>1234440</wp:posOffset>
              </wp:positionH>
              <wp:positionV relativeFrom="page">
                <wp:posOffset>409575</wp:posOffset>
              </wp:positionV>
              <wp:extent cx="3933825" cy="771525"/>
              <wp:effectExtent l="0" t="0" r="9525" b="9525"/>
              <wp:wrapNone/>
              <wp:docPr id="2121884934" name="Text Box 6"/>
              <wp:cNvGraphicFramePr/>
              <a:graphic xmlns:a="http://schemas.openxmlformats.org/drawingml/2006/main">
                <a:graphicData uri="http://schemas.microsoft.com/office/word/2010/wordprocessingShape">
                  <wps:wsp>
                    <wps:cNvSpPr txBox="1">
                      <a:spLocks noChangeArrowheads="1"/>
                    </wps:cNvSpPr>
                    <wps:spPr bwMode="auto">
                      <a:xfrm>
                        <a:off x="0" y="0"/>
                        <a:ext cx="3933825" cy="771525"/>
                      </a:xfrm>
                      <a:prstGeom prst="rect">
                        <a:avLst/>
                      </a:prstGeom>
                      <a:noFill/>
                      <a:ln>
                        <a:noFill/>
                      </a:ln>
                    </wps:spPr>
                    <wps:txbx>
                      <w:txbxContent>
                        <w:p w14:paraId="0FEC28DD">
                          <w:pPr>
                            <w:spacing w:before="17"/>
                            <w:ind w:left="20"/>
                            <w:jc w:val="center"/>
                            <w:rPr>
                              <w:rFonts w:ascii="Arial Black"/>
                            </w:rPr>
                          </w:pPr>
                          <w:r>
                            <w:rPr>
                              <w:rFonts w:ascii="Arial Black"/>
                              <w:w w:val="90"/>
                            </w:rPr>
                            <w:t>ESTADO</w:t>
                          </w:r>
                          <w:r>
                            <w:rPr>
                              <w:rFonts w:ascii="Arial Black"/>
                              <w:spacing w:val="-34"/>
                              <w:w w:val="90"/>
                            </w:rPr>
                            <w:t xml:space="preserve"> </w:t>
                          </w:r>
                          <w:r>
                            <w:rPr>
                              <w:rFonts w:ascii="Arial Black"/>
                              <w:w w:val="90"/>
                            </w:rPr>
                            <w:t>DO</w:t>
                          </w:r>
                          <w:r>
                            <w:rPr>
                              <w:rFonts w:ascii="Arial Black"/>
                              <w:spacing w:val="-34"/>
                              <w:w w:val="90"/>
                            </w:rPr>
                            <w:t xml:space="preserve"> </w:t>
                          </w:r>
                          <w:r>
                            <w:rPr>
                              <w:rFonts w:ascii="Arial Black"/>
                              <w:w w:val="90"/>
                            </w:rPr>
                            <w:t>RIO</w:t>
                          </w:r>
                          <w:r>
                            <w:rPr>
                              <w:rFonts w:ascii="Arial Black"/>
                              <w:spacing w:val="-33"/>
                              <w:w w:val="90"/>
                            </w:rPr>
                            <w:t xml:space="preserve"> </w:t>
                          </w:r>
                          <w:r>
                            <w:rPr>
                              <w:rFonts w:ascii="Arial Black"/>
                              <w:w w:val="90"/>
                            </w:rPr>
                            <w:t>GRANDE</w:t>
                          </w:r>
                          <w:r>
                            <w:rPr>
                              <w:rFonts w:ascii="Arial Black"/>
                              <w:spacing w:val="-33"/>
                              <w:w w:val="90"/>
                            </w:rPr>
                            <w:t xml:space="preserve"> </w:t>
                          </w:r>
                          <w:r>
                            <w:rPr>
                              <w:rFonts w:ascii="Arial Black"/>
                              <w:w w:val="90"/>
                            </w:rPr>
                            <w:t>DO</w:t>
                          </w:r>
                          <w:r>
                            <w:rPr>
                              <w:rFonts w:ascii="Arial Black"/>
                              <w:spacing w:val="-33"/>
                              <w:w w:val="90"/>
                            </w:rPr>
                            <w:t xml:space="preserve"> </w:t>
                          </w:r>
                          <w:r>
                            <w:rPr>
                              <w:rFonts w:ascii="Arial Black"/>
                              <w:w w:val="90"/>
                            </w:rPr>
                            <w:t>NORTE</w:t>
                          </w:r>
                        </w:p>
                        <w:p w14:paraId="71E86393">
                          <w:pPr>
                            <w:spacing w:before="77"/>
                            <w:jc w:val="center"/>
                            <w:rPr>
                              <w:rFonts w:ascii="Arial Black"/>
                            </w:rPr>
                          </w:pPr>
                          <w:r>
                            <w:rPr>
                              <w:rFonts w:ascii="Arial Black"/>
                              <w:w w:val="85"/>
                            </w:rPr>
                            <w:t>PREFEITURA MUNICIPAL DE</w:t>
                          </w:r>
                          <w:r>
                            <w:rPr>
                              <w:rFonts w:ascii="Arial Black"/>
                              <w:spacing w:val="-51"/>
                              <w:w w:val="85"/>
                            </w:rPr>
                            <w:t xml:space="preserve">  </w:t>
                          </w:r>
                          <w:r>
                            <w:rPr>
                              <w:rFonts w:ascii="Arial Black"/>
                              <w:w w:val="85"/>
                            </w:rPr>
                            <w:t>RAFAEL FERNANDES</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97.2pt;margin-top:32.25pt;height:60.75pt;width:309.75pt;mso-position-horizontal-relative:margin;mso-position-vertical-relative:page;z-index:-251653120;mso-width-relative:page;mso-height-relative:page;" filled="f" stroked="f" coordsize="21600,21600" o:gfxdata="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WEYm2AAAAAoBAAAPAAAAAAAAAAEAIAAAACIAAABk&#10;cnMvZG93bnJldi54bWxQSwECFAAUAAAACACHTuJAfnKnWQYCAAANBAAADgAAAAAAAAABACAAAAAn&#10;AQAAZHJzL2Uyb0RvYy54bWxQSwUGAAAAAAYABgBZAQAAnwUAAAAA&#10;">
              <v:fill on="f" focussize="0,0"/>
              <v:stroke on="f"/>
              <v:imagedata o:title=""/>
              <o:lock v:ext="edit" aspectratio="f"/>
              <v:textbox inset="0mm,0mm,0mm,0mm">
                <w:txbxContent>
                  <w:p w14:paraId="0FEC28DD">
                    <w:pPr>
                      <w:spacing w:before="17"/>
                      <w:ind w:left="20"/>
                      <w:jc w:val="center"/>
                      <w:rPr>
                        <w:rFonts w:ascii="Arial Black"/>
                      </w:rPr>
                    </w:pPr>
                    <w:r>
                      <w:rPr>
                        <w:rFonts w:ascii="Arial Black"/>
                        <w:w w:val="90"/>
                      </w:rPr>
                      <w:t>ESTADO</w:t>
                    </w:r>
                    <w:r>
                      <w:rPr>
                        <w:rFonts w:ascii="Arial Black"/>
                        <w:spacing w:val="-34"/>
                        <w:w w:val="90"/>
                      </w:rPr>
                      <w:t xml:space="preserve"> </w:t>
                    </w:r>
                    <w:r>
                      <w:rPr>
                        <w:rFonts w:ascii="Arial Black"/>
                        <w:w w:val="90"/>
                      </w:rPr>
                      <w:t>DO</w:t>
                    </w:r>
                    <w:r>
                      <w:rPr>
                        <w:rFonts w:ascii="Arial Black"/>
                        <w:spacing w:val="-34"/>
                        <w:w w:val="90"/>
                      </w:rPr>
                      <w:t xml:space="preserve"> </w:t>
                    </w:r>
                    <w:r>
                      <w:rPr>
                        <w:rFonts w:ascii="Arial Black"/>
                        <w:w w:val="90"/>
                      </w:rPr>
                      <w:t>RIO</w:t>
                    </w:r>
                    <w:r>
                      <w:rPr>
                        <w:rFonts w:ascii="Arial Black"/>
                        <w:spacing w:val="-33"/>
                        <w:w w:val="90"/>
                      </w:rPr>
                      <w:t xml:space="preserve"> </w:t>
                    </w:r>
                    <w:r>
                      <w:rPr>
                        <w:rFonts w:ascii="Arial Black"/>
                        <w:w w:val="90"/>
                      </w:rPr>
                      <w:t>GRANDE</w:t>
                    </w:r>
                    <w:r>
                      <w:rPr>
                        <w:rFonts w:ascii="Arial Black"/>
                        <w:spacing w:val="-33"/>
                        <w:w w:val="90"/>
                      </w:rPr>
                      <w:t xml:space="preserve"> </w:t>
                    </w:r>
                    <w:r>
                      <w:rPr>
                        <w:rFonts w:ascii="Arial Black"/>
                        <w:w w:val="90"/>
                      </w:rPr>
                      <w:t>DO</w:t>
                    </w:r>
                    <w:r>
                      <w:rPr>
                        <w:rFonts w:ascii="Arial Black"/>
                        <w:spacing w:val="-33"/>
                        <w:w w:val="90"/>
                      </w:rPr>
                      <w:t xml:space="preserve"> </w:t>
                    </w:r>
                    <w:r>
                      <w:rPr>
                        <w:rFonts w:ascii="Arial Black"/>
                        <w:w w:val="90"/>
                      </w:rPr>
                      <w:t>NORTE</w:t>
                    </w:r>
                  </w:p>
                  <w:p w14:paraId="71E86393">
                    <w:pPr>
                      <w:spacing w:before="77"/>
                      <w:jc w:val="center"/>
                      <w:rPr>
                        <w:rFonts w:ascii="Arial Black"/>
                      </w:rPr>
                    </w:pPr>
                    <w:r>
                      <w:rPr>
                        <w:rFonts w:ascii="Arial Black"/>
                        <w:w w:val="85"/>
                      </w:rPr>
                      <w:t>PREFEITURA MUNICIPAL DE</w:t>
                    </w:r>
                    <w:r>
                      <w:rPr>
                        <w:rFonts w:ascii="Arial Black"/>
                        <w:spacing w:val="-51"/>
                        <w:w w:val="85"/>
                      </w:rPr>
                      <w:t xml:space="preserve">  </w:t>
                    </w:r>
                    <w:r>
                      <w:rPr>
                        <w:rFonts w:ascii="Arial Black"/>
                        <w:w w:val="85"/>
                      </w:rPr>
                      <w:t>RAFAEL FERNANDES</w:t>
                    </w:r>
                  </w:p>
                </w:txbxContent>
              </v:textbox>
            </v:shape>
          </w:pict>
        </mc:Fallback>
      </mc:AlternateContent>
    </w:r>
  </w:p>
  <w:p w14:paraId="36411352">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E29C">
    <w:pPr>
      <w:pStyle w:val="14"/>
      <w:spacing w:line="14" w:lineRule="auto"/>
      <w:rPr>
        <w:sz w:val="20"/>
      </w:rPr>
    </w:pPr>
    <w:r>
      <w:drawing>
        <wp:anchor distT="0" distB="0" distL="114300" distR="114300" simplePos="0" relativeHeight="251660288" behindDoc="0" locked="0" layoutInCell="1" allowOverlap="1">
          <wp:simplePos x="0" y="0"/>
          <wp:positionH relativeFrom="column">
            <wp:posOffset>-302895</wp:posOffset>
          </wp:positionH>
          <wp:positionV relativeFrom="paragraph">
            <wp:posOffset>-321945</wp:posOffset>
          </wp:positionV>
          <wp:extent cx="1676400" cy="1057275"/>
          <wp:effectExtent l="0" t="0" r="0" b="0"/>
          <wp:wrapNone/>
          <wp:docPr id="303892322" name="Imagem 4"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92322" name="Imagem 4" descr="Texto&#10;&#10;O conteúdo gerado por IA pode estar incorre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6400" cy="1057109"/>
                  </a:xfrm>
                  <a:prstGeom prst="rect">
                    <a:avLst/>
                  </a:prstGeom>
                </pic:spPr>
              </pic:pic>
            </a:graphicData>
          </a:graphic>
        </wp:anchor>
      </w:drawing>
    </w:r>
    <w:r>
      <mc:AlternateContent>
        <mc:Choice Requires="wps">
          <w:drawing>
            <wp:anchor distT="0" distB="0" distL="114300" distR="114300" simplePos="0" relativeHeight="251659264" behindDoc="1" locked="0" layoutInCell="1" allowOverlap="1">
              <wp:simplePos x="0" y="0"/>
              <wp:positionH relativeFrom="margin">
                <wp:posOffset>1234440</wp:posOffset>
              </wp:positionH>
              <wp:positionV relativeFrom="page">
                <wp:posOffset>409575</wp:posOffset>
              </wp:positionV>
              <wp:extent cx="3933825" cy="771525"/>
              <wp:effectExtent l="0" t="0" r="9525" b="9525"/>
              <wp:wrapNone/>
              <wp:docPr id="79" name="Text Box 6"/>
              <wp:cNvGraphicFramePr/>
              <a:graphic xmlns:a="http://schemas.openxmlformats.org/drawingml/2006/main">
                <a:graphicData uri="http://schemas.microsoft.com/office/word/2010/wordprocessingShape">
                  <wps:wsp>
                    <wps:cNvSpPr txBox="1">
                      <a:spLocks noChangeArrowheads="1"/>
                    </wps:cNvSpPr>
                    <wps:spPr bwMode="auto">
                      <a:xfrm>
                        <a:off x="0" y="0"/>
                        <a:ext cx="3933825" cy="771525"/>
                      </a:xfrm>
                      <a:prstGeom prst="rect">
                        <a:avLst/>
                      </a:prstGeom>
                      <a:noFill/>
                      <a:ln>
                        <a:noFill/>
                      </a:ln>
                    </wps:spPr>
                    <wps:txbx>
                      <w:txbxContent>
                        <w:p w14:paraId="122E06C4">
                          <w:pPr>
                            <w:spacing w:before="17"/>
                            <w:ind w:left="20"/>
                            <w:jc w:val="center"/>
                            <w:rPr>
                              <w:rFonts w:ascii="Arial Black"/>
                            </w:rPr>
                          </w:pPr>
                          <w:r>
                            <w:rPr>
                              <w:rFonts w:ascii="Arial Black"/>
                              <w:w w:val="90"/>
                            </w:rPr>
                            <w:t>ESTADO</w:t>
                          </w:r>
                          <w:r>
                            <w:rPr>
                              <w:rFonts w:ascii="Arial Black"/>
                              <w:spacing w:val="-34"/>
                              <w:w w:val="90"/>
                            </w:rPr>
                            <w:t xml:space="preserve"> </w:t>
                          </w:r>
                          <w:r>
                            <w:rPr>
                              <w:rFonts w:ascii="Arial Black"/>
                              <w:w w:val="90"/>
                            </w:rPr>
                            <w:t>DO</w:t>
                          </w:r>
                          <w:r>
                            <w:rPr>
                              <w:rFonts w:ascii="Arial Black"/>
                              <w:spacing w:val="-34"/>
                              <w:w w:val="90"/>
                            </w:rPr>
                            <w:t xml:space="preserve"> </w:t>
                          </w:r>
                          <w:r>
                            <w:rPr>
                              <w:rFonts w:ascii="Arial Black"/>
                              <w:w w:val="90"/>
                            </w:rPr>
                            <w:t>RIO</w:t>
                          </w:r>
                          <w:r>
                            <w:rPr>
                              <w:rFonts w:ascii="Arial Black"/>
                              <w:spacing w:val="-33"/>
                              <w:w w:val="90"/>
                            </w:rPr>
                            <w:t xml:space="preserve"> </w:t>
                          </w:r>
                          <w:r>
                            <w:rPr>
                              <w:rFonts w:ascii="Arial Black"/>
                              <w:w w:val="90"/>
                            </w:rPr>
                            <w:t>GRANDE</w:t>
                          </w:r>
                          <w:r>
                            <w:rPr>
                              <w:rFonts w:ascii="Arial Black"/>
                              <w:spacing w:val="-33"/>
                              <w:w w:val="90"/>
                            </w:rPr>
                            <w:t xml:space="preserve"> </w:t>
                          </w:r>
                          <w:r>
                            <w:rPr>
                              <w:rFonts w:ascii="Arial Black"/>
                              <w:w w:val="90"/>
                            </w:rPr>
                            <w:t>DO</w:t>
                          </w:r>
                          <w:r>
                            <w:rPr>
                              <w:rFonts w:ascii="Arial Black"/>
                              <w:spacing w:val="-33"/>
                              <w:w w:val="90"/>
                            </w:rPr>
                            <w:t xml:space="preserve"> </w:t>
                          </w:r>
                          <w:r>
                            <w:rPr>
                              <w:rFonts w:ascii="Arial Black"/>
                              <w:w w:val="90"/>
                            </w:rPr>
                            <w:t>NORTE</w:t>
                          </w:r>
                        </w:p>
                        <w:p w14:paraId="0AC6548A">
                          <w:pPr>
                            <w:spacing w:before="77"/>
                            <w:jc w:val="center"/>
                            <w:rPr>
                              <w:rFonts w:ascii="Arial Black"/>
                            </w:rPr>
                          </w:pPr>
                          <w:r>
                            <w:rPr>
                              <w:rFonts w:ascii="Arial Black"/>
                              <w:w w:val="85"/>
                            </w:rPr>
                            <w:t>PREFEITURA MUNICIPAL DE</w:t>
                          </w:r>
                          <w:r>
                            <w:rPr>
                              <w:rFonts w:ascii="Arial Black"/>
                              <w:spacing w:val="-51"/>
                              <w:w w:val="85"/>
                            </w:rPr>
                            <w:t xml:space="preserve">  </w:t>
                          </w:r>
                          <w:r>
                            <w:rPr>
                              <w:rFonts w:ascii="Arial Black"/>
                              <w:w w:val="85"/>
                            </w:rPr>
                            <w:t>RAFAEL FERNANDES</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97.2pt;margin-top:32.25pt;height:60.75pt;width:309.75pt;mso-position-horizontal-relative:margin;mso-position-vertical-relative:page;z-index:-251657216;mso-width-relative:page;mso-height-relative:page;" filled="f" stroked="f" coordsize="21600,21600" o:gfxdata="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FhGJtgAAAAKAQAADwAAAAAAAAABACAAAAAiAAAAZHJzL2Rvd25y&#10;ZXYueG1sUEsBAhQAFAAAAAgAh07iQI4OW3b+AQAABQQAAA4AAAAAAAAAAQAgAAAAJwEAAGRycy9l&#10;Mm9Eb2MueG1sUEsFBgAAAAAGAAYAWQEAAJcFAAAAAA==&#10;">
              <v:fill on="f" focussize="0,0"/>
              <v:stroke on="f"/>
              <v:imagedata o:title=""/>
              <o:lock v:ext="edit" aspectratio="f"/>
              <v:textbox inset="0mm,0mm,0mm,0mm">
                <w:txbxContent>
                  <w:p w14:paraId="122E06C4">
                    <w:pPr>
                      <w:spacing w:before="17"/>
                      <w:ind w:left="20"/>
                      <w:jc w:val="center"/>
                      <w:rPr>
                        <w:rFonts w:ascii="Arial Black"/>
                      </w:rPr>
                    </w:pPr>
                    <w:r>
                      <w:rPr>
                        <w:rFonts w:ascii="Arial Black"/>
                        <w:w w:val="90"/>
                      </w:rPr>
                      <w:t>ESTADO</w:t>
                    </w:r>
                    <w:r>
                      <w:rPr>
                        <w:rFonts w:ascii="Arial Black"/>
                        <w:spacing w:val="-34"/>
                        <w:w w:val="90"/>
                      </w:rPr>
                      <w:t xml:space="preserve"> </w:t>
                    </w:r>
                    <w:r>
                      <w:rPr>
                        <w:rFonts w:ascii="Arial Black"/>
                        <w:w w:val="90"/>
                      </w:rPr>
                      <w:t>DO</w:t>
                    </w:r>
                    <w:r>
                      <w:rPr>
                        <w:rFonts w:ascii="Arial Black"/>
                        <w:spacing w:val="-34"/>
                        <w:w w:val="90"/>
                      </w:rPr>
                      <w:t xml:space="preserve"> </w:t>
                    </w:r>
                    <w:r>
                      <w:rPr>
                        <w:rFonts w:ascii="Arial Black"/>
                        <w:w w:val="90"/>
                      </w:rPr>
                      <w:t>RIO</w:t>
                    </w:r>
                    <w:r>
                      <w:rPr>
                        <w:rFonts w:ascii="Arial Black"/>
                        <w:spacing w:val="-33"/>
                        <w:w w:val="90"/>
                      </w:rPr>
                      <w:t xml:space="preserve"> </w:t>
                    </w:r>
                    <w:r>
                      <w:rPr>
                        <w:rFonts w:ascii="Arial Black"/>
                        <w:w w:val="90"/>
                      </w:rPr>
                      <w:t>GRANDE</w:t>
                    </w:r>
                    <w:r>
                      <w:rPr>
                        <w:rFonts w:ascii="Arial Black"/>
                        <w:spacing w:val="-33"/>
                        <w:w w:val="90"/>
                      </w:rPr>
                      <w:t xml:space="preserve"> </w:t>
                    </w:r>
                    <w:r>
                      <w:rPr>
                        <w:rFonts w:ascii="Arial Black"/>
                        <w:w w:val="90"/>
                      </w:rPr>
                      <w:t>DO</w:t>
                    </w:r>
                    <w:r>
                      <w:rPr>
                        <w:rFonts w:ascii="Arial Black"/>
                        <w:spacing w:val="-33"/>
                        <w:w w:val="90"/>
                      </w:rPr>
                      <w:t xml:space="preserve"> </w:t>
                    </w:r>
                    <w:r>
                      <w:rPr>
                        <w:rFonts w:ascii="Arial Black"/>
                        <w:w w:val="90"/>
                      </w:rPr>
                      <w:t>NORTE</w:t>
                    </w:r>
                  </w:p>
                  <w:p w14:paraId="0AC6548A">
                    <w:pPr>
                      <w:spacing w:before="77"/>
                      <w:jc w:val="center"/>
                      <w:rPr>
                        <w:rFonts w:ascii="Arial Black"/>
                      </w:rPr>
                    </w:pPr>
                    <w:r>
                      <w:rPr>
                        <w:rFonts w:ascii="Arial Black"/>
                        <w:w w:val="85"/>
                      </w:rPr>
                      <w:t>PREFEITURA MUNICIPAL DE</w:t>
                    </w:r>
                    <w:r>
                      <w:rPr>
                        <w:rFonts w:ascii="Arial Black"/>
                        <w:spacing w:val="-51"/>
                        <w:w w:val="85"/>
                      </w:rPr>
                      <w:t xml:space="preserve">  </w:t>
                    </w:r>
                    <w:r>
                      <w:rPr>
                        <w:rFonts w:ascii="Arial Black"/>
                        <w:w w:val="85"/>
                      </w:rPr>
                      <w:t>RAFAEL FERNANDES</w:t>
                    </w:r>
                  </w:p>
                </w:txbxContent>
              </v:textbox>
            </v:shape>
          </w:pict>
        </mc:Fallback>
      </mc:AlternateContent>
    </w:r>
  </w:p>
  <w:p w14:paraId="00B5BA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5A07CD9"/>
    <w:multiLevelType w:val="multilevel"/>
    <w:tmpl w:val="05A07CD9"/>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
    <w:nsid w:val="1D5C100D"/>
    <w:multiLevelType w:val="multilevel"/>
    <w:tmpl w:val="1D5C100D"/>
    <w:lvl w:ilvl="0" w:tentative="0">
      <w:start w:val="1"/>
      <w:numFmt w:val="decimal"/>
      <w:pStyle w:val="41"/>
      <w:lvlText w:val="%1."/>
      <w:lvlJc w:val="left"/>
      <w:pPr>
        <w:ind w:left="360" w:hanging="360"/>
      </w:pPr>
      <w:rPr>
        <w:b/>
      </w:rPr>
    </w:lvl>
    <w:lvl w:ilvl="1" w:tentative="0">
      <w:start w:val="1"/>
      <w:numFmt w:val="decimal"/>
      <w:pStyle w:val="58"/>
      <w:lvlText w:val="%1.%2."/>
      <w:lvlJc w:val="left"/>
      <w:pPr>
        <w:ind w:left="858" w:hanging="432"/>
      </w:pPr>
      <w:rPr>
        <w:b w:val="0"/>
        <w:i w:val="0"/>
        <w:strike w:val="0"/>
        <w:color w:val="auto"/>
        <w:sz w:val="24"/>
        <w:szCs w:val="24"/>
        <w:u w:val="none"/>
      </w:rPr>
    </w:lvl>
    <w:lvl w:ilvl="2" w:tentative="0">
      <w:start w:val="1"/>
      <w:numFmt w:val="decimal"/>
      <w:pStyle w:val="60"/>
      <w:lvlText w:val="%1.%2.%3."/>
      <w:lvlJc w:val="left"/>
      <w:pPr>
        <w:ind w:left="930" w:hanging="504"/>
      </w:pPr>
      <w:rPr>
        <w:rFonts w:hint="default" w:ascii="Arial" w:hAnsi="Arial"/>
        <w:b w:val="0"/>
        <w:i w:val="0"/>
        <w:strike w:val="0"/>
        <w:color w:val="auto"/>
        <w:sz w:val="20"/>
        <w:szCs w:val="20"/>
      </w:rPr>
    </w:lvl>
    <w:lvl w:ilvl="3" w:tentative="0">
      <w:start w:val="1"/>
      <w:numFmt w:val="decimal"/>
      <w:pStyle w:val="61"/>
      <w:lvlText w:val="%1.%2.%3.%4."/>
      <w:lvlJc w:val="left"/>
      <w:pPr>
        <w:ind w:left="2491" w:hanging="648"/>
      </w:pPr>
    </w:lvl>
    <w:lvl w:ilvl="4" w:tentative="0">
      <w:start w:val="1"/>
      <w:numFmt w:val="decimal"/>
      <w:pStyle w:val="62"/>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45D95F69"/>
    <w:multiLevelType w:val="multilevel"/>
    <w:tmpl w:val="45D95F69"/>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47A70ECB"/>
    <w:multiLevelType w:val="multilevel"/>
    <w:tmpl w:val="47A70ECB"/>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5">
    <w:nsid w:val="4B2F1043"/>
    <w:multiLevelType w:val="multilevel"/>
    <w:tmpl w:val="4B2F1043"/>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rPr>
        <w:i w: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6">
    <w:nsid w:val="4EA8484B"/>
    <w:multiLevelType w:val="multilevel"/>
    <w:tmpl w:val="4EA8484B"/>
    <w:lvl w:ilvl="0" w:tentative="0">
      <w:start w:val="1"/>
      <w:numFmt w:val="decimal"/>
      <w:lvlText w:val="%1."/>
      <w:lvlJc w:val="left"/>
      <w:pPr>
        <w:ind w:left="360" w:hanging="360"/>
      </w:pPr>
      <w:rPr>
        <w:b/>
        <w:i w:val="0"/>
      </w:rPr>
    </w:lvl>
    <w:lvl w:ilvl="1" w:tentative="0">
      <w:start w:val="1"/>
      <w:numFmt w:val="decimal"/>
      <w:lvlText w:val="%1.%2."/>
      <w:lvlJc w:val="left"/>
      <w:pPr>
        <w:ind w:left="426" w:firstLine="0"/>
      </w:pPr>
      <w:rPr>
        <w:b w:val="0"/>
        <w:i w:val="0"/>
        <w:color w:val="000000"/>
      </w:rPr>
    </w:lvl>
    <w:lvl w:ilvl="2" w:tentative="0">
      <w:start w:val="1"/>
      <w:numFmt w:val="decimal"/>
      <w:lvlText w:val="%1.%2.%3."/>
      <w:lvlJc w:val="left"/>
      <w:pPr>
        <w:ind w:left="2269" w:firstLine="0"/>
      </w:pPr>
      <w:rPr>
        <w:b w:val="0"/>
        <w:i w:val="0"/>
        <w:color w:val="000000"/>
      </w:rPr>
    </w:lvl>
    <w:lvl w:ilvl="3" w:tentative="0">
      <w:start w:val="1"/>
      <w:numFmt w:val="decimal"/>
      <w:lvlText w:val="%1.%2.%3.%4."/>
      <w:lvlJc w:val="left"/>
      <w:pPr>
        <w:ind w:left="1702" w:firstLine="0"/>
      </w:pPr>
      <w:rPr>
        <w:b w:val="0"/>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5CE1000E"/>
    <w:multiLevelType w:val="multilevel"/>
    <w:tmpl w:val="5CE1000E"/>
    <w:lvl w:ilvl="0" w:tentative="0">
      <w:start w:val="5"/>
      <w:numFmt w:val="decimal"/>
      <w:lvlText w:val="%1"/>
      <w:lvlJc w:val="left"/>
      <w:pPr>
        <w:ind w:left="420" w:hanging="420"/>
      </w:pPr>
      <w:rPr>
        <w:rFonts w:hint="default"/>
      </w:rPr>
    </w:lvl>
    <w:lvl w:ilvl="1" w:tentative="0">
      <w:start w:val="12"/>
      <w:numFmt w:val="decimal"/>
      <w:lvlText w:val="%1.%2"/>
      <w:lvlJc w:val="left"/>
      <w:pPr>
        <w:ind w:left="1838" w:hanging="420"/>
      </w:pPr>
      <w:rPr>
        <w:rFonts w:hint="default"/>
        <w:b w:val="0"/>
        <w:bCs w:val="0"/>
        <w:i w:val="0"/>
        <w:iCs/>
      </w:rPr>
    </w:lvl>
    <w:lvl w:ilvl="2" w:tentative="0">
      <w:start w:val="1"/>
      <w:numFmt w:val="decimal"/>
      <w:lvlText w:val="%1.%2.%3"/>
      <w:lvlJc w:val="left"/>
      <w:pPr>
        <w:ind w:left="1430" w:hanging="720"/>
      </w:pPr>
      <w:rPr>
        <w:rFonts w:hint="default"/>
        <w:b w:val="0"/>
        <w:bCs/>
        <w:i w:val="0"/>
        <w:iCs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69386894"/>
    <w:multiLevelType w:val="multilevel"/>
    <w:tmpl w:val="6938689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AA62A5B"/>
    <w:multiLevelType w:val="multilevel"/>
    <w:tmpl w:val="6AA62A5B"/>
    <w:lvl w:ilvl="0" w:tentative="0">
      <w:start w:val="1"/>
      <w:numFmt w:val="decimal"/>
      <w:lvlText w:val="%1."/>
      <w:lvlJc w:val="left"/>
      <w:pPr>
        <w:ind w:left="360" w:hanging="360"/>
      </w:pPr>
      <w:rPr>
        <w:b/>
        <w:i w:val="0"/>
      </w:rPr>
    </w:lvl>
    <w:lvl w:ilvl="1" w:tentative="0">
      <w:start w:val="1"/>
      <w:numFmt w:val="decimal"/>
      <w:lvlText w:val="%1.%2."/>
      <w:lvlJc w:val="left"/>
      <w:pPr>
        <w:ind w:left="426" w:firstLine="0"/>
      </w:pPr>
      <w:rPr>
        <w:b w:val="0"/>
        <w:i w:val="0"/>
        <w:color w:val="000000"/>
      </w:rPr>
    </w:lvl>
    <w:lvl w:ilvl="2" w:tentative="0">
      <w:start w:val="1"/>
      <w:numFmt w:val="decimal"/>
      <w:lvlText w:val="%1.%2.%3."/>
      <w:lvlJc w:val="left"/>
      <w:pPr>
        <w:ind w:left="2269" w:firstLine="0"/>
      </w:pPr>
      <w:rPr>
        <w:b w:val="0"/>
        <w:i w:val="0"/>
        <w:color w:val="000000"/>
      </w:rPr>
    </w:lvl>
    <w:lvl w:ilvl="3" w:tentative="0">
      <w:start w:val="1"/>
      <w:numFmt w:val="decimal"/>
      <w:lvlText w:val="%1.%2.%3.%4."/>
      <w:lvlJc w:val="left"/>
      <w:pPr>
        <w:ind w:left="1702" w:firstLine="0"/>
      </w:pPr>
      <w:rPr>
        <w:b w:val="0"/>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6FA9756E"/>
    <w:multiLevelType w:val="multilevel"/>
    <w:tmpl w:val="6FA9756E"/>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0"/>
  </w:num>
  <w:num w:numId="2">
    <w:abstractNumId w:val="2"/>
  </w:num>
  <w:num w:numId="3">
    <w:abstractNumId w:val="7"/>
  </w:num>
  <w:num w:numId="4">
    <w:abstractNumId w:val="9"/>
  </w:num>
  <w:num w:numId="5">
    <w:abstractNumId w:val="6"/>
  </w:num>
  <w:num w:numId="6">
    <w:abstractNumId w:val="4"/>
  </w:num>
  <w:num w:numId="7">
    <w:abstractNumId w:val="10"/>
  </w:num>
  <w:num w:numId="8">
    <w:abstractNumId w:val="3"/>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FA0"/>
    <w:rsid w:val="00020B71"/>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37FD9"/>
    <w:rsid w:val="00040217"/>
    <w:rsid w:val="0004076C"/>
    <w:rsid w:val="000408A0"/>
    <w:rsid w:val="00040957"/>
    <w:rsid w:val="00040D0F"/>
    <w:rsid w:val="00041176"/>
    <w:rsid w:val="0004122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5D7"/>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3F6A"/>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DAA"/>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6CCF"/>
    <w:rsid w:val="000A0129"/>
    <w:rsid w:val="000A0585"/>
    <w:rsid w:val="000A05E3"/>
    <w:rsid w:val="000A0BAC"/>
    <w:rsid w:val="000A102A"/>
    <w:rsid w:val="000A179E"/>
    <w:rsid w:val="000A1A7B"/>
    <w:rsid w:val="000A1B88"/>
    <w:rsid w:val="000A1BEE"/>
    <w:rsid w:val="000A1D75"/>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602"/>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7B0"/>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59E"/>
    <w:rsid w:val="000C4759"/>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6A7"/>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2E52"/>
    <w:rsid w:val="000F397B"/>
    <w:rsid w:val="000F3C28"/>
    <w:rsid w:val="000F4088"/>
    <w:rsid w:val="000F4F96"/>
    <w:rsid w:val="000F5A07"/>
    <w:rsid w:val="000F68B7"/>
    <w:rsid w:val="0010015F"/>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4D5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25F"/>
    <w:rsid w:val="00114C63"/>
    <w:rsid w:val="00115429"/>
    <w:rsid w:val="0011575E"/>
    <w:rsid w:val="00115C30"/>
    <w:rsid w:val="00116179"/>
    <w:rsid w:val="00116D83"/>
    <w:rsid w:val="001208D4"/>
    <w:rsid w:val="00120DAD"/>
    <w:rsid w:val="0012102E"/>
    <w:rsid w:val="001219B0"/>
    <w:rsid w:val="00121B6D"/>
    <w:rsid w:val="00121BF7"/>
    <w:rsid w:val="00121E12"/>
    <w:rsid w:val="00122C50"/>
    <w:rsid w:val="00122CF4"/>
    <w:rsid w:val="00123693"/>
    <w:rsid w:val="001243BC"/>
    <w:rsid w:val="00124736"/>
    <w:rsid w:val="00124990"/>
    <w:rsid w:val="00124A63"/>
    <w:rsid w:val="00124CA7"/>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2AD7"/>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3C"/>
    <w:rsid w:val="00141189"/>
    <w:rsid w:val="001414AC"/>
    <w:rsid w:val="001415A8"/>
    <w:rsid w:val="001419CD"/>
    <w:rsid w:val="001419EE"/>
    <w:rsid w:val="00142B67"/>
    <w:rsid w:val="00142FE1"/>
    <w:rsid w:val="0014325E"/>
    <w:rsid w:val="00143845"/>
    <w:rsid w:val="00143DB3"/>
    <w:rsid w:val="00143E29"/>
    <w:rsid w:val="001441A4"/>
    <w:rsid w:val="001443B4"/>
    <w:rsid w:val="00144AB1"/>
    <w:rsid w:val="00144E73"/>
    <w:rsid w:val="00145724"/>
    <w:rsid w:val="0014670B"/>
    <w:rsid w:val="001468D3"/>
    <w:rsid w:val="00146BDF"/>
    <w:rsid w:val="00147222"/>
    <w:rsid w:val="0014755F"/>
    <w:rsid w:val="00150295"/>
    <w:rsid w:val="001516EA"/>
    <w:rsid w:val="0015172D"/>
    <w:rsid w:val="0015394F"/>
    <w:rsid w:val="00153E25"/>
    <w:rsid w:val="00154505"/>
    <w:rsid w:val="00154B86"/>
    <w:rsid w:val="00154BF4"/>
    <w:rsid w:val="00154DF6"/>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58C9"/>
    <w:rsid w:val="0016603C"/>
    <w:rsid w:val="00166516"/>
    <w:rsid w:val="00166820"/>
    <w:rsid w:val="00167973"/>
    <w:rsid w:val="00170173"/>
    <w:rsid w:val="00170558"/>
    <w:rsid w:val="001705DE"/>
    <w:rsid w:val="001706E2"/>
    <w:rsid w:val="00170CE1"/>
    <w:rsid w:val="00170D49"/>
    <w:rsid w:val="00171A80"/>
    <w:rsid w:val="001723DF"/>
    <w:rsid w:val="0017284B"/>
    <w:rsid w:val="00172A0F"/>
    <w:rsid w:val="00172FD8"/>
    <w:rsid w:val="0017326E"/>
    <w:rsid w:val="00174843"/>
    <w:rsid w:val="00174CAA"/>
    <w:rsid w:val="00174D48"/>
    <w:rsid w:val="00174DB2"/>
    <w:rsid w:val="00174F1B"/>
    <w:rsid w:val="00175089"/>
    <w:rsid w:val="00175662"/>
    <w:rsid w:val="00175687"/>
    <w:rsid w:val="00175B9C"/>
    <w:rsid w:val="00176D13"/>
    <w:rsid w:val="001772A8"/>
    <w:rsid w:val="001777C6"/>
    <w:rsid w:val="00177958"/>
    <w:rsid w:val="00177CD5"/>
    <w:rsid w:val="00177CFC"/>
    <w:rsid w:val="00180391"/>
    <w:rsid w:val="00180B4C"/>
    <w:rsid w:val="0018179A"/>
    <w:rsid w:val="001817D2"/>
    <w:rsid w:val="00181E1F"/>
    <w:rsid w:val="00181F1C"/>
    <w:rsid w:val="0018218A"/>
    <w:rsid w:val="001825A9"/>
    <w:rsid w:val="00182912"/>
    <w:rsid w:val="00183E0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0BBD"/>
    <w:rsid w:val="001C11C5"/>
    <w:rsid w:val="001C2C97"/>
    <w:rsid w:val="001C2E71"/>
    <w:rsid w:val="001C2FA4"/>
    <w:rsid w:val="001C3F32"/>
    <w:rsid w:val="001C41C8"/>
    <w:rsid w:val="001C48B6"/>
    <w:rsid w:val="001C4C04"/>
    <w:rsid w:val="001C501A"/>
    <w:rsid w:val="001C57FF"/>
    <w:rsid w:val="001C59B7"/>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B8A"/>
    <w:rsid w:val="001F39FA"/>
    <w:rsid w:val="001F4655"/>
    <w:rsid w:val="001F4C3C"/>
    <w:rsid w:val="001F5154"/>
    <w:rsid w:val="001F66DD"/>
    <w:rsid w:val="001F6A1C"/>
    <w:rsid w:val="001F6AED"/>
    <w:rsid w:val="001F6C44"/>
    <w:rsid w:val="00200097"/>
    <w:rsid w:val="002000B0"/>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07C2A"/>
    <w:rsid w:val="00210001"/>
    <w:rsid w:val="00210338"/>
    <w:rsid w:val="002105DC"/>
    <w:rsid w:val="00210B04"/>
    <w:rsid w:val="0021106D"/>
    <w:rsid w:val="0021162B"/>
    <w:rsid w:val="00211C19"/>
    <w:rsid w:val="00211F6A"/>
    <w:rsid w:val="00212535"/>
    <w:rsid w:val="00213E2F"/>
    <w:rsid w:val="00213E32"/>
    <w:rsid w:val="00214276"/>
    <w:rsid w:val="0021449B"/>
    <w:rsid w:val="002162EE"/>
    <w:rsid w:val="00216492"/>
    <w:rsid w:val="0021698A"/>
    <w:rsid w:val="00216AA5"/>
    <w:rsid w:val="00220307"/>
    <w:rsid w:val="0022036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5EFC"/>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BE8"/>
    <w:rsid w:val="00246DAE"/>
    <w:rsid w:val="00250C01"/>
    <w:rsid w:val="0025147B"/>
    <w:rsid w:val="002514FE"/>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3E41"/>
    <w:rsid w:val="0026417F"/>
    <w:rsid w:val="0026552C"/>
    <w:rsid w:val="002656A2"/>
    <w:rsid w:val="00265B35"/>
    <w:rsid w:val="00265F07"/>
    <w:rsid w:val="00265FB6"/>
    <w:rsid w:val="00267125"/>
    <w:rsid w:val="00267178"/>
    <w:rsid w:val="00267993"/>
    <w:rsid w:val="00267B22"/>
    <w:rsid w:val="0027097C"/>
    <w:rsid w:val="002711B5"/>
    <w:rsid w:val="00271CB6"/>
    <w:rsid w:val="00271E3F"/>
    <w:rsid w:val="002722EA"/>
    <w:rsid w:val="0027248A"/>
    <w:rsid w:val="00272E2D"/>
    <w:rsid w:val="0027301A"/>
    <w:rsid w:val="002735FF"/>
    <w:rsid w:val="00273748"/>
    <w:rsid w:val="00273809"/>
    <w:rsid w:val="0027381F"/>
    <w:rsid w:val="00273F5D"/>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1FB"/>
    <w:rsid w:val="002A4265"/>
    <w:rsid w:val="002A50DF"/>
    <w:rsid w:val="002A51E3"/>
    <w:rsid w:val="002A566E"/>
    <w:rsid w:val="002A5B83"/>
    <w:rsid w:val="002A611E"/>
    <w:rsid w:val="002A7034"/>
    <w:rsid w:val="002A7E55"/>
    <w:rsid w:val="002A7EC4"/>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6AE5"/>
    <w:rsid w:val="002C72B3"/>
    <w:rsid w:val="002C78B4"/>
    <w:rsid w:val="002C7B23"/>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4ECA"/>
    <w:rsid w:val="002F6672"/>
    <w:rsid w:val="002F6A58"/>
    <w:rsid w:val="002F70BE"/>
    <w:rsid w:val="002F717F"/>
    <w:rsid w:val="002F7EB1"/>
    <w:rsid w:val="00301CAE"/>
    <w:rsid w:val="00302138"/>
    <w:rsid w:val="00302A6E"/>
    <w:rsid w:val="00303864"/>
    <w:rsid w:val="00303DF2"/>
    <w:rsid w:val="00304AEA"/>
    <w:rsid w:val="00304B56"/>
    <w:rsid w:val="003051D8"/>
    <w:rsid w:val="003059C1"/>
    <w:rsid w:val="00305F81"/>
    <w:rsid w:val="0030732A"/>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4D8"/>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310"/>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0797"/>
    <w:rsid w:val="00361551"/>
    <w:rsid w:val="003618E3"/>
    <w:rsid w:val="0036258F"/>
    <w:rsid w:val="00362847"/>
    <w:rsid w:val="003629E4"/>
    <w:rsid w:val="003639AA"/>
    <w:rsid w:val="00363E13"/>
    <w:rsid w:val="00364141"/>
    <w:rsid w:val="003648BA"/>
    <w:rsid w:val="00364911"/>
    <w:rsid w:val="00364C86"/>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276"/>
    <w:rsid w:val="003859E2"/>
    <w:rsid w:val="00385B97"/>
    <w:rsid w:val="00386157"/>
    <w:rsid w:val="00386912"/>
    <w:rsid w:val="00386AAC"/>
    <w:rsid w:val="00386ADE"/>
    <w:rsid w:val="00386C8D"/>
    <w:rsid w:val="00390D0A"/>
    <w:rsid w:val="00390F03"/>
    <w:rsid w:val="003911FA"/>
    <w:rsid w:val="00391525"/>
    <w:rsid w:val="00391AB2"/>
    <w:rsid w:val="00391E14"/>
    <w:rsid w:val="003936AA"/>
    <w:rsid w:val="00393C0E"/>
    <w:rsid w:val="003945AA"/>
    <w:rsid w:val="0039545C"/>
    <w:rsid w:val="003959F6"/>
    <w:rsid w:val="003963D1"/>
    <w:rsid w:val="00396DE4"/>
    <w:rsid w:val="00396E8A"/>
    <w:rsid w:val="003979FF"/>
    <w:rsid w:val="00397CB6"/>
    <w:rsid w:val="003A03AB"/>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2BFB"/>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22E"/>
    <w:rsid w:val="003E26F1"/>
    <w:rsid w:val="003E4181"/>
    <w:rsid w:val="003E4719"/>
    <w:rsid w:val="003E4927"/>
    <w:rsid w:val="003E4A70"/>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25E2"/>
    <w:rsid w:val="004036E0"/>
    <w:rsid w:val="004037DD"/>
    <w:rsid w:val="00403C5C"/>
    <w:rsid w:val="00403EDC"/>
    <w:rsid w:val="00404065"/>
    <w:rsid w:val="0040443F"/>
    <w:rsid w:val="004053E1"/>
    <w:rsid w:val="004055C9"/>
    <w:rsid w:val="00405763"/>
    <w:rsid w:val="004064AD"/>
    <w:rsid w:val="00406952"/>
    <w:rsid w:val="00407603"/>
    <w:rsid w:val="00407680"/>
    <w:rsid w:val="004076F7"/>
    <w:rsid w:val="00407F1C"/>
    <w:rsid w:val="00411956"/>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3EED"/>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0DE"/>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041"/>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0FBE"/>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316D"/>
    <w:rsid w:val="004C32D3"/>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217"/>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6E8C"/>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50F"/>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CAD"/>
    <w:rsid w:val="00517D94"/>
    <w:rsid w:val="005201AC"/>
    <w:rsid w:val="00520D64"/>
    <w:rsid w:val="00520F62"/>
    <w:rsid w:val="005216A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854"/>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33"/>
    <w:rsid w:val="0057249A"/>
    <w:rsid w:val="00572538"/>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100"/>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7D"/>
    <w:rsid w:val="005B359A"/>
    <w:rsid w:val="005B41F1"/>
    <w:rsid w:val="005B48F0"/>
    <w:rsid w:val="005B4D36"/>
    <w:rsid w:val="005B511B"/>
    <w:rsid w:val="005B5788"/>
    <w:rsid w:val="005B58F0"/>
    <w:rsid w:val="005B5D6A"/>
    <w:rsid w:val="005B654A"/>
    <w:rsid w:val="005B6D5A"/>
    <w:rsid w:val="005B72B0"/>
    <w:rsid w:val="005B785F"/>
    <w:rsid w:val="005B7C12"/>
    <w:rsid w:val="005C0A2B"/>
    <w:rsid w:val="005C12BA"/>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7F6"/>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299"/>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2048"/>
    <w:rsid w:val="0063246D"/>
    <w:rsid w:val="0063257C"/>
    <w:rsid w:val="006328C5"/>
    <w:rsid w:val="00632D6B"/>
    <w:rsid w:val="0063304D"/>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7E2"/>
    <w:rsid w:val="00646E4B"/>
    <w:rsid w:val="0064710C"/>
    <w:rsid w:val="006477A7"/>
    <w:rsid w:val="00647B47"/>
    <w:rsid w:val="00647C0B"/>
    <w:rsid w:val="00647CA5"/>
    <w:rsid w:val="00647E2F"/>
    <w:rsid w:val="0065019F"/>
    <w:rsid w:val="006501D0"/>
    <w:rsid w:val="00650242"/>
    <w:rsid w:val="006514CF"/>
    <w:rsid w:val="00651A2B"/>
    <w:rsid w:val="006520F3"/>
    <w:rsid w:val="006522C2"/>
    <w:rsid w:val="00652486"/>
    <w:rsid w:val="006525BA"/>
    <w:rsid w:val="00652C9E"/>
    <w:rsid w:val="006536A3"/>
    <w:rsid w:val="00653784"/>
    <w:rsid w:val="00653C85"/>
    <w:rsid w:val="006549BF"/>
    <w:rsid w:val="00654A62"/>
    <w:rsid w:val="006553B5"/>
    <w:rsid w:val="00655526"/>
    <w:rsid w:val="006559D0"/>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939"/>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C94"/>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243"/>
    <w:rsid w:val="006B7B15"/>
    <w:rsid w:val="006B7FB0"/>
    <w:rsid w:val="006C0913"/>
    <w:rsid w:val="006C0D78"/>
    <w:rsid w:val="006C17A0"/>
    <w:rsid w:val="006C17D4"/>
    <w:rsid w:val="006C2627"/>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46B"/>
    <w:rsid w:val="006D472D"/>
    <w:rsid w:val="006D4818"/>
    <w:rsid w:val="006D49B7"/>
    <w:rsid w:val="006D4B3A"/>
    <w:rsid w:val="006D6610"/>
    <w:rsid w:val="006D70F2"/>
    <w:rsid w:val="006D780E"/>
    <w:rsid w:val="006D7854"/>
    <w:rsid w:val="006D7860"/>
    <w:rsid w:val="006E09F2"/>
    <w:rsid w:val="006E0FDE"/>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22A"/>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98"/>
    <w:rsid w:val="0070180C"/>
    <w:rsid w:val="00701B88"/>
    <w:rsid w:val="00702125"/>
    <w:rsid w:val="00702245"/>
    <w:rsid w:val="007025B5"/>
    <w:rsid w:val="007028C7"/>
    <w:rsid w:val="007029D6"/>
    <w:rsid w:val="00702D8D"/>
    <w:rsid w:val="00703295"/>
    <w:rsid w:val="0070372D"/>
    <w:rsid w:val="0070429C"/>
    <w:rsid w:val="00704462"/>
    <w:rsid w:val="007049A5"/>
    <w:rsid w:val="007055DF"/>
    <w:rsid w:val="007058EE"/>
    <w:rsid w:val="00705D39"/>
    <w:rsid w:val="00705D43"/>
    <w:rsid w:val="0070653A"/>
    <w:rsid w:val="00706C56"/>
    <w:rsid w:val="00707396"/>
    <w:rsid w:val="0070762A"/>
    <w:rsid w:val="00707823"/>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20342"/>
    <w:rsid w:val="00720EA6"/>
    <w:rsid w:val="007214E3"/>
    <w:rsid w:val="00721F24"/>
    <w:rsid w:val="00722D13"/>
    <w:rsid w:val="00722EB6"/>
    <w:rsid w:val="007238B9"/>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21"/>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4C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713"/>
    <w:rsid w:val="00784810"/>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4FA"/>
    <w:rsid w:val="0079697B"/>
    <w:rsid w:val="0079754C"/>
    <w:rsid w:val="007A0657"/>
    <w:rsid w:val="007A0679"/>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644F"/>
    <w:rsid w:val="007A65FC"/>
    <w:rsid w:val="007A67A3"/>
    <w:rsid w:val="007A6B97"/>
    <w:rsid w:val="007A6FEB"/>
    <w:rsid w:val="007A7CE5"/>
    <w:rsid w:val="007A7DD9"/>
    <w:rsid w:val="007B02C3"/>
    <w:rsid w:val="007B04E7"/>
    <w:rsid w:val="007B07CA"/>
    <w:rsid w:val="007B0BE9"/>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1C97"/>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7F7"/>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0F1"/>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77"/>
    <w:rsid w:val="007E7814"/>
    <w:rsid w:val="007E7972"/>
    <w:rsid w:val="007E7C59"/>
    <w:rsid w:val="007F0511"/>
    <w:rsid w:val="007F087C"/>
    <w:rsid w:val="007F0C84"/>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C28"/>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DE2"/>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4FA3"/>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52"/>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0EBC"/>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3DA"/>
    <w:rsid w:val="00885CDD"/>
    <w:rsid w:val="008862EF"/>
    <w:rsid w:val="00886CB0"/>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518"/>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5EF4"/>
    <w:rsid w:val="008D648F"/>
    <w:rsid w:val="008D6B57"/>
    <w:rsid w:val="008D6C14"/>
    <w:rsid w:val="008D7432"/>
    <w:rsid w:val="008D76C3"/>
    <w:rsid w:val="008D7A55"/>
    <w:rsid w:val="008E0BE2"/>
    <w:rsid w:val="008E0CD1"/>
    <w:rsid w:val="008E10AE"/>
    <w:rsid w:val="008E1CB2"/>
    <w:rsid w:val="008E31A9"/>
    <w:rsid w:val="008E4F95"/>
    <w:rsid w:val="008E530B"/>
    <w:rsid w:val="008E5366"/>
    <w:rsid w:val="008E5533"/>
    <w:rsid w:val="008E55AC"/>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A55"/>
    <w:rsid w:val="008F5E11"/>
    <w:rsid w:val="008F6222"/>
    <w:rsid w:val="008F665E"/>
    <w:rsid w:val="008F670B"/>
    <w:rsid w:val="008F6E74"/>
    <w:rsid w:val="008F7A00"/>
    <w:rsid w:val="00900C1C"/>
    <w:rsid w:val="00900F65"/>
    <w:rsid w:val="0090112C"/>
    <w:rsid w:val="009015BF"/>
    <w:rsid w:val="00901647"/>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1EBA"/>
    <w:rsid w:val="00912037"/>
    <w:rsid w:val="009129EF"/>
    <w:rsid w:val="0091310B"/>
    <w:rsid w:val="00913531"/>
    <w:rsid w:val="0091384B"/>
    <w:rsid w:val="009139BE"/>
    <w:rsid w:val="00913F33"/>
    <w:rsid w:val="00914204"/>
    <w:rsid w:val="00914306"/>
    <w:rsid w:val="00914392"/>
    <w:rsid w:val="009143B2"/>
    <w:rsid w:val="00915C7E"/>
    <w:rsid w:val="009166AF"/>
    <w:rsid w:val="009172B5"/>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514"/>
    <w:rsid w:val="00936A4E"/>
    <w:rsid w:val="00936DAF"/>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1BDE"/>
    <w:rsid w:val="009620E6"/>
    <w:rsid w:val="009623AB"/>
    <w:rsid w:val="009628F8"/>
    <w:rsid w:val="00962AFE"/>
    <w:rsid w:val="009631BA"/>
    <w:rsid w:val="009631C3"/>
    <w:rsid w:val="00963456"/>
    <w:rsid w:val="009635AD"/>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4DE5"/>
    <w:rsid w:val="00985462"/>
    <w:rsid w:val="00985463"/>
    <w:rsid w:val="0098582B"/>
    <w:rsid w:val="00985947"/>
    <w:rsid w:val="00985FE7"/>
    <w:rsid w:val="00986029"/>
    <w:rsid w:val="009861AC"/>
    <w:rsid w:val="00987B37"/>
    <w:rsid w:val="0099079E"/>
    <w:rsid w:val="0099188F"/>
    <w:rsid w:val="0099189A"/>
    <w:rsid w:val="00991F5D"/>
    <w:rsid w:val="0099281E"/>
    <w:rsid w:val="00992870"/>
    <w:rsid w:val="009930B9"/>
    <w:rsid w:val="009934E2"/>
    <w:rsid w:val="00993AB6"/>
    <w:rsid w:val="00993DDC"/>
    <w:rsid w:val="00994079"/>
    <w:rsid w:val="00994175"/>
    <w:rsid w:val="00994C56"/>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00C"/>
    <w:rsid w:val="009B533B"/>
    <w:rsid w:val="009B5A67"/>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CE6"/>
    <w:rsid w:val="009D6EE3"/>
    <w:rsid w:val="009D72FC"/>
    <w:rsid w:val="009D771F"/>
    <w:rsid w:val="009D7BA9"/>
    <w:rsid w:val="009D7CD5"/>
    <w:rsid w:val="009E04B3"/>
    <w:rsid w:val="009E0780"/>
    <w:rsid w:val="009E0DFC"/>
    <w:rsid w:val="009E12EA"/>
    <w:rsid w:val="009E15B2"/>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7F"/>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19E23"/>
    <w:rsid w:val="00A203CB"/>
    <w:rsid w:val="00A204BC"/>
    <w:rsid w:val="00A210D2"/>
    <w:rsid w:val="00A215A8"/>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1D3E"/>
    <w:rsid w:val="00A5223C"/>
    <w:rsid w:val="00A522C3"/>
    <w:rsid w:val="00A528B0"/>
    <w:rsid w:val="00A52DCE"/>
    <w:rsid w:val="00A53477"/>
    <w:rsid w:val="00A54E22"/>
    <w:rsid w:val="00A55140"/>
    <w:rsid w:val="00A5531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7F6"/>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52E"/>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B8A"/>
    <w:rsid w:val="00A96E21"/>
    <w:rsid w:val="00A96E34"/>
    <w:rsid w:val="00A979B1"/>
    <w:rsid w:val="00AA0AD4"/>
    <w:rsid w:val="00AA1165"/>
    <w:rsid w:val="00AA1480"/>
    <w:rsid w:val="00AA1C10"/>
    <w:rsid w:val="00AA1E32"/>
    <w:rsid w:val="00AA2601"/>
    <w:rsid w:val="00AA2720"/>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EC8"/>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286"/>
    <w:rsid w:val="00B03B39"/>
    <w:rsid w:val="00B03CB0"/>
    <w:rsid w:val="00B041A9"/>
    <w:rsid w:val="00B04350"/>
    <w:rsid w:val="00B0465E"/>
    <w:rsid w:val="00B04F0C"/>
    <w:rsid w:val="00B0515F"/>
    <w:rsid w:val="00B05CBC"/>
    <w:rsid w:val="00B06363"/>
    <w:rsid w:val="00B06A70"/>
    <w:rsid w:val="00B06B41"/>
    <w:rsid w:val="00B06BA8"/>
    <w:rsid w:val="00B06D0F"/>
    <w:rsid w:val="00B071B2"/>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96A"/>
    <w:rsid w:val="00B2101D"/>
    <w:rsid w:val="00B210D6"/>
    <w:rsid w:val="00B21628"/>
    <w:rsid w:val="00B23939"/>
    <w:rsid w:val="00B23F81"/>
    <w:rsid w:val="00B23F8B"/>
    <w:rsid w:val="00B24204"/>
    <w:rsid w:val="00B24EB1"/>
    <w:rsid w:val="00B2518B"/>
    <w:rsid w:val="00B259B3"/>
    <w:rsid w:val="00B25B73"/>
    <w:rsid w:val="00B2680C"/>
    <w:rsid w:val="00B26930"/>
    <w:rsid w:val="00B26DB4"/>
    <w:rsid w:val="00B276A4"/>
    <w:rsid w:val="00B27724"/>
    <w:rsid w:val="00B27905"/>
    <w:rsid w:val="00B27DB8"/>
    <w:rsid w:val="00B3027F"/>
    <w:rsid w:val="00B306F3"/>
    <w:rsid w:val="00B30AAD"/>
    <w:rsid w:val="00B30BC2"/>
    <w:rsid w:val="00B30C63"/>
    <w:rsid w:val="00B30F3D"/>
    <w:rsid w:val="00B315B3"/>
    <w:rsid w:val="00B31645"/>
    <w:rsid w:val="00B32AAE"/>
    <w:rsid w:val="00B32E8B"/>
    <w:rsid w:val="00B33711"/>
    <w:rsid w:val="00B339BC"/>
    <w:rsid w:val="00B339BD"/>
    <w:rsid w:val="00B33D65"/>
    <w:rsid w:val="00B33EA5"/>
    <w:rsid w:val="00B33F5C"/>
    <w:rsid w:val="00B340AB"/>
    <w:rsid w:val="00B34514"/>
    <w:rsid w:val="00B34550"/>
    <w:rsid w:val="00B34ED7"/>
    <w:rsid w:val="00B34F46"/>
    <w:rsid w:val="00B35482"/>
    <w:rsid w:val="00B35E07"/>
    <w:rsid w:val="00B35F95"/>
    <w:rsid w:val="00B3676E"/>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0C0A"/>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B7D"/>
    <w:rsid w:val="00B63C73"/>
    <w:rsid w:val="00B642C5"/>
    <w:rsid w:val="00B660B9"/>
    <w:rsid w:val="00B66329"/>
    <w:rsid w:val="00B66F3E"/>
    <w:rsid w:val="00B66FC2"/>
    <w:rsid w:val="00B672B3"/>
    <w:rsid w:val="00B678CC"/>
    <w:rsid w:val="00B678DB"/>
    <w:rsid w:val="00B67C5C"/>
    <w:rsid w:val="00B702AF"/>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77E66"/>
    <w:rsid w:val="00B77EAE"/>
    <w:rsid w:val="00B801A6"/>
    <w:rsid w:val="00B80269"/>
    <w:rsid w:val="00B8044D"/>
    <w:rsid w:val="00B81030"/>
    <w:rsid w:val="00B810DF"/>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A81"/>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391F"/>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CC9"/>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D2D"/>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1FE3"/>
    <w:rsid w:val="00BE2903"/>
    <w:rsid w:val="00BE2E8B"/>
    <w:rsid w:val="00BE318A"/>
    <w:rsid w:val="00BE349E"/>
    <w:rsid w:val="00BE35DA"/>
    <w:rsid w:val="00BE44F2"/>
    <w:rsid w:val="00BE7C70"/>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671"/>
    <w:rsid w:val="00C0072C"/>
    <w:rsid w:val="00C00F37"/>
    <w:rsid w:val="00C020EE"/>
    <w:rsid w:val="00C0247E"/>
    <w:rsid w:val="00C02A99"/>
    <w:rsid w:val="00C03F48"/>
    <w:rsid w:val="00C03F51"/>
    <w:rsid w:val="00C0422A"/>
    <w:rsid w:val="00C0501B"/>
    <w:rsid w:val="00C05C5B"/>
    <w:rsid w:val="00C05DDE"/>
    <w:rsid w:val="00C061C1"/>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17F48"/>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378F7"/>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48C"/>
    <w:rsid w:val="00C55CCA"/>
    <w:rsid w:val="00C55E36"/>
    <w:rsid w:val="00C55EA7"/>
    <w:rsid w:val="00C60425"/>
    <w:rsid w:val="00C60557"/>
    <w:rsid w:val="00C60AFD"/>
    <w:rsid w:val="00C60C2D"/>
    <w:rsid w:val="00C6162E"/>
    <w:rsid w:val="00C6190E"/>
    <w:rsid w:val="00C61E0E"/>
    <w:rsid w:val="00C62E53"/>
    <w:rsid w:val="00C62E87"/>
    <w:rsid w:val="00C62FB0"/>
    <w:rsid w:val="00C63E23"/>
    <w:rsid w:val="00C65399"/>
    <w:rsid w:val="00C65917"/>
    <w:rsid w:val="00C65E54"/>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44"/>
    <w:rsid w:val="00C82282"/>
    <w:rsid w:val="00C82CCA"/>
    <w:rsid w:val="00C83B36"/>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3B14"/>
    <w:rsid w:val="00C941A8"/>
    <w:rsid w:val="00C95C72"/>
    <w:rsid w:val="00C95FE9"/>
    <w:rsid w:val="00C962B5"/>
    <w:rsid w:val="00C96959"/>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0A40"/>
    <w:rsid w:val="00CB1877"/>
    <w:rsid w:val="00CB1952"/>
    <w:rsid w:val="00CB1AAC"/>
    <w:rsid w:val="00CB21E2"/>
    <w:rsid w:val="00CB3192"/>
    <w:rsid w:val="00CB3201"/>
    <w:rsid w:val="00CB3415"/>
    <w:rsid w:val="00CB360D"/>
    <w:rsid w:val="00CB3785"/>
    <w:rsid w:val="00CB3A41"/>
    <w:rsid w:val="00CB4329"/>
    <w:rsid w:val="00CB4A6E"/>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F87"/>
    <w:rsid w:val="00CC7262"/>
    <w:rsid w:val="00CC7A24"/>
    <w:rsid w:val="00CC7DFE"/>
    <w:rsid w:val="00CD0040"/>
    <w:rsid w:val="00CD0BEF"/>
    <w:rsid w:val="00CD0EF3"/>
    <w:rsid w:val="00CD109D"/>
    <w:rsid w:val="00CD1E9D"/>
    <w:rsid w:val="00CD243C"/>
    <w:rsid w:val="00CD2A30"/>
    <w:rsid w:val="00CD2D54"/>
    <w:rsid w:val="00CD4041"/>
    <w:rsid w:val="00CD4523"/>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214"/>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1AA"/>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947"/>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14F"/>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3F53"/>
    <w:rsid w:val="00D4404B"/>
    <w:rsid w:val="00D4411B"/>
    <w:rsid w:val="00D44ABA"/>
    <w:rsid w:val="00D44EC6"/>
    <w:rsid w:val="00D45EB6"/>
    <w:rsid w:val="00D46251"/>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21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37D6"/>
    <w:rsid w:val="00D6411E"/>
    <w:rsid w:val="00D64482"/>
    <w:rsid w:val="00D64979"/>
    <w:rsid w:val="00D64A0C"/>
    <w:rsid w:val="00D65C71"/>
    <w:rsid w:val="00D65DCC"/>
    <w:rsid w:val="00D66935"/>
    <w:rsid w:val="00D66C59"/>
    <w:rsid w:val="00D67313"/>
    <w:rsid w:val="00D702CA"/>
    <w:rsid w:val="00D70636"/>
    <w:rsid w:val="00D71230"/>
    <w:rsid w:val="00D72CBB"/>
    <w:rsid w:val="00D7313C"/>
    <w:rsid w:val="00D735D0"/>
    <w:rsid w:val="00D738D2"/>
    <w:rsid w:val="00D74118"/>
    <w:rsid w:val="00D7421A"/>
    <w:rsid w:val="00D74303"/>
    <w:rsid w:val="00D74693"/>
    <w:rsid w:val="00D74696"/>
    <w:rsid w:val="00D75688"/>
    <w:rsid w:val="00D7589B"/>
    <w:rsid w:val="00D760A2"/>
    <w:rsid w:val="00D77315"/>
    <w:rsid w:val="00D77465"/>
    <w:rsid w:val="00D77D3C"/>
    <w:rsid w:val="00D80021"/>
    <w:rsid w:val="00D807E5"/>
    <w:rsid w:val="00D80803"/>
    <w:rsid w:val="00D80843"/>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3E4"/>
    <w:rsid w:val="00D97571"/>
    <w:rsid w:val="00D97A50"/>
    <w:rsid w:val="00DA05BF"/>
    <w:rsid w:val="00DA0C2C"/>
    <w:rsid w:val="00DA193F"/>
    <w:rsid w:val="00DA1B0B"/>
    <w:rsid w:val="00DA2589"/>
    <w:rsid w:val="00DA275C"/>
    <w:rsid w:val="00DA29C7"/>
    <w:rsid w:val="00DA2AF8"/>
    <w:rsid w:val="00DA2C76"/>
    <w:rsid w:val="00DA36F9"/>
    <w:rsid w:val="00DA37EF"/>
    <w:rsid w:val="00DA386A"/>
    <w:rsid w:val="00DA466E"/>
    <w:rsid w:val="00DA47A8"/>
    <w:rsid w:val="00DA524D"/>
    <w:rsid w:val="00DA5832"/>
    <w:rsid w:val="00DA6708"/>
    <w:rsid w:val="00DA7D61"/>
    <w:rsid w:val="00DA7F15"/>
    <w:rsid w:val="00DB0BB5"/>
    <w:rsid w:val="00DB14DD"/>
    <w:rsid w:val="00DB1890"/>
    <w:rsid w:val="00DB1D21"/>
    <w:rsid w:val="00DB1F2C"/>
    <w:rsid w:val="00DB203C"/>
    <w:rsid w:val="00DB2897"/>
    <w:rsid w:val="00DB2E73"/>
    <w:rsid w:val="00DB328C"/>
    <w:rsid w:val="00DB33C5"/>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84"/>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2E5"/>
    <w:rsid w:val="00DF43E8"/>
    <w:rsid w:val="00DF4B3E"/>
    <w:rsid w:val="00DF5745"/>
    <w:rsid w:val="00DF58E2"/>
    <w:rsid w:val="00DF5F6C"/>
    <w:rsid w:val="00DF621E"/>
    <w:rsid w:val="00DF6703"/>
    <w:rsid w:val="00DF68C0"/>
    <w:rsid w:val="00DF6FD7"/>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4DF0"/>
    <w:rsid w:val="00E15202"/>
    <w:rsid w:val="00E152DF"/>
    <w:rsid w:val="00E15505"/>
    <w:rsid w:val="00E15611"/>
    <w:rsid w:val="00E162B5"/>
    <w:rsid w:val="00E16CA8"/>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18FA"/>
    <w:rsid w:val="00E32A53"/>
    <w:rsid w:val="00E32E9C"/>
    <w:rsid w:val="00E339F2"/>
    <w:rsid w:val="00E34EBE"/>
    <w:rsid w:val="00E34F85"/>
    <w:rsid w:val="00E36093"/>
    <w:rsid w:val="00E37AE3"/>
    <w:rsid w:val="00E40BF8"/>
    <w:rsid w:val="00E410C7"/>
    <w:rsid w:val="00E4120E"/>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85F"/>
    <w:rsid w:val="00E50D89"/>
    <w:rsid w:val="00E528F9"/>
    <w:rsid w:val="00E53522"/>
    <w:rsid w:val="00E545FA"/>
    <w:rsid w:val="00E546E8"/>
    <w:rsid w:val="00E5496E"/>
    <w:rsid w:val="00E55854"/>
    <w:rsid w:val="00E55BA5"/>
    <w:rsid w:val="00E56707"/>
    <w:rsid w:val="00E56ACD"/>
    <w:rsid w:val="00E57279"/>
    <w:rsid w:val="00E57739"/>
    <w:rsid w:val="00E6045F"/>
    <w:rsid w:val="00E6079B"/>
    <w:rsid w:val="00E60CA2"/>
    <w:rsid w:val="00E628AD"/>
    <w:rsid w:val="00E62908"/>
    <w:rsid w:val="00E64339"/>
    <w:rsid w:val="00E64DAA"/>
    <w:rsid w:val="00E656C5"/>
    <w:rsid w:val="00E65C39"/>
    <w:rsid w:val="00E66B76"/>
    <w:rsid w:val="00E67584"/>
    <w:rsid w:val="00E67669"/>
    <w:rsid w:val="00E677BD"/>
    <w:rsid w:val="00E67AE7"/>
    <w:rsid w:val="00E67D3B"/>
    <w:rsid w:val="00E7011C"/>
    <w:rsid w:val="00E708BC"/>
    <w:rsid w:val="00E70C34"/>
    <w:rsid w:val="00E70C44"/>
    <w:rsid w:val="00E7100C"/>
    <w:rsid w:val="00E7138D"/>
    <w:rsid w:val="00E7273B"/>
    <w:rsid w:val="00E72B6E"/>
    <w:rsid w:val="00E742F4"/>
    <w:rsid w:val="00E74B6D"/>
    <w:rsid w:val="00E74BE2"/>
    <w:rsid w:val="00E758CC"/>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CF2"/>
    <w:rsid w:val="00E83E51"/>
    <w:rsid w:val="00E83FCE"/>
    <w:rsid w:val="00E84570"/>
    <w:rsid w:val="00E846CA"/>
    <w:rsid w:val="00E8487A"/>
    <w:rsid w:val="00E85726"/>
    <w:rsid w:val="00E85E2B"/>
    <w:rsid w:val="00E872A7"/>
    <w:rsid w:val="00E878CC"/>
    <w:rsid w:val="00E87A7D"/>
    <w:rsid w:val="00E87EAD"/>
    <w:rsid w:val="00E901AB"/>
    <w:rsid w:val="00E90AF8"/>
    <w:rsid w:val="00E914CC"/>
    <w:rsid w:val="00E923FD"/>
    <w:rsid w:val="00E924F7"/>
    <w:rsid w:val="00E9292A"/>
    <w:rsid w:val="00E94687"/>
    <w:rsid w:val="00E95DD9"/>
    <w:rsid w:val="00E96341"/>
    <w:rsid w:val="00E9647F"/>
    <w:rsid w:val="00E967EA"/>
    <w:rsid w:val="00E96839"/>
    <w:rsid w:val="00E96CB9"/>
    <w:rsid w:val="00E9721B"/>
    <w:rsid w:val="00E97299"/>
    <w:rsid w:val="00E97A23"/>
    <w:rsid w:val="00E97C21"/>
    <w:rsid w:val="00EA05D9"/>
    <w:rsid w:val="00EA13DC"/>
    <w:rsid w:val="00EA1521"/>
    <w:rsid w:val="00EA16C4"/>
    <w:rsid w:val="00EA19E9"/>
    <w:rsid w:val="00EA2418"/>
    <w:rsid w:val="00EA2443"/>
    <w:rsid w:val="00EA24A3"/>
    <w:rsid w:val="00EA24C7"/>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547"/>
    <w:rsid w:val="00EC4915"/>
    <w:rsid w:val="00EC5199"/>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CBB"/>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26"/>
    <w:rsid w:val="00F109C7"/>
    <w:rsid w:val="00F11525"/>
    <w:rsid w:val="00F11BAF"/>
    <w:rsid w:val="00F11CE3"/>
    <w:rsid w:val="00F12825"/>
    <w:rsid w:val="00F132DC"/>
    <w:rsid w:val="00F13644"/>
    <w:rsid w:val="00F13A9A"/>
    <w:rsid w:val="00F13B27"/>
    <w:rsid w:val="00F13FE2"/>
    <w:rsid w:val="00F146E6"/>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F4"/>
    <w:rsid w:val="00F22750"/>
    <w:rsid w:val="00F23455"/>
    <w:rsid w:val="00F23A49"/>
    <w:rsid w:val="00F23CA1"/>
    <w:rsid w:val="00F23DC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6F82"/>
    <w:rsid w:val="00F672FF"/>
    <w:rsid w:val="00F67ACE"/>
    <w:rsid w:val="00F67C1B"/>
    <w:rsid w:val="00F67F40"/>
    <w:rsid w:val="00F70195"/>
    <w:rsid w:val="00F70733"/>
    <w:rsid w:val="00F70F37"/>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77AB7"/>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59B"/>
    <w:rsid w:val="00F857AD"/>
    <w:rsid w:val="00F8600C"/>
    <w:rsid w:val="00F863C1"/>
    <w:rsid w:val="00F86631"/>
    <w:rsid w:val="00F869B7"/>
    <w:rsid w:val="00F869CE"/>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9A1"/>
    <w:rsid w:val="00F93AEB"/>
    <w:rsid w:val="00F93DB1"/>
    <w:rsid w:val="00F93FC5"/>
    <w:rsid w:val="00F94770"/>
    <w:rsid w:val="00F94CD4"/>
    <w:rsid w:val="00F9506A"/>
    <w:rsid w:val="00F955CD"/>
    <w:rsid w:val="00F959F2"/>
    <w:rsid w:val="00F95B03"/>
    <w:rsid w:val="00F96026"/>
    <w:rsid w:val="00F96123"/>
    <w:rsid w:val="00F96B57"/>
    <w:rsid w:val="00F97CE1"/>
    <w:rsid w:val="00FA0966"/>
    <w:rsid w:val="00FA12F1"/>
    <w:rsid w:val="00FA1419"/>
    <w:rsid w:val="00FA1755"/>
    <w:rsid w:val="00FA18F2"/>
    <w:rsid w:val="00FA1ECE"/>
    <w:rsid w:val="00FA208B"/>
    <w:rsid w:val="00FA2606"/>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12E3CE7"/>
    <w:rsid w:val="02A5B310"/>
    <w:rsid w:val="034451AB"/>
    <w:rsid w:val="035225B0"/>
    <w:rsid w:val="036F9FAF"/>
    <w:rsid w:val="03FE86C2"/>
    <w:rsid w:val="047DB6A4"/>
    <w:rsid w:val="04D32273"/>
    <w:rsid w:val="055AB46E"/>
    <w:rsid w:val="0579A7DD"/>
    <w:rsid w:val="05B482E3"/>
    <w:rsid w:val="05F388D9"/>
    <w:rsid w:val="060CB136"/>
    <w:rsid w:val="060EA3DB"/>
    <w:rsid w:val="062EBBBF"/>
    <w:rsid w:val="063653B2"/>
    <w:rsid w:val="06A531AC"/>
    <w:rsid w:val="07AA743C"/>
    <w:rsid w:val="0825C528"/>
    <w:rsid w:val="08744E82"/>
    <w:rsid w:val="08915714"/>
    <w:rsid w:val="094E7A0D"/>
    <w:rsid w:val="0A0A121B"/>
    <w:rsid w:val="0AB4EB49"/>
    <w:rsid w:val="0B4263F7"/>
    <w:rsid w:val="0BD6D9A9"/>
    <w:rsid w:val="0C72485D"/>
    <w:rsid w:val="0C9E538D"/>
    <w:rsid w:val="0CD8499C"/>
    <w:rsid w:val="0DA1B3F3"/>
    <w:rsid w:val="0DB0AC54"/>
    <w:rsid w:val="0E03D98A"/>
    <w:rsid w:val="0ECF0DEB"/>
    <w:rsid w:val="0F79B9D7"/>
    <w:rsid w:val="0F9A6B1F"/>
    <w:rsid w:val="100FA523"/>
    <w:rsid w:val="1013CDB2"/>
    <w:rsid w:val="1032EB95"/>
    <w:rsid w:val="10E0D201"/>
    <w:rsid w:val="11041DAD"/>
    <w:rsid w:val="114D992C"/>
    <w:rsid w:val="12CF856F"/>
    <w:rsid w:val="12E23689"/>
    <w:rsid w:val="12E8344E"/>
    <w:rsid w:val="134D75DC"/>
    <w:rsid w:val="14281072"/>
    <w:rsid w:val="14E9463D"/>
    <w:rsid w:val="15026E9A"/>
    <w:rsid w:val="1538F15A"/>
    <w:rsid w:val="15AA86A0"/>
    <w:rsid w:val="15FB6522"/>
    <w:rsid w:val="165C66F7"/>
    <w:rsid w:val="16649FEF"/>
    <w:rsid w:val="17E31DE5"/>
    <w:rsid w:val="1820E6FF"/>
    <w:rsid w:val="182A6AFD"/>
    <w:rsid w:val="187314D3"/>
    <w:rsid w:val="1909425E"/>
    <w:rsid w:val="193305E4"/>
    <w:rsid w:val="1A0CC7BE"/>
    <w:rsid w:val="1A8DDC6C"/>
    <w:rsid w:val="1AB5ADE8"/>
    <w:rsid w:val="1AECDB15"/>
    <w:rsid w:val="1B5887C1"/>
    <w:rsid w:val="1C3EC466"/>
    <w:rsid w:val="1C8CA1DF"/>
    <w:rsid w:val="1D25A32B"/>
    <w:rsid w:val="1D38DAFD"/>
    <w:rsid w:val="1DB717DE"/>
    <w:rsid w:val="1DE81B15"/>
    <w:rsid w:val="1E902883"/>
    <w:rsid w:val="1EB7BFB8"/>
    <w:rsid w:val="1FF156F8"/>
    <w:rsid w:val="1FFF38CB"/>
    <w:rsid w:val="20394DD7"/>
    <w:rsid w:val="21D19061"/>
    <w:rsid w:val="21E662A0"/>
    <w:rsid w:val="2226F9E0"/>
    <w:rsid w:val="222B6520"/>
    <w:rsid w:val="225CA34E"/>
    <w:rsid w:val="22750E6E"/>
    <w:rsid w:val="229F5B6E"/>
    <w:rsid w:val="22A263DB"/>
    <w:rsid w:val="23272055"/>
    <w:rsid w:val="23C2CA41"/>
    <w:rsid w:val="242F06C7"/>
    <w:rsid w:val="24D3A409"/>
    <w:rsid w:val="24DF3391"/>
    <w:rsid w:val="255261F7"/>
    <w:rsid w:val="2657C157"/>
    <w:rsid w:val="266E7A4F"/>
    <w:rsid w:val="26789B7A"/>
    <w:rsid w:val="2775D4FE"/>
    <w:rsid w:val="27D707DD"/>
    <w:rsid w:val="27E179A8"/>
    <w:rsid w:val="280A4AB0"/>
    <w:rsid w:val="29007FD7"/>
    <w:rsid w:val="2929F931"/>
    <w:rsid w:val="296E88C5"/>
    <w:rsid w:val="29F468E2"/>
    <w:rsid w:val="2A115A7D"/>
    <w:rsid w:val="2AAD75C0"/>
    <w:rsid w:val="2AD3F319"/>
    <w:rsid w:val="2AF6E43E"/>
    <w:rsid w:val="2B4D64D2"/>
    <w:rsid w:val="2B7872A7"/>
    <w:rsid w:val="2C5133A7"/>
    <w:rsid w:val="2C8E01C2"/>
    <w:rsid w:val="2CCFDA00"/>
    <w:rsid w:val="2DE38E7E"/>
    <w:rsid w:val="2E29257B"/>
    <w:rsid w:val="2E7070B9"/>
    <w:rsid w:val="2E715A7F"/>
    <w:rsid w:val="2F33A853"/>
    <w:rsid w:val="2F39A5D2"/>
    <w:rsid w:val="2F5F874C"/>
    <w:rsid w:val="2F88D469"/>
    <w:rsid w:val="3003D639"/>
    <w:rsid w:val="3022A7F5"/>
    <w:rsid w:val="30CF78B4"/>
    <w:rsid w:val="311B2F40"/>
    <w:rsid w:val="31433494"/>
    <w:rsid w:val="325B8041"/>
    <w:rsid w:val="3347090A"/>
    <w:rsid w:val="3437A4CF"/>
    <w:rsid w:val="345C458C"/>
    <w:rsid w:val="34A1E81C"/>
    <w:rsid w:val="34C8FFE1"/>
    <w:rsid w:val="357CABF2"/>
    <w:rsid w:val="36517271"/>
    <w:rsid w:val="3662A8AC"/>
    <w:rsid w:val="36EC78EE"/>
    <w:rsid w:val="36F4710C"/>
    <w:rsid w:val="37B73D70"/>
    <w:rsid w:val="390C2635"/>
    <w:rsid w:val="3920A23A"/>
    <w:rsid w:val="3A501D15"/>
    <w:rsid w:val="3A8FA5AC"/>
    <w:rsid w:val="3AE9E302"/>
    <w:rsid w:val="3AED141D"/>
    <w:rsid w:val="3B9683F7"/>
    <w:rsid w:val="3BCB3C2E"/>
    <w:rsid w:val="3C5B9830"/>
    <w:rsid w:val="3CAB666A"/>
    <w:rsid w:val="3D2E4540"/>
    <w:rsid w:val="3D36FC14"/>
    <w:rsid w:val="3EDDC268"/>
    <w:rsid w:val="3FC4DD13"/>
    <w:rsid w:val="403BBDE6"/>
    <w:rsid w:val="40603896"/>
    <w:rsid w:val="40993BDC"/>
    <w:rsid w:val="40E85574"/>
    <w:rsid w:val="411272C2"/>
    <w:rsid w:val="41FC08F7"/>
    <w:rsid w:val="4284D176"/>
    <w:rsid w:val="4298CFDB"/>
    <w:rsid w:val="42E0FEE6"/>
    <w:rsid w:val="43168137"/>
    <w:rsid w:val="4317A905"/>
    <w:rsid w:val="446868FA"/>
    <w:rsid w:val="449EE389"/>
    <w:rsid w:val="44A8FB23"/>
    <w:rsid w:val="451A831C"/>
    <w:rsid w:val="45B58627"/>
    <w:rsid w:val="45BA2B65"/>
    <w:rsid w:val="45F16D8A"/>
    <w:rsid w:val="4638CD78"/>
    <w:rsid w:val="46DCB065"/>
    <w:rsid w:val="46E67457"/>
    <w:rsid w:val="471E9E97"/>
    <w:rsid w:val="47FF4BA4"/>
    <w:rsid w:val="484339E3"/>
    <w:rsid w:val="48703D10"/>
    <w:rsid w:val="48C08A7A"/>
    <w:rsid w:val="499D5E6E"/>
    <w:rsid w:val="49B345FB"/>
    <w:rsid w:val="4A20750F"/>
    <w:rsid w:val="4A336D75"/>
    <w:rsid w:val="4A48D332"/>
    <w:rsid w:val="4A7BDDE7"/>
    <w:rsid w:val="4AD3BACB"/>
    <w:rsid w:val="4B428375"/>
    <w:rsid w:val="4B8F2946"/>
    <w:rsid w:val="4BC7E824"/>
    <w:rsid w:val="4C82CE98"/>
    <w:rsid w:val="4CC8D899"/>
    <w:rsid w:val="4D338AB3"/>
    <w:rsid w:val="4E1B6286"/>
    <w:rsid w:val="4E973839"/>
    <w:rsid w:val="4EAE16CB"/>
    <w:rsid w:val="4EF3E632"/>
    <w:rsid w:val="50743151"/>
    <w:rsid w:val="512C7C40"/>
    <w:rsid w:val="515AB37A"/>
    <w:rsid w:val="5189942C"/>
    <w:rsid w:val="518F9939"/>
    <w:rsid w:val="51C64566"/>
    <w:rsid w:val="52F683DB"/>
    <w:rsid w:val="5316333A"/>
    <w:rsid w:val="532B3C12"/>
    <w:rsid w:val="5392A9B6"/>
    <w:rsid w:val="53BB9814"/>
    <w:rsid w:val="53C75755"/>
    <w:rsid w:val="545A0076"/>
    <w:rsid w:val="548DE07D"/>
    <w:rsid w:val="54CE955E"/>
    <w:rsid w:val="55FA4715"/>
    <w:rsid w:val="5658C53A"/>
    <w:rsid w:val="569C1CFF"/>
    <w:rsid w:val="583BAD14"/>
    <w:rsid w:val="58ED34F0"/>
    <w:rsid w:val="59132170"/>
    <w:rsid w:val="5B58F1E4"/>
    <w:rsid w:val="5B6D27AC"/>
    <w:rsid w:val="5C1724DB"/>
    <w:rsid w:val="5CD15AEC"/>
    <w:rsid w:val="5D08F80D"/>
    <w:rsid w:val="5D6E399B"/>
    <w:rsid w:val="5E1E1829"/>
    <w:rsid w:val="5E3CB049"/>
    <w:rsid w:val="5EE1B42A"/>
    <w:rsid w:val="5F2885B6"/>
    <w:rsid w:val="5F4EC59D"/>
    <w:rsid w:val="60114805"/>
    <w:rsid w:val="607D848B"/>
    <w:rsid w:val="61981D74"/>
    <w:rsid w:val="61D6BAE2"/>
    <w:rsid w:val="6310216C"/>
    <w:rsid w:val="6327E808"/>
    <w:rsid w:val="633AA146"/>
    <w:rsid w:val="64ABF1CD"/>
    <w:rsid w:val="64D671A7"/>
    <w:rsid w:val="650E5BA4"/>
    <w:rsid w:val="6597C73A"/>
    <w:rsid w:val="66F3CCEC"/>
    <w:rsid w:val="67AF5CA0"/>
    <w:rsid w:val="67ECAE0A"/>
    <w:rsid w:val="68A0ECA5"/>
    <w:rsid w:val="68BE4135"/>
    <w:rsid w:val="6ADC1F64"/>
    <w:rsid w:val="6B1B3351"/>
    <w:rsid w:val="6B572242"/>
    <w:rsid w:val="6B7D8026"/>
    <w:rsid w:val="6CB288AC"/>
    <w:rsid w:val="6CB29864"/>
    <w:rsid w:val="6CDABF87"/>
    <w:rsid w:val="6CDEAB8A"/>
    <w:rsid w:val="6D200B00"/>
    <w:rsid w:val="6D277FED"/>
    <w:rsid w:val="6DAB702B"/>
    <w:rsid w:val="6E109FAB"/>
    <w:rsid w:val="6E66E581"/>
    <w:rsid w:val="6E782058"/>
    <w:rsid w:val="6E969C12"/>
    <w:rsid w:val="6E9858D8"/>
    <w:rsid w:val="6EA8BB6A"/>
    <w:rsid w:val="6EBBDB61"/>
    <w:rsid w:val="6EEA5232"/>
    <w:rsid w:val="6EFA4BB6"/>
    <w:rsid w:val="6F070569"/>
    <w:rsid w:val="6F16824D"/>
    <w:rsid w:val="6F9619D1"/>
    <w:rsid w:val="7094C0A0"/>
    <w:rsid w:val="71104140"/>
    <w:rsid w:val="712F5AB8"/>
    <w:rsid w:val="719E8643"/>
    <w:rsid w:val="71F37C23"/>
    <w:rsid w:val="724B2FE2"/>
    <w:rsid w:val="73A42BF7"/>
    <w:rsid w:val="744FCF94"/>
    <w:rsid w:val="749958C6"/>
    <w:rsid w:val="74F482F7"/>
    <w:rsid w:val="74F657A2"/>
    <w:rsid w:val="754986D4"/>
    <w:rsid w:val="759EF8DD"/>
    <w:rsid w:val="75AED98F"/>
    <w:rsid w:val="75FCB035"/>
    <w:rsid w:val="76AEC581"/>
    <w:rsid w:val="77392A14"/>
    <w:rsid w:val="77467F07"/>
    <w:rsid w:val="77E0AB9D"/>
    <w:rsid w:val="785BB4F6"/>
    <w:rsid w:val="788D7F63"/>
    <w:rsid w:val="78DAB8D5"/>
    <w:rsid w:val="78F9E42E"/>
    <w:rsid w:val="78FA90D6"/>
    <w:rsid w:val="793C6914"/>
    <w:rsid w:val="79546C12"/>
    <w:rsid w:val="7A6759B1"/>
    <w:rsid w:val="7A70CAD6"/>
    <w:rsid w:val="7B63C47B"/>
    <w:rsid w:val="7B8236A4"/>
    <w:rsid w:val="7C19F02A"/>
    <w:rsid w:val="7C5AE179"/>
    <w:rsid w:val="7D0285A2"/>
    <w:rsid w:val="7D377ED9"/>
    <w:rsid w:val="7DAA7070"/>
    <w:rsid w:val="7DF40A96"/>
    <w:rsid w:val="7FFFB14F"/>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5"/>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0"/>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0"/>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91"/>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0"/>
    <w:rPr>
      <w:color w:val="800080" w:themeColor="followedHyperlink"/>
      <w:u w:val="single"/>
      <w14:textFill>
        <w14:solidFill>
          <w14:schemeClr w14:val="folHlink"/>
        </w14:solidFill>
      </w14:textFill>
    </w:rPr>
  </w:style>
  <w:style w:type="character" w:styleId="12">
    <w:name w:val="Emphasis"/>
    <w:basedOn w:val="7"/>
    <w:qFormat/>
    <w:uiPriority w:val="0"/>
    <w:rPr>
      <w:i/>
      <w:iCs/>
    </w:rPr>
  </w:style>
  <w:style w:type="character" w:styleId="13">
    <w:name w:val="Hyperlink"/>
    <w:qFormat/>
    <w:uiPriority w:val="99"/>
    <w:rPr>
      <w:color w:val="000080"/>
      <w:u w:val="single"/>
    </w:rPr>
  </w:style>
  <w:style w:type="paragraph" w:styleId="14">
    <w:name w:val="Body Text"/>
    <w:basedOn w:val="1"/>
    <w:link w:val="54"/>
    <w:unhideWhenUsed/>
    <w:qFormat/>
    <w:uiPriority w:val="0"/>
    <w:pPr>
      <w:spacing w:before="100" w:beforeAutospacing="1" w:after="100" w:afterAutospacing="1"/>
    </w:pPr>
    <w:rPr>
      <w:rFonts w:ascii="Times New Roman" w:hAnsi="Times New Roman" w:eastAsia="Times New Roman" w:cs="Times New Roman"/>
    </w:rPr>
  </w:style>
  <w:style w:type="paragraph" w:styleId="15">
    <w:name w:val="annotation text"/>
    <w:basedOn w:val="1"/>
    <w:link w:val="38"/>
    <w:unhideWhenUsed/>
    <w:qFormat/>
    <w:uiPriority w:val="0"/>
    <w:rPr>
      <w:sz w:val="20"/>
      <w:szCs w:val="20"/>
    </w:rPr>
  </w:style>
  <w:style w:type="paragraph" w:styleId="16">
    <w:name w:val="Title"/>
    <w:basedOn w:val="1"/>
    <w:next w:val="1"/>
    <w:link w:val="43"/>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Plain Text"/>
    <w:basedOn w:val="1"/>
    <w:link w:val="129"/>
    <w:semiHidden/>
    <w:unhideWhenUsed/>
    <w:qFormat/>
    <w:uiPriority w:val="99"/>
    <w:rPr>
      <w:rFonts w:ascii="Calibri" w:hAnsi="Calibri" w:eastAsia="Calibri" w:cs="Calibri"/>
      <w:sz w:val="22"/>
      <w:szCs w:val="22"/>
      <w:lang w:eastAsia="en-US"/>
    </w:rPr>
  </w:style>
  <w:style w:type="paragraph" w:styleId="20">
    <w:name w:val="header"/>
    <w:basedOn w:val="1"/>
    <w:link w:val="36"/>
    <w:qFormat/>
    <w:uiPriority w:val="99"/>
    <w:pPr>
      <w:tabs>
        <w:tab w:val="center" w:pos="4252"/>
        <w:tab w:val="right" w:pos="8504"/>
      </w:tabs>
    </w:pPr>
  </w:style>
  <w:style w:type="paragraph" w:styleId="21">
    <w:name w:val="annotation subject"/>
    <w:basedOn w:val="15"/>
    <w:next w:val="15"/>
    <w:link w:val="39"/>
    <w:semiHidden/>
    <w:unhideWhenUsed/>
    <w:uiPriority w:val="0"/>
    <w:rPr>
      <w:b/>
      <w:bCs/>
    </w:rPr>
  </w:style>
  <w:style w:type="paragraph" w:styleId="22">
    <w:name w:val="footer"/>
    <w:basedOn w:val="1"/>
    <w:link w:val="37"/>
    <w:uiPriority w:val="99"/>
    <w:pPr>
      <w:tabs>
        <w:tab w:val="center" w:pos="4252"/>
        <w:tab w:val="right" w:pos="8504"/>
      </w:tabs>
    </w:pPr>
  </w:style>
  <w:style w:type="paragraph" w:styleId="23">
    <w:name w:val="Balloon Text"/>
    <w:basedOn w:val="1"/>
    <w:link w:val="27"/>
    <w:qFormat/>
    <w:uiPriority w:val="99"/>
    <w:rPr>
      <w:rFonts w:ascii="Tahoma" w:hAnsi="Tahoma"/>
      <w:sz w:val="16"/>
      <w:szCs w:val="16"/>
    </w:rPr>
  </w:style>
  <w:style w:type="paragraph" w:styleId="24">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table" w:styleId="25">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List Paragraph"/>
    <w:basedOn w:val="1"/>
    <w:link w:val="89"/>
    <w:qFormat/>
    <w:uiPriority w:val="34"/>
    <w:pPr>
      <w:ind w:left="720"/>
      <w:contextualSpacing/>
    </w:pPr>
  </w:style>
  <w:style w:type="character" w:customStyle="1" w:styleId="27">
    <w:name w:val="Texto de balão Char"/>
    <w:link w:val="23"/>
    <w:uiPriority w:val="99"/>
    <w:rPr>
      <w:rFonts w:ascii="Tahoma" w:hAnsi="Tahoma" w:cs="Tahoma"/>
      <w:sz w:val="16"/>
      <w:szCs w:val="16"/>
    </w:rPr>
  </w:style>
  <w:style w:type="character" w:customStyle="1" w:styleId="28">
    <w:name w:val="Título 2 Char"/>
    <w:link w:val="3"/>
    <w:uiPriority w:val="0"/>
    <w:rPr>
      <w:b/>
      <w:color w:val="000000"/>
      <w:sz w:val="24"/>
    </w:rPr>
  </w:style>
  <w:style w:type="paragraph" w:customStyle="1" w:styleId="29">
    <w:name w:val="Nível 2"/>
    <w:basedOn w:val="1"/>
    <w:next w:val="1"/>
    <w:qFormat/>
    <w:uiPriority w:val="0"/>
    <w:pPr>
      <w:spacing w:after="120"/>
      <w:jc w:val="both"/>
    </w:pPr>
    <w:rPr>
      <w:rFonts w:ascii="Arial" w:hAnsi="Arial" w:cs="Times New Roman"/>
      <w:b/>
      <w:szCs w:val="20"/>
    </w:rPr>
  </w:style>
  <w:style w:type="character" w:customStyle="1" w:styleId="30">
    <w:name w:val="normal__char1"/>
    <w:uiPriority w:val="0"/>
    <w:rPr>
      <w:rFonts w:hint="default" w:ascii="Arial" w:hAnsi="Arial" w:cs="Arial"/>
      <w:sz w:val="24"/>
      <w:szCs w:val="24"/>
      <w:u w:val="none"/>
    </w:rPr>
  </w:style>
  <w:style w:type="character" w:customStyle="1" w:styleId="31">
    <w:name w:val="apple-style-span"/>
    <w:basedOn w:val="7"/>
    <w:qFormat/>
    <w:uiPriority w:val="0"/>
  </w:style>
  <w:style w:type="paragraph" w:styleId="32">
    <w:name w:val="Quote"/>
    <w:basedOn w:val="1"/>
    <w:next w:val="1"/>
    <w:link w:val="33"/>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3">
    <w:name w:val="Citação Char"/>
    <w:link w:val="32"/>
    <w:qFormat/>
    <w:uiPriority w:val="0"/>
    <w:rPr>
      <w:rFonts w:ascii="Arial" w:hAnsi="Arial" w:eastAsia="Calibri" w:cs="Tahoma"/>
      <w:i/>
      <w:iCs/>
      <w:color w:val="000000"/>
      <w:szCs w:val="24"/>
      <w:shd w:val="clear" w:color="auto" w:fill="FFFFCC"/>
    </w:rPr>
  </w:style>
  <w:style w:type="paragraph" w:customStyle="1" w:styleId="34">
    <w:name w:val="Nota explicativa"/>
    <w:basedOn w:val="32"/>
    <w:link w:val="35"/>
    <w:qFormat/>
    <w:uiPriority w:val="0"/>
    <w:rPr>
      <w:szCs w:val="20"/>
    </w:rPr>
  </w:style>
  <w:style w:type="character" w:customStyle="1" w:styleId="35">
    <w:name w:val="Nota explicativa Char"/>
    <w:basedOn w:val="33"/>
    <w:link w:val="34"/>
    <w:uiPriority w:val="0"/>
    <w:rPr>
      <w:rFonts w:ascii="Arial" w:hAnsi="Arial" w:eastAsia="Calibri" w:cs="Tahoma"/>
      <w:color w:val="000000"/>
      <w:szCs w:val="24"/>
      <w:shd w:val="clear" w:color="auto" w:fill="FFFFCC"/>
    </w:rPr>
  </w:style>
  <w:style w:type="character" w:customStyle="1" w:styleId="36">
    <w:name w:val="Cabeçalho Char"/>
    <w:link w:val="20"/>
    <w:uiPriority w:val="99"/>
    <w:rPr>
      <w:rFonts w:ascii="Ecofont_Spranq_eco_Sans" w:hAnsi="Ecofont_Spranq_eco_Sans" w:cs="Tahoma"/>
      <w:sz w:val="24"/>
      <w:szCs w:val="24"/>
    </w:rPr>
  </w:style>
  <w:style w:type="character" w:customStyle="1" w:styleId="37">
    <w:name w:val="Rodapé Char"/>
    <w:link w:val="22"/>
    <w:qFormat/>
    <w:uiPriority w:val="99"/>
    <w:rPr>
      <w:rFonts w:ascii="Ecofont_Spranq_eco_Sans" w:hAnsi="Ecofont_Spranq_eco_Sans" w:cs="Tahoma"/>
      <w:sz w:val="24"/>
      <w:szCs w:val="24"/>
    </w:rPr>
  </w:style>
  <w:style w:type="character" w:customStyle="1" w:styleId="38">
    <w:name w:val="Texto de comentário Char"/>
    <w:basedOn w:val="7"/>
    <w:link w:val="15"/>
    <w:qFormat/>
    <w:uiPriority w:val="0"/>
    <w:rPr>
      <w:rFonts w:ascii="Ecofont_Spranq_eco_Sans" w:hAnsi="Ecofont_Spranq_eco_Sans" w:cs="Tahoma"/>
      <w:lang w:eastAsia="pt-BR"/>
    </w:rPr>
  </w:style>
  <w:style w:type="character" w:customStyle="1" w:styleId="39">
    <w:name w:val="Assunto do comentário Char"/>
    <w:basedOn w:val="38"/>
    <w:link w:val="21"/>
    <w:semiHidden/>
    <w:qFormat/>
    <w:uiPriority w:val="0"/>
    <w:rPr>
      <w:rFonts w:ascii="Ecofont_Spranq_eco_Sans" w:hAnsi="Ecofont_Spranq_eco_Sans" w:cs="Tahoma"/>
      <w:b/>
      <w:bCs/>
      <w:lang w:eastAsia="pt-BR"/>
    </w:rPr>
  </w:style>
  <w:style w:type="character" w:customStyle="1" w:styleId="40">
    <w:name w:val="Título 4 Char"/>
    <w:basedOn w:val="7"/>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1">
    <w:name w:val="Nivel 01"/>
    <w:basedOn w:val="2"/>
    <w:next w:val="1"/>
    <w:link w:val="44"/>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2">
    <w:name w:val="Nivel_01_Titulo"/>
    <w:basedOn w:val="41"/>
    <w:link w:val="46"/>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3">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4">
    <w:name w:val="Nivel 01 Char"/>
    <w:basedOn w:val="43"/>
    <w:link w:val="41"/>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5">
    <w:name w:val="Título 1 Char"/>
    <w:basedOn w:val="7"/>
    <w:link w:val="2"/>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46">
    <w:name w:val="Nivel_01_Titulo Char"/>
    <w:basedOn w:val="44"/>
    <w:link w:val="42"/>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7">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8">
    <w:name w:val="Quote Char"/>
    <w:basedOn w:val="7"/>
    <w:link w:val="49"/>
    <w:uiPriority w:val="0"/>
    <w:rPr>
      <w:rFonts w:ascii="Ecofont_Spranq_eco_Sans" w:hAnsi="Ecofont_Spranq_eco_Sans" w:eastAsia="Calibri" w:cs="Tahoma"/>
      <w:i/>
      <w:iCs/>
      <w:color w:val="000000"/>
      <w:shd w:val="clear" w:color="auto" w:fill="FFFFCC"/>
    </w:rPr>
  </w:style>
  <w:style w:type="paragraph" w:customStyle="1" w:styleId="49">
    <w:name w:val="Citação1"/>
    <w:basedOn w:val="1"/>
    <w:next w:val="1"/>
    <w:link w:val="48"/>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0">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1">
    <w:name w:val="normaltextrun"/>
    <w:basedOn w:val="7"/>
    <w:qFormat/>
    <w:uiPriority w:val="0"/>
  </w:style>
  <w:style w:type="character" w:customStyle="1" w:styleId="52">
    <w:name w:val="eop"/>
    <w:basedOn w:val="7"/>
    <w:qFormat/>
    <w:uiPriority w:val="0"/>
  </w:style>
  <w:style w:type="character" w:customStyle="1" w:styleId="53">
    <w:name w:val="spellingerror"/>
    <w:basedOn w:val="7"/>
    <w:uiPriority w:val="0"/>
  </w:style>
  <w:style w:type="character" w:customStyle="1" w:styleId="54">
    <w:name w:val="Corpo de texto Char"/>
    <w:basedOn w:val="7"/>
    <w:link w:val="14"/>
    <w:uiPriority w:val="0"/>
    <w:rPr>
      <w:rFonts w:eastAsia="Times New Roman"/>
      <w:sz w:val="24"/>
      <w:szCs w:val="24"/>
      <w:lang w:eastAsia="pt-BR"/>
    </w:rPr>
  </w:style>
  <w:style w:type="paragraph" w:customStyle="1" w:styleId="55">
    <w:name w:val="Nivel1"/>
    <w:basedOn w:val="2"/>
    <w:link w:val="56"/>
    <w:qFormat/>
    <w:uiPriority w:val="0"/>
    <w:pPr>
      <w:spacing w:line="276" w:lineRule="auto"/>
      <w:ind w:left="357" w:hanging="357"/>
      <w:jc w:val="both"/>
    </w:pPr>
    <w:rPr>
      <w:rFonts w:ascii="Arial" w:hAnsi="Arial" w:cs="Arial"/>
      <w:bCs w:val="0"/>
      <w:color w:val="000000"/>
    </w:rPr>
  </w:style>
  <w:style w:type="character" w:customStyle="1" w:styleId="56">
    <w:name w:val="Nivel1 Char"/>
    <w:basedOn w:val="45"/>
    <w:link w:val="55"/>
    <w:qFormat/>
    <w:uiPriority w:val="0"/>
    <w:rPr>
      <w:rFonts w:ascii="Arial" w:hAnsi="Arial" w:cs="Arial" w:eastAsiaTheme="majorEastAsia"/>
      <w:bCs w:val="0"/>
      <w:color w:val="000000"/>
      <w:sz w:val="28"/>
      <w:szCs w:val="28"/>
      <w:lang w:eastAsia="pt-BR"/>
    </w:rPr>
  </w:style>
  <w:style w:type="paragraph" w:customStyle="1" w:styleId="57">
    <w:name w:val="Parágrafo da Lista1"/>
    <w:basedOn w:val="1"/>
    <w:qFormat/>
    <w:uiPriority w:val="0"/>
    <w:pPr>
      <w:ind w:left="720"/>
    </w:pPr>
    <w:rPr>
      <w:rFonts w:eastAsia="Times New Roman" w:cs="Ecofont_Spranq_eco_Sans"/>
    </w:rPr>
  </w:style>
  <w:style w:type="paragraph" w:customStyle="1" w:styleId="58">
    <w:name w:val="Nivel 2"/>
    <w:basedOn w:val="1"/>
    <w:link w:val="83"/>
    <w:qFormat/>
    <w:uiPriority w:val="0"/>
    <w:pPr>
      <w:numPr>
        <w:ilvl w:val="1"/>
        <w:numId w:val="2"/>
      </w:numPr>
      <w:spacing w:before="120" w:after="120" w:line="276" w:lineRule="auto"/>
      <w:jc w:val="both"/>
    </w:pPr>
    <w:rPr>
      <w:rFonts w:ascii="Arial" w:hAnsi="Arial" w:cs="Arial"/>
      <w:color w:val="000000"/>
      <w:sz w:val="20"/>
      <w:szCs w:val="20"/>
    </w:rPr>
  </w:style>
  <w:style w:type="paragraph" w:customStyle="1" w:styleId="59">
    <w:name w:val="Nivel 1"/>
    <w:basedOn w:val="58"/>
    <w:next w:val="58"/>
    <w:qFormat/>
    <w:uiPriority w:val="0"/>
    <w:pPr>
      <w:numPr>
        <w:ilvl w:val="0"/>
        <w:numId w:val="0"/>
      </w:numPr>
      <w:ind w:left="360" w:hanging="360"/>
    </w:pPr>
    <w:rPr>
      <w:b/>
    </w:rPr>
  </w:style>
  <w:style w:type="paragraph" w:customStyle="1" w:styleId="60">
    <w:name w:val="Nivel 3"/>
    <w:basedOn w:val="1"/>
    <w:link w:val="109"/>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61">
    <w:name w:val="Nivel 4"/>
    <w:basedOn w:val="60"/>
    <w:link w:val="63"/>
    <w:qFormat/>
    <w:uiPriority w:val="0"/>
    <w:pPr>
      <w:numPr>
        <w:ilvl w:val="3"/>
      </w:numPr>
      <w:ind w:left="851" w:firstLine="0"/>
    </w:pPr>
    <w:rPr>
      <w:color w:val="auto"/>
    </w:rPr>
  </w:style>
  <w:style w:type="paragraph" w:customStyle="1" w:styleId="62">
    <w:name w:val="Nivel 5"/>
    <w:basedOn w:val="61"/>
    <w:qFormat/>
    <w:uiPriority w:val="0"/>
    <w:pPr>
      <w:numPr>
        <w:ilvl w:val="4"/>
      </w:numPr>
      <w:ind w:left="1276" w:firstLine="0"/>
    </w:pPr>
  </w:style>
  <w:style w:type="character" w:customStyle="1" w:styleId="63">
    <w:name w:val="Nivel 4 Char"/>
    <w:basedOn w:val="7"/>
    <w:link w:val="61"/>
    <w:qFormat/>
    <w:uiPriority w:val="0"/>
    <w:rPr>
      <w:rFonts w:ascii="Arial" w:hAnsi="Arial" w:cs="Arial"/>
      <w:lang w:eastAsia="pt-BR"/>
    </w:rPr>
  </w:style>
  <w:style w:type="paragraph" w:customStyle="1" w:styleId="64">
    <w:name w:val="textbody"/>
    <w:basedOn w:val="1"/>
    <w:uiPriority w:val="0"/>
    <w:pPr>
      <w:spacing w:before="100" w:beforeAutospacing="1" w:after="100" w:afterAutospacing="1"/>
    </w:pPr>
    <w:rPr>
      <w:rFonts w:ascii="Times New Roman" w:hAnsi="Times New Roman" w:eastAsia="Times New Roman" w:cs="Times New Roman"/>
    </w:rPr>
  </w:style>
  <w:style w:type="paragraph" w:customStyle="1" w:styleId="65">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6">
    <w:name w:val="cp_0020corpodespacho__char1"/>
    <w:qFormat/>
    <w:uiPriority w:val="0"/>
    <w:rPr>
      <w:rFonts w:hint="default" w:ascii="Times New Roman" w:hAnsi="Times New Roman" w:cs="Times New Roman"/>
      <w:sz w:val="26"/>
      <w:szCs w:val="26"/>
      <w:u w:val="none"/>
    </w:rPr>
  </w:style>
  <w:style w:type="character" w:customStyle="1" w:styleId="67">
    <w:name w:val="em_0020ementa__char1"/>
    <w:qFormat/>
    <w:uiPriority w:val="0"/>
    <w:rPr>
      <w:rFonts w:hint="default" w:ascii="Times New Roman" w:hAnsi="Times New Roman" w:cs="Times New Roman"/>
      <w:sz w:val="28"/>
      <w:szCs w:val="28"/>
      <w:u w:val="none"/>
    </w:rPr>
  </w:style>
  <w:style w:type="paragraph" w:customStyle="1" w:styleId="68">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9">
    <w:name w:val="Manoel"/>
    <w:qFormat/>
    <w:uiPriority w:val="0"/>
    <w:rPr>
      <w:rFonts w:ascii="Arial" w:hAnsi="Arial" w:cs="Arial"/>
      <w:color w:val="7030A0"/>
      <w:sz w:val="20"/>
    </w:rPr>
  </w:style>
  <w:style w:type="character" w:customStyle="1" w:styleId="70">
    <w:name w:val="ListLabel 12"/>
    <w:qFormat/>
    <w:uiPriority w:val="0"/>
    <w:rPr>
      <w:b/>
    </w:rPr>
  </w:style>
  <w:style w:type="paragraph" w:customStyle="1" w:styleId="71">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2">
    <w:name w:val="Grade Colorida - Ênfase 11"/>
    <w:basedOn w:val="1"/>
    <w:next w:val="1"/>
    <w:link w:val="73"/>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3">
    <w:name w:val="Grade Colorida - Ênfase 1 Char"/>
    <w:link w:val="72"/>
    <w:qFormat/>
    <w:uiPriority w:val="29"/>
    <w:rPr>
      <w:rFonts w:ascii="Arial" w:hAnsi="Arial" w:eastAsia="Calibri"/>
      <w:i/>
      <w:iCs/>
      <w:color w:val="000000"/>
      <w:szCs w:val="24"/>
      <w:shd w:val="clear" w:color="auto" w:fill="FFFFCC"/>
    </w:rPr>
  </w:style>
  <w:style w:type="paragraph" w:customStyle="1" w:styleId="74">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5">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76">
    <w:name w:val="Normal_1"/>
    <w:qFormat/>
    <w:uiPriority w:val="0"/>
    <w:rPr>
      <w:rFonts w:ascii="Times New Roman" w:hAnsi="Times New Roman" w:eastAsia="Times New Roman" w:cs="Times New Roman"/>
      <w:sz w:val="24"/>
      <w:szCs w:val="22"/>
      <w:lang w:val="pt-BR" w:eastAsia="en-US" w:bidi="ar-SA"/>
    </w:rPr>
  </w:style>
  <w:style w:type="paragraph" w:customStyle="1" w:styleId="77">
    <w:name w:val="tcu_-__ac_-_item_9_-_1ª_linha"/>
    <w:basedOn w:val="1"/>
    <w:uiPriority w:val="0"/>
    <w:pPr>
      <w:spacing w:before="100" w:beforeAutospacing="1" w:after="100" w:afterAutospacing="1"/>
    </w:pPr>
    <w:rPr>
      <w:rFonts w:ascii="Times New Roman" w:hAnsi="Times New Roman" w:eastAsia="Times New Roman" w:cs="Times New Roman"/>
    </w:rPr>
  </w:style>
  <w:style w:type="paragraph" w:customStyle="1" w:styleId="78">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highlight"/>
    <w:basedOn w:val="7"/>
    <w:uiPriority w:val="0"/>
  </w:style>
  <w:style w:type="paragraph" w:customStyle="1" w:styleId="80">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1">
    <w:name w:val="Menção Pendente1"/>
    <w:basedOn w:val="7"/>
    <w:semiHidden/>
    <w:unhideWhenUsed/>
    <w:uiPriority w:val="99"/>
    <w:rPr>
      <w:color w:val="605E5C"/>
      <w:shd w:val="clear" w:color="auto" w:fill="E1DFDD"/>
    </w:rPr>
  </w:style>
  <w:style w:type="character" w:customStyle="1" w:styleId="82">
    <w:name w:val="Menção Pendente2"/>
    <w:basedOn w:val="7"/>
    <w:semiHidden/>
    <w:unhideWhenUsed/>
    <w:qFormat/>
    <w:uiPriority w:val="99"/>
    <w:rPr>
      <w:color w:val="605E5C"/>
      <w:shd w:val="clear" w:color="auto" w:fill="E1DFDD"/>
    </w:rPr>
  </w:style>
  <w:style w:type="character" w:customStyle="1" w:styleId="83">
    <w:name w:val="Nivel 2 Char"/>
    <w:basedOn w:val="7"/>
    <w:link w:val="58"/>
    <w:qFormat/>
    <w:locked/>
    <w:uiPriority w:val="0"/>
    <w:rPr>
      <w:rFonts w:ascii="Arial" w:hAnsi="Arial" w:cs="Arial"/>
      <w:color w:val="000000"/>
      <w:lang w:eastAsia="pt-BR"/>
    </w:rPr>
  </w:style>
  <w:style w:type="paragraph" w:customStyle="1" w:styleId="84">
    <w:name w:val="Nível 2 Opcional"/>
    <w:basedOn w:val="58"/>
    <w:link w:val="86"/>
    <w:uiPriority w:val="0"/>
    <w:pPr>
      <w:numPr>
        <w:ilvl w:val="0"/>
        <w:numId w:val="0"/>
      </w:numPr>
      <w:ind w:left="432" w:hanging="432"/>
    </w:pPr>
    <w:rPr>
      <w:rFonts w:eastAsia="Times New Roman"/>
      <w:i/>
      <w:color w:val="FF0000"/>
    </w:rPr>
  </w:style>
  <w:style w:type="paragraph" w:customStyle="1" w:styleId="85">
    <w:name w:val="Nível 3 Opcional"/>
    <w:basedOn w:val="60"/>
    <w:link w:val="87"/>
    <w:qFormat/>
    <w:uiPriority w:val="0"/>
    <w:pPr>
      <w:numPr>
        <w:ilvl w:val="0"/>
        <w:numId w:val="0"/>
      </w:numPr>
      <w:ind w:left="1072" w:hanging="504"/>
    </w:pPr>
    <w:rPr>
      <w:rFonts w:eastAsia="Times New Roman"/>
      <w:i/>
      <w:iCs/>
      <w:color w:val="FF0000"/>
    </w:rPr>
  </w:style>
  <w:style w:type="character" w:customStyle="1" w:styleId="86">
    <w:name w:val="Nível 2 Opcional Char"/>
    <w:basedOn w:val="7"/>
    <w:link w:val="84"/>
    <w:qFormat/>
    <w:uiPriority w:val="0"/>
    <w:rPr>
      <w:rFonts w:ascii="Arial" w:hAnsi="Arial" w:eastAsia="Times New Roman" w:cs="Arial"/>
      <w:i/>
      <w:color w:val="FF0000"/>
      <w:lang w:eastAsia="pt-BR"/>
    </w:rPr>
  </w:style>
  <w:style w:type="character" w:customStyle="1" w:styleId="87">
    <w:name w:val="Nível 3 Opcional Char"/>
    <w:basedOn w:val="7"/>
    <w:link w:val="85"/>
    <w:qFormat/>
    <w:uiPriority w:val="0"/>
    <w:rPr>
      <w:rFonts w:ascii="Arial" w:hAnsi="Arial" w:eastAsia="Times New Roman" w:cs="Arial"/>
      <w:i/>
      <w:iCs/>
      <w:color w:val="FF0000"/>
      <w:lang w:eastAsia="pt-BR"/>
    </w:rPr>
  </w:style>
  <w:style w:type="character" w:styleId="88">
    <w:name w:val="Placeholder Text"/>
    <w:basedOn w:val="7"/>
    <w:semiHidden/>
    <w:qFormat/>
    <w:uiPriority w:val="67"/>
    <w:rPr>
      <w:color w:val="808080"/>
    </w:rPr>
  </w:style>
  <w:style w:type="character" w:customStyle="1" w:styleId="89">
    <w:name w:val="Parágrafo da Lista Char"/>
    <w:basedOn w:val="7"/>
    <w:link w:val="26"/>
    <w:qFormat/>
    <w:uiPriority w:val="34"/>
    <w:rPr>
      <w:rFonts w:ascii="Ecofont_Spranq_eco_Sans" w:hAnsi="Ecofont_Spranq_eco_Sans" w:cs="Tahoma"/>
      <w:sz w:val="24"/>
      <w:szCs w:val="24"/>
      <w:lang w:eastAsia="pt-BR"/>
    </w:rPr>
  </w:style>
  <w:style w:type="character" w:customStyle="1" w:styleId="90">
    <w:name w:val="Título 3 Char"/>
    <w:basedOn w:val="7"/>
    <w:link w:val="4"/>
    <w:semiHidden/>
    <w:uiPriority w:val="9"/>
    <w:rPr>
      <w:rFonts w:asciiTheme="majorHAnsi" w:hAnsiTheme="majorHAnsi" w:eastAsiaTheme="majorEastAsia" w:cstheme="majorBidi"/>
      <w:color w:val="254061" w:themeColor="accent1" w:themeShade="80"/>
      <w:sz w:val="24"/>
      <w:szCs w:val="24"/>
    </w:rPr>
  </w:style>
  <w:style w:type="character" w:customStyle="1" w:styleId="91">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2">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3">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nivel2"/>
    <w:basedOn w:val="1"/>
    <w:uiPriority w:val="0"/>
    <w:pPr>
      <w:spacing w:before="100" w:beforeAutospacing="1" w:after="100" w:afterAutospacing="1"/>
    </w:pPr>
    <w:rPr>
      <w:rFonts w:ascii="Times New Roman" w:hAnsi="Times New Roman" w:eastAsia="Times New Roman" w:cs="Times New Roman"/>
    </w:rPr>
  </w:style>
  <w:style w:type="paragraph" w:customStyle="1" w:styleId="95">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alinea_letra"/>
    <w:basedOn w:val="1"/>
    <w:uiPriority w:val="0"/>
    <w:pPr>
      <w:spacing w:before="100" w:beforeAutospacing="1" w:after="100" w:afterAutospacing="1"/>
    </w:pPr>
    <w:rPr>
      <w:rFonts w:ascii="Times New Roman" w:hAnsi="Times New Roman" w:eastAsia="Times New Roman" w:cs="Times New Roman"/>
    </w:rPr>
  </w:style>
  <w:style w:type="character" w:customStyle="1" w:styleId="97">
    <w:name w:val="markedcontent"/>
    <w:basedOn w:val="7"/>
    <w:qFormat/>
    <w:uiPriority w:val="0"/>
  </w:style>
  <w:style w:type="paragraph" w:customStyle="1" w:styleId="98">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9">
    <w:name w:val="Text body"/>
    <w:basedOn w:val="98"/>
    <w:qFormat/>
    <w:uiPriority w:val="0"/>
    <w:pPr>
      <w:spacing w:after="140" w:line="276" w:lineRule="auto"/>
    </w:pPr>
  </w:style>
  <w:style w:type="character" w:customStyle="1" w:styleId="100">
    <w:name w:val="Menção Pendente3"/>
    <w:basedOn w:val="7"/>
    <w:semiHidden/>
    <w:unhideWhenUsed/>
    <w:qFormat/>
    <w:uiPriority w:val="99"/>
    <w:rPr>
      <w:color w:val="605E5C"/>
      <w:shd w:val="clear" w:color="auto" w:fill="E1DFDD"/>
    </w:rPr>
  </w:style>
  <w:style w:type="character" w:customStyle="1" w:styleId="101">
    <w:name w:val="Menção Pendente4"/>
    <w:basedOn w:val="7"/>
    <w:semiHidden/>
    <w:unhideWhenUsed/>
    <w:qFormat/>
    <w:uiPriority w:val="99"/>
    <w:rPr>
      <w:color w:val="605E5C"/>
      <w:shd w:val="clear" w:color="auto" w:fill="E1DFDD"/>
    </w:rPr>
  </w:style>
  <w:style w:type="paragraph" w:customStyle="1" w:styleId="102">
    <w:name w:val="ou"/>
    <w:basedOn w:val="26"/>
    <w:link w:val="103"/>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3">
    <w:name w:val="ou Char"/>
    <w:basedOn w:val="89"/>
    <w:link w:val="102"/>
    <w:qFormat/>
    <w:uiPriority w:val="0"/>
    <w:rPr>
      <w:rFonts w:ascii="Arial" w:hAnsi="Arial" w:cs="Arial" w:eastAsiaTheme="minorHAnsi"/>
      <w:b/>
      <w:bCs/>
      <w:i/>
      <w:iCs/>
      <w:color w:val="FF0000"/>
      <w:sz w:val="24"/>
      <w:szCs w:val="24"/>
      <w:u w:val="single"/>
      <w:lang w:eastAsia="pt-BR"/>
    </w:rPr>
  </w:style>
  <w:style w:type="paragraph" w:customStyle="1" w:styleId="104">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5">
    <w:name w:val="Nível 2 -Red"/>
    <w:basedOn w:val="58"/>
    <w:link w:val="107"/>
    <w:qFormat/>
    <w:uiPriority w:val="0"/>
    <w:rPr>
      <w:i/>
      <w:iCs/>
      <w:color w:val="FF0000"/>
    </w:rPr>
  </w:style>
  <w:style w:type="paragraph" w:customStyle="1" w:styleId="106">
    <w:name w:val="Nível 3-R"/>
    <w:basedOn w:val="60"/>
    <w:link w:val="110"/>
    <w:qFormat/>
    <w:uiPriority w:val="0"/>
    <w:rPr>
      <w:i/>
      <w:iCs/>
      <w:color w:val="FF0000"/>
    </w:rPr>
  </w:style>
  <w:style w:type="character" w:customStyle="1" w:styleId="107">
    <w:name w:val="Nível 2 -Red Char"/>
    <w:basedOn w:val="83"/>
    <w:link w:val="105"/>
    <w:qFormat/>
    <w:uiPriority w:val="0"/>
    <w:rPr>
      <w:rFonts w:ascii="Arial" w:hAnsi="Arial" w:cs="Arial"/>
      <w:i/>
      <w:iCs/>
      <w:color w:val="FF0000"/>
      <w:lang w:eastAsia="pt-BR"/>
    </w:rPr>
  </w:style>
  <w:style w:type="paragraph" w:customStyle="1" w:styleId="108">
    <w:name w:val="Nível 4-R"/>
    <w:basedOn w:val="61"/>
    <w:link w:val="112"/>
    <w:qFormat/>
    <w:uiPriority w:val="0"/>
    <w:pPr>
      <w:ind w:left="2491" w:hanging="648"/>
    </w:pPr>
    <w:rPr>
      <w:i/>
      <w:iCs/>
      <w:color w:val="FF0000"/>
    </w:rPr>
  </w:style>
  <w:style w:type="character" w:customStyle="1" w:styleId="109">
    <w:name w:val="Nivel 3 Char"/>
    <w:basedOn w:val="7"/>
    <w:link w:val="60"/>
    <w:qFormat/>
    <w:uiPriority w:val="0"/>
    <w:rPr>
      <w:rFonts w:ascii="Arial" w:hAnsi="Arial" w:cs="Arial"/>
      <w:color w:val="000000"/>
      <w:lang w:eastAsia="pt-BR"/>
    </w:rPr>
  </w:style>
  <w:style w:type="character" w:customStyle="1" w:styleId="110">
    <w:name w:val="Nível 3-R Char"/>
    <w:basedOn w:val="109"/>
    <w:link w:val="106"/>
    <w:qFormat/>
    <w:uiPriority w:val="0"/>
    <w:rPr>
      <w:rFonts w:ascii="Arial" w:hAnsi="Arial" w:cs="Arial"/>
      <w:i/>
      <w:iCs/>
      <w:color w:val="FF0000"/>
      <w:lang w:eastAsia="pt-BR"/>
    </w:rPr>
  </w:style>
  <w:style w:type="paragraph" w:customStyle="1" w:styleId="111">
    <w:name w:val="Nível 1-Sem Num"/>
    <w:basedOn w:val="41"/>
    <w:link w:val="114"/>
    <w:qFormat/>
    <w:uiPriority w:val="0"/>
    <w:pPr>
      <w:numPr>
        <w:numId w:val="0"/>
      </w:numPr>
      <w:ind w:left="357"/>
      <w:outlineLvl w:val="1"/>
    </w:pPr>
    <w:rPr>
      <w:color w:val="FF0000"/>
    </w:rPr>
  </w:style>
  <w:style w:type="character" w:customStyle="1" w:styleId="112">
    <w:name w:val="Nível 4-R Char"/>
    <w:basedOn w:val="63"/>
    <w:link w:val="108"/>
    <w:qFormat/>
    <w:uiPriority w:val="0"/>
    <w:rPr>
      <w:rFonts w:ascii="Arial" w:hAnsi="Arial" w:cs="Arial"/>
      <w:i/>
      <w:iCs/>
      <w:color w:val="FF0000"/>
      <w:lang w:eastAsia="pt-BR"/>
    </w:rPr>
  </w:style>
  <w:style w:type="character" w:customStyle="1" w:styleId="113">
    <w:name w:val="Link da Internet"/>
    <w:basedOn w:val="7"/>
    <w:unhideWhenUsed/>
    <w:qFormat/>
    <w:uiPriority w:val="99"/>
    <w:rPr>
      <w:color w:val="0000FF" w:themeColor="hyperlink"/>
      <w:u w:val="single"/>
      <w14:textFill>
        <w14:solidFill>
          <w14:schemeClr w14:val="hlink"/>
        </w14:solidFill>
      </w14:textFill>
    </w:rPr>
  </w:style>
  <w:style w:type="character" w:customStyle="1" w:styleId="114">
    <w:name w:val="Nível 1-Sem Num Char"/>
    <w:basedOn w:val="44"/>
    <w:link w:val="111"/>
    <w:uiPriority w:val="0"/>
    <w:rPr>
      <w:rFonts w:ascii="Arial" w:hAnsi="Arial" w:cs="Arial" w:eastAsiaTheme="majorEastAsia"/>
      <w:color w:val="FF0000"/>
      <w:spacing w:val="5"/>
      <w:kern w:val="28"/>
      <w:sz w:val="52"/>
      <w:szCs w:val="52"/>
      <w:lang w:eastAsia="pt-BR"/>
    </w:rPr>
  </w:style>
  <w:style w:type="paragraph" w:customStyle="1" w:styleId="115">
    <w:name w:val="citação 2"/>
    <w:basedOn w:val="32"/>
    <w:link w:val="119"/>
    <w:qFormat/>
    <w:uiPriority w:val="0"/>
    <w:pPr>
      <w:overflowPunct w:val="0"/>
    </w:pPr>
    <w:rPr>
      <w:szCs w:val="20"/>
    </w:rPr>
  </w:style>
  <w:style w:type="paragraph" w:customStyle="1" w:styleId="116">
    <w:name w:val="Preâmbulo"/>
    <w:basedOn w:val="1"/>
    <w:link w:val="117"/>
    <w:qFormat/>
    <w:uiPriority w:val="0"/>
    <w:pPr>
      <w:spacing w:before="480" w:after="120" w:line="360" w:lineRule="auto"/>
      <w:ind w:left="4253" w:right="-17"/>
      <w:jc w:val="both"/>
    </w:pPr>
    <w:rPr>
      <w:rFonts w:ascii="Arial" w:hAnsi="Arial" w:eastAsia="Arial" w:cs="Arial"/>
      <w:bCs/>
      <w:sz w:val="20"/>
      <w:szCs w:val="20"/>
    </w:rPr>
  </w:style>
  <w:style w:type="character" w:customStyle="1" w:styleId="117">
    <w:name w:val="Preâmbulo Char"/>
    <w:basedOn w:val="7"/>
    <w:link w:val="116"/>
    <w:uiPriority w:val="0"/>
    <w:rPr>
      <w:rFonts w:ascii="Arial" w:hAnsi="Arial" w:eastAsia="Arial" w:cs="Arial"/>
      <w:bCs/>
      <w:lang w:eastAsia="pt-BR"/>
    </w:rPr>
  </w:style>
  <w:style w:type="character" w:customStyle="1" w:styleId="118">
    <w:name w:val="Unresolved Mention"/>
    <w:basedOn w:val="7"/>
    <w:semiHidden/>
    <w:unhideWhenUsed/>
    <w:qFormat/>
    <w:uiPriority w:val="99"/>
    <w:rPr>
      <w:color w:val="605E5C"/>
      <w:shd w:val="clear" w:color="auto" w:fill="E1DFDD"/>
    </w:rPr>
  </w:style>
  <w:style w:type="character" w:customStyle="1" w:styleId="119">
    <w:name w:val="citação 2 Char"/>
    <w:basedOn w:val="33"/>
    <w:link w:val="115"/>
    <w:qFormat/>
    <w:uiPriority w:val="0"/>
    <w:rPr>
      <w:rFonts w:ascii="Arial" w:hAnsi="Arial" w:eastAsia="Calibri" w:cs="Tahoma"/>
      <w:color w:val="000000"/>
      <w:szCs w:val="24"/>
      <w:shd w:val="clear" w:color="auto" w:fill="FFFFCC"/>
    </w:rPr>
  </w:style>
  <w:style w:type="paragraph" w:customStyle="1" w:styleId="120">
    <w:name w:val="TOC Heading"/>
    <w:basedOn w:val="2"/>
    <w:next w:val="1"/>
    <w:unhideWhenUsed/>
    <w:qFormat/>
    <w:uiPriority w:val="39"/>
    <w:pPr>
      <w:spacing w:before="240" w:line="259" w:lineRule="auto"/>
      <w:outlineLvl w:val="9"/>
    </w:pPr>
    <w:rPr>
      <w:b w:val="0"/>
      <w:bCs w:val="0"/>
      <w:sz w:val="32"/>
      <w:szCs w:val="32"/>
    </w:rPr>
  </w:style>
  <w:style w:type="paragraph" w:customStyle="1" w:styleId="121">
    <w:name w:val="pf0"/>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22">
    <w:name w:val="cf01"/>
    <w:basedOn w:val="7"/>
    <w:qFormat/>
    <w:uiPriority w:val="0"/>
    <w:rPr>
      <w:rFonts w:hint="default" w:ascii="Segoe UI" w:hAnsi="Segoe UI" w:cs="Segoe UI"/>
      <w:b/>
      <w:bCs/>
      <w:i/>
      <w:iCs/>
      <w:sz w:val="18"/>
      <w:szCs w:val="18"/>
    </w:rPr>
  </w:style>
  <w:style w:type="character" w:customStyle="1" w:styleId="123">
    <w:name w:val="cf11"/>
    <w:basedOn w:val="7"/>
    <w:qFormat/>
    <w:uiPriority w:val="0"/>
    <w:rPr>
      <w:rFonts w:hint="default" w:ascii="Segoe UI" w:hAnsi="Segoe UI" w:cs="Segoe UI"/>
      <w:i/>
      <w:iCs/>
      <w:sz w:val="18"/>
      <w:szCs w:val="18"/>
    </w:rPr>
  </w:style>
  <w:style w:type="character" w:customStyle="1" w:styleId="124">
    <w:name w:val="cf21"/>
    <w:basedOn w:val="7"/>
    <w:qFormat/>
    <w:uiPriority w:val="0"/>
    <w:rPr>
      <w:rFonts w:hint="default" w:ascii="Segoe UI" w:hAnsi="Segoe UI" w:cs="Segoe UI"/>
      <w:i/>
      <w:iCs/>
      <w:sz w:val="18"/>
      <w:szCs w:val="18"/>
    </w:rPr>
  </w:style>
  <w:style w:type="character" w:customStyle="1" w:styleId="125">
    <w:name w:val="cf31"/>
    <w:basedOn w:val="7"/>
    <w:qFormat/>
    <w:uiPriority w:val="0"/>
    <w:rPr>
      <w:rFonts w:hint="default" w:ascii="Segoe UI" w:hAnsi="Segoe UI" w:cs="Segoe UI"/>
      <w:i/>
      <w:iCs/>
      <w:sz w:val="18"/>
      <w:szCs w:val="18"/>
    </w:rPr>
  </w:style>
  <w:style w:type="character" w:customStyle="1" w:styleId="126">
    <w:name w:val="normal__char"/>
    <w:basedOn w:val="7"/>
    <w:qFormat/>
    <w:uiPriority w:val="0"/>
  </w:style>
  <w:style w:type="paragraph" w:customStyle="1" w:styleId="127">
    <w:name w:val="Normal1"/>
    <w:basedOn w:val="1"/>
    <w:qFormat/>
    <w:uiPriority w:val="0"/>
    <w:pPr>
      <w:spacing w:before="100" w:beforeAutospacing="1" w:after="100" w:afterAutospacing="1"/>
    </w:pPr>
    <w:rPr>
      <w:rFonts w:ascii="Times New Roman" w:hAnsi="Times New Roman" w:eastAsia="SimSun" w:cs="Times New Roman"/>
      <w:lang w:eastAsia="zh-CN"/>
    </w:rPr>
  </w:style>
  <w:style w:type="paragraph" w:customStyle="1" w:styleId="128">
    <w:name w:val="Recuo de corpo de texto 21"/>
    <w:basedOn w:val="1"/>
    <w:uiPriority w:val="0"/>
    <w:pPr>
      <w:ind w:left="709" w:hanging="709"/>
      <w:jc w:val="both"/>
    </w:pPr>
    <w:rPr>
      <w:rFonts w:ascii="Arial" w:hAnsi="Arial" w:eastAsia="Times New Roman" w:cs="Times New Roman"/>
      <w:szCs w:val="20"/>
    </w:rPr>
  </w:style>
  <w:style w:type="character" w:customStyle="1" w:styleId="129">
    <w:name w:val="Texto sem Formatação Char"/>
    <w:basedOn w:val="7"/>
    <w:link w:val="19"/>
    <w:semiHidden/>
    <w:qFormat/>
    <w:uiPriority w:val="99"/>
    <w:rPr>
      <w:rFonts w:ascii="Calibri" w:hAnsi="Calibri" w:eastAsia="Calibri" w:cs="Calibri"/>
      <w:sz w:val="22"/>
      <w:szCs w:val="22"/>
    </w:rPr>
  </w:style>
  <w:style w:type="paragraph" w:customStyle="1" w:styleId="130">
    <w:name w:val="[Normal]"/>
    <w:qFormat/>
    <w:uiPriority w:val="0"/>
    <w:rPr>
      <w:rFonts w:ascii="Arial" w:hAnsi="Arial" w:eastAsia="Arial" w:cs="Times New Roman"/>
      <w:sz w:val="24"/>
      <w:lang w:val="pt-BR" w:eastAsia="pt-BR" w:bidi="ar-SA"/>
    </w:rPr>
  </w:style>
  <w:style w:type="character" w:customStyle="1" w:styleId="131">
    <w:name w:val="findhit"/>
    <w:basedOn w:val="7"/>
    <w:qFormat/>
    <w:uiPriority w:val="0"/>
  </w:style>
  <w:style w:type="paragraph" w:customStyle="1" w:styleId="132">
    <w:name w:val="Nível 1-Sem Num Preto"/>
    <w:basedOn w:val="111"/>
    <w:link w:val="133"/>
    <w:qFormat/>
    <w:uiPriority w:val="0"/>
    <w:pPr>
      <w:spacing w:after="120" w:line="276" w:lineRule="auto"/>
      <w:ind w:left="0"/>
    </w:pPr>
    <w:rPr>
      <w:color w:val="000000" w:themeColor="text1"/>
      <w:spacing w:val="5"/>
      <w:kern w:val="28"/>
      <w:sz w:val="52"/>
      <w:szCs w:val="52"/>
      <w:lang w:eastAsia="zh-CN" w:bidi="hi-IN"/>
      <w14:textFill>
        <w14:solidFill>
          <w14:schemeClr w14:val="tx1"/>
        </w14:solidFill>
      </w14:textFill>
    </w:rPr>
  </w:style>
  <w:style w:type="character" w:customStyle="1" w:styleId="133">
    <w:name w:val="Nível 1-Sem Num Preto Char"/>
    <w:basedOn w:val="114"/>
    <w:link w:val="132"/>
    <w:qFormat/>
    <w:uiPriority w:val="0"/>
    <w:rPr>
      <w:rFonts w:ascii="Arial" w:hAnsi="Arial" w:cs="Arial" w:eastAsiaTheme="majorEastAsia"/>
      <w:color w:val="000000" w:themeColor="text1"/>
      <w:spacing w:val="5"/>
      <w:kern w:val="28"/>
      <w:sz w:val="52"/>
      <w:szCs w:val="52"/>
      <w:lang w:eastAsia="zh-CN" w:bidi="hi-IN"/>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BA077-76A1-418B-9152-549DA179F4A6}">
  <ds:schemaRefs/>
</ds:datastoreItem>
</file>

<file path=customXml/itemProps3.xml><?xml version="1.0" encoding="utf-8"?>
<ds:datastoreItem xmlns:ds="http://schemas.openxmlformats.org/officeDocument/2006/customXml" ds:itemID="{710721B5-2FFD-4B32-891F-8DD51FBA0B54}">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3B2BC15D-131A-4E41-8521-0823DB0F46EC}">
  <ds:schemaRefs/>
</ds:datastoreItem>
</file>

<file path=docProps/app.xml><?xml version="1.0" encoding="utf-8"?>
<Properties xmlns="http://schemas.openxmlformats.org/officeDocument/2006/extended-properties" xmlns:vt="http://schemas.openxmlformats.org/officeDocument/2006/docPropsVTypes">
  <Template>Normal</Template>
  <Pages>41</Pages>
  <Words>15323</Words>
  <Characters>82749</Characters>
  <Lines>689</Lines>
  <Paragraphs>195</Paragraphs>
  <TotalTime>3</TotalTime>
  <ScaleCrop>false</ScaleCrop>
  <LinksUpToDate>false</LinksUpToDate>
  <CharactersWithSpaces>97877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2024-02-01T18:38:00Z</dcterms:created>
  <dcterms:modified xsi:type="dcterms:W3CDTF">2025-06-05T12:04:25Z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1046-12.2.0.21179</vt:lpwstr>
  </property>
  <property fmtid="{D5CDD505-2E9C-101B-9397-08002B2CF9AE}" pid="5" name="ICV">
    <vt:lpwstr>96CC2E4567584142A9C2C369FB836AC5_13</vt:lpwstr>
  </property>
</Properties>
</file>