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FB2C6">
      <w:pPr>
        <w:keepNext/>
        <w:keepLines/>
        <w:pBdr>
          <w:top w:val="none" w:color="auto" w:sz="0" w:space="0"/>
          <w:left w:val="none" w:color="auto" w:sz="0" w:space="0"/>
          <w:bottom w:val="none" w:color="auto" w:sz="0" w:space="0"/>
          <w:right w:val="none" w:color="auto" w:sz="0" w:space="0"/>
          <w:between w:val="none" w:color="auto" w:sz="0" w:space="0"/>
        </w:pBdr>
        <w:tabs>
          <w:tab w:val="left" w:pos="0"/>
        </w:tabs>
        <w:spacing w:before="240" w:line="240" w:lineRule="auto"/>
        <w:jc w:val="center"/>
        <w:rPr>
          <w:b/>
          <w:color w:val="000000"/>
          <w:sz w:val="25"/>
          <w:szCs w:val="25"/>
          <w:highlight w:val="yellow"/>
        </w:rPr>
      </w:pPr>
      <w:bookmarkStart w:id="0" w:name="_GoBack"/>
      <w:bookmarkEnd w:id="0"/>
      <w:r>
        <w:rPr>
          <w:b/>
          <w:color w:val="000000"/>
          <w:sz w:val="25"/>
          <w:szCs w:val="25"/>
          <w:highlight w:val="yellow"/>
        </w:rPr>
        <w:t>ANEXO IV</w:t>
      </w:r>
    </w:p>
    <w:p w14:paraId="2A71DE9A">
      <w:pPr>
        <w:keepNext/>
        <w:keepLines/>
        <w:pBdr>
          <w:top w:val="none" w:color="auto" w:sz="0" w:space="0"/>
          <w:left w:val="none" w:color="auto" w:sz="0" w:space="0"/>
          <w:bottom w:val="none" w:color="auto" w:sz="0" w:space="0"/>
          <w:right w:val="none" w:color="auto" w:sz="0" w:space="0"/>
          <w:between w:val="none" w:color="auto" w:sz="0" w:space="0"/>
        </w:pBdr>
        <w:tabs>
          <w:tab w:val="left" w:pos="0"/>
        </w:tabs>
        <w:spacing w:before="240" w:line="240" w:lineRule="auto"/>
        <w:jc w:val="center"/>
        <w:rPr>
          <w:b/>
          <w:color w:val="000000"/>
          <w:sz w:val="25"/>
          <w:szCs w:val="25"/>
          <w:highlight w:val="white"/>
        </w:rPr>
      </w:pPr>
      <w:r>
        <w:rPr>
          <w:b/>
          <w:color w:val="000000"/>
          <w:sz w:val="25"/>
          <w:szCs w:val="25"/>
          <w:highlight w:val="white"/>
        </w:rPr>
        <w:t>MINUTA DA ATA DE REGISTRO DE PREÇOS n°</w:t>
      </w:r>
    </w:p>
    <w:p w14:paraId="4333883D">
      <w:pPr>
        <w:keepNext/>
        <w:keepLines/>
        <w:pBdr>
          <w:top w:val="none" w:color="auto" w:sz="0" w:space="0"/>
          <w:left w:val="none" w:color="auto" w:sz="0" w:space="0"/>
          <w:bottom w:val="none" w:color="auto" w:sz="0" w:space="0"/>
          <w:right w:val="none" w:color="auto" w:sz="0" w:space="0"/>
          <w:between w:val="none" w:color="auto" w:sz="0" w:space="0"/>
        </w:pBdr>
        <w:tabs>
          <w:tab w:val="left" w:pos="567"/>
        </w:tabs>
        <w:spacing w:before="240" w:line="240" w:lineRule="auto"/>
        <w:jc w:val="center"/>
        <w:rPr>
          <w:rFonts w:ascii="Times New Roman" w:hAnsi="Times New Roman" w:eastAsia="Times New Roman"/>
          <w:b/>
          <w:color w:val="000000"/>
          <w:sz w:val="25"/>
          <w:szCs w:val="25"/>
          <w:highlight w:val="white"/>
        </w:rPr>
      </w:pPr>
    </w:p>
    <w:p w14:paraId="20289EC4">
      <w:pPr>
        <w:spacing w:line="240" w:lineRule="auto"/>
        <w:rPr>
          <w:rFonts w:ascii="Times New Roman" w:hAnsi="Times New Roman" w:eastAsia="Times New Roman"/>
          <w:sz w:val="24"/>
          <w:szCs w:val="24"/>
        </w:rPr>
      </w:pPr>
    </w:p>
    <w:p w14:paraId="09E6FE78">
      <w:pPr>
        <w:spacing w:line="240" w:lineRule="auto"/>
        <w:rPr>
          <w:rFonts w:ascii="Times New Roman" w:hAnsi="Times New Roman" w:eastAsia="Times New Roman"/>
          <w:b/>
          <w:sz w:val="24"/>
          <w:szCs w:val="24"/>
        </w:rPr>
      </w:pPr>
      <w:r>
        <w:rPr>
          <w:b/>
          <w:sz w:val="24"/>
          <w:szCs w:val="24"/>
        </w:rPr>
        <w:t>Pregão Eletrônico SRP nº xx/202x</w:t>
      </w:r>
    </w:p>
    <w:p w14:paraId="4DC329E5">
      <w:pPr>
        <w:spacing w:line="240" w:lineRule="auto"/>
        <w:rPr>
          <w:rFonts w:ascii="Times New Roman" w:hAnsi="Times New Roman" w:eastAsia="Times New Roman"/>
          <w:b/>
          <w:sz w:val="24"/>
          <w:szCs w:val="24"/>
        </w:rPr>
      </w:pPr>
      <w:r>
        <w:rPr>
          <w:b/>
          <w:sz w:val="24"/>
          <w:szCs w:val="24"/>
        </w:rPr>
        <w:t>Processo: xxx</w:t>
      </w:r>
    </w:p>
    <w:p w14:paraId="7D3D8FEE">
      <w:pPr>
        <w:spacing w:line="240" w:lineRule="auto"/>
        <w:rPr>
          <w:rFonts w:ascii="Times New Roman" w:hAnsi="Times New Roman" w:eastAsia="Times New Roman"/>
          <w:b/>
          <w:sz w:val="24"/>
          <w:szCs w:val="24"/>
        </w:rPr>
      </w:pPr>
      <w:r>
        <w:rPr>
          <w:b/>
          <w:sz w:val="24"/>
          <w:szCs w:val="24"/>
        </w:rPr>
        <w:t>Validade da Ata: xx/xx/202x</w:t>
      </w:r>
    </w:p>
    <w:p w14:paraId="2C79FF07">
      <w:pPr>
        <w:spacing w:line="240" w:lineRule="auto"/>
        <w:rPr>
          <w:rFonts w:ascii="Times New Roman" w:hAnsi="Times New Roman" w:eastAsia="Times New Roman"/>
          <w:sz w:val="24"/>
          <w:szCs w:val="24"/>
        </w:rPr>
      </w:pPr>
    </w:p>
    <w:p w14:paraId="70324A7C">
      <w:pPr>
        <w:spacing w:line="240" w:lineRule="auto"/>
        <w:rPr>
          <w:rFonts w:ascii="Times New Roman" w:hAnsi="Times New Roman" w:eastAsia="Times New Roman"/>
          <w:sz w:val="24"/>
          <w:szCs w:val="24"/>
        </w:rPr>
      </w:pPr>
    </w:p>
    <w:p w14:paraId="08A0A0C9">
      <w:pPr>
        <w:jc w:val="both"/>
        <w:rPr>
          <w:color w:val="000000"/>
        </w:rPr>
      </w:pPr>
      <w:r>
        <w:rPr>
          <w:color w:val="000000"/>
        </w:rPr>
        <w:t xml:space="preserve">Aos __________________ dias do mês de _________ do ano de dois mil e vinte e cinco, na sede do Município de Orlândia, localizado localizada </w:t>
      </w:r>
      <w:r>
        <w:rPr>
          <w:b/>
        </w:rPr>
        <w:t>Rua Marimbus, Alto da Bela Vista, Andaraí-ba</w:t>
      </w:r>
      <w:r>
        <w:rPr>
          <w:color w:val="000000"/>
        </w:rPr>
        <w:t xml:space="preserve">, CEP: 46.830-000, na cidade de Andaraí-ba, Estado da Bahia, daqui em diante designado meramente </w:t>
      </w:r>
      <w:r>
        <w:rPr>
          <w:b/>
          <w:color w:val="000000"/>
        </w:rPr>
        <w:t>MUNICÍPIO DE ANDARAÍ</w:t>
      </w:r>
      <w:r>
        <w:rPr>
          <w:color w:val="000000"/>
        </w:rPr>
        <w:t xml:space="preserve">, inscrito no CNPJ/MF sob o nº 13.922.570/0001-80, neste ato legalmente representado pelo Prefeito Municipal, senhor Sr. Wilson Paes Cardoso, inscrito no Cadastro de Pessoa Física (CPF) sob o n° 054.695.385-91 e portador do RG n° 662766, em conformidade com o resultado do PREGÃO ELETRÔNICO SRP N.º </w:t>
      </w:r>
      <w:r>
        <w:rPr>
          <w:color w:val="000000"/>
          <w:highlight w:val="yellow"/>
        </w:rPr>
        <w:t>XXX</w:t>
      </w:r>
      <w:r>
        <w:rPr>
          <w:color w:val="000000"/>
        </w:rPr>
        <w:t xml:space="preserve"> resolve, nos termos da Lei 14.133 e do Decreto Municipal nº 3.436/2024, REGISTRAR OS PREÇOS </w:t>
      </w:r>
      <w:r>
        <w:rPr>
          <w:rFonts w:eastAsia="Arial MT" w:cs="Arial"/>
          <w:lang w:val="pt-PT" w:eastAsia="en-US"/>
        </w:rPr>
        <w:t>para eventual contratação de empresa especializada para aquisição dos medicamentos, materias Pens e produtos sanitizantes, essa aquisição visa suprir as necessidades das Unidades de Saúde da Família e do Hospital Municipal, Através desta Secretaria Municipal de Saúde</w:t>
      </w:r>
      <w:r>
        <w:rPr>
          <w:color w:val="000000"/>
        </w:rPr>
        <w:t>, em conformidade com o Pregão e com as cláusulas e condições que se seguem.</w:t>
      </w:r>
    </w:p>
    <w:p w14:paraId="388F78BE">
      <w:pPr>
        <w:spacing w:line="240" w:lineRule="auto"/>
        <w:rPr>
          <w:rFonts w:ascii="Times New Roman" w:hAnsi="Times New Roman" w:eastAsia="Times New Roman"/>
          <w:b/>
          <w:sz w:val="24"/>
          <w:szCs w:val="24"/>
        </w:rPr>
      </w:pPr>
    </w:p>
    <w:p w14:paraId="48740D8E">
      <w:pPr>
        <w:pStyle w:val="38"/>
        <w:numPr>
          <w:ilvl w:val="1"/>
          <w:numId w:val="3"/>
        </w:numPr>
        <w:spacing w:before="360" w:after="360" w:line="240" w:lineRule="auto"/>
        <w:jc w:val="both"/>
        <w:rPr>
          <w:rFonts w:ascii="Times New Roman" w:hAnsi="Times New Roman" w:eastAsia="Times New Roman"/>
          <w:sz w:val="24"/>
          <w:szCs w:val="24"/>
        </w:rPr>
      </w:pPr>
      <w:r>
        <w:rPr>
          <w:b/>
          <w:color w:val="000000"/>
          <w:sz w:val="24"/>
          <w:szCs w:val="24"/>
        </w:rPr>
        <w:t>CLÁUSULA PRIMEIRA – DO OBJETO</w:t>
      </w:r>
    </w:p>
    <w:p w14:paraId="76FBF489">
      <w:pPr>
        <w:pStyle w:val="38"/>
        <w:spacing w:before="360" w:after="360" w:line="240" w:lineRule="auto"/>
        <w:ind w:left="360"/>
        <w:jc w:val="both"/>
        <w:rPr>
          <w:rFonts w:ascii="Times New Roman" w:hAnsi="Times New Roman" w:eastAsia="Times New Roman"/>
          <w:sz w:val="24"/>
          <w:szCs w:val="24"/>
        </w:rPr>
      </w:pPr>
    </w:p>
    <w:p w14:paraId="6C3AC84E">
      <w:pPr>
        <w:pStyle w:val="38"/>
        <w:numPr>
          <w:ilvl w:val="1"/>
          <w:numId w:val="4"/>
        </w:numPr>
        <w:jc w:val="both"/>
        <w:rPr>
          <w:rFonts w:ascii="Times New Roman" w:hAnsi="Times New Roman" w:eastAsia="Times New Roman"/>
        </w:rPr>
      </w:pPr>
      <w:r>
        <w:rPr>
          <w:color w:val="000000"/>
        </w:rPr>
        <w:t xml:space="preserve">A presente Ata possui a finalidade de registrar os preços obtidos no </w:t>
      </w:r>
      <w:r>
        <w:rPr>
          <w:color w:val="FF0000"/>
        </w:rPr>
        <w:t xml:space="preserve">Pregão Eletrônico </w:t>
      </w:r>
      <w:r>
        <w:rPr>
          <w:color w:val="000000"/>
        </w:rPr>
        <w:t>nº</w:t>
      </w:r>
      <w:r>
        <w:rPr>
          <w:color w:val="FF0000"/>
        </w:rPr>
        <w:t xml:space="preserve">xx/202x </w:t>
      </w:r>
      <w:r>
        <w:rPr>
          <w:rFonts w:eastAsia="Arial MT" w:cs="Arial"/>
          <w:lang w:val="pt-PT" w:eastAsia="en-US"/>
        </w:rPr>
        <w:t>para eventual contratação de empresa especializada para aquisição dos medicamentos, materias Pens e produtos sanitizantes, essa aquisição visa suprir as necessidades das Unidades de Saúde da Família e do Hospital Municipal, Através desta Secretaria Municipal de Saúde</w:t>
      </w:r>
      <w:r>
        <w:rPr>
          <w:bCs/>
        </w:rPr>
        <w:t xml:space="preserve">, </w:t>
      </w:r>
      <w:r>
        <w:rPr>
          <w:color w:val="000000"/>
        </w:rPr>
        <w:t>conforme as especificações e exigências contidas no Termo de Refer</w:t>
      </w:r>
      <w:r>
        <w:t xml:space="preserve">ência, anexo ao </w:t>
      </w:r>
      <w:r>
        <w:rPr>
          <w:color w:val="000000"/>
        </w:rPr>
        <w:t>Edital do processo licitatório.</w:t>
      </w:r>
    </w:p>
    <w:p w14:paraId="20EAE168">
      <w:pPr>
        <w:pStyle w:val="38"/>
        <w:numPr>
          <w:ilvl w:val="1"/>
          <w:numId w:val="4"/>
        </w:numPr>
        <w:ind w:left="0" w:firstLine="0"/>
        <w:jc w:val="both"/>
        <w:rPr>
          <w:color w:val="000000"/>
        </w:rPr>
      </w:pPr>
      <w:r>
        <w:rPr>
          <w:color w:val="000000"/>
        </w:rPr>
        <w:t>Salienta-se que a Administração não está obrigada a adquirir as quantidades estimadas e dispostas no edital deste Pregão Eletrônico.</w:t>
      </w:r>
    </w:p>
    <w:p w14:paraId="49476CCE">
      <w:pPr>
        <w:pStyle w:val="38"/>
        <w:numPr>
          <w:ilvl w:val="1"/>
          <w:numId w:val="4"/>
        </w:numPr>
        <w:ind w:left="0" w:firstLine="0"/>
        <w:jc w:val="both"/>
        <w:rPr>
          <w:color w:val="000000"/>
        </w:rPr>
      </w:pPr>
      <w:r>
        <w:rPr>
          <w:color w:val="000000"/>
        </w:rPr>
        <w:t>Nos valores registrados já estão inclusas todas as despesas com entrega, instalações/adequações do objeto; materiais; mão-de-obra, encargos sociais; trabalhistas e previdenciários; combustível; deslocamento de veículos; seguro; lucros, todos e quaisquer tributos e encargos pertinentes independentemente da quantidade que venha a ser registrada na Ata, bem como, todas as demais despesas diretas e indiretas necessárias à perfeita execução do objeto.</w:t>
      </w:r>
    </w:p>
    <w:p w14:paraId="0468050D">
      <w:pPr>
        <w:pStyle w:val="38"/>
        <w:ind w:left="0"/>
        <w:jc w:val="both"/>
        <w:rPr>
          <w:rFonts w:ascii="Times New Roman" w:hAnsi="Times New Roman" w:eastAsia="Times New Roman"/>
        </w:rPr>
      </w:pPr>
    </w:p>
    <w:p w14:paraId="4D30B5F0">
      <w:pPr>
        <w:pStyle w:val="38"/>
        <w:numPr>
          <w:ilvl w:val="0"/>
          <w:numId w:val="3"/>
        </w:numPr>
        <w:spacing w:before="360" w:after="360" w:line="240" w:lineRule="auto"/>
        <w:jc w:val="both"/>
        <w:rPr>
          <w:rFonts w:ascii="Times New Roman" w:hAnsi="Times New Roman" w:eastAsia="Times New Roman"/>
          <w:sz w:val="24"/>
          <w:szCs w:val="24"/>
        </w:rPr>
      </w:pPr>
      <w:r>
        <w:rPr>
          <w:b/>
          <w:color w:val="000000"/>
          <w:sz w:val="24"/>
          <w:szCs w:val="24"/>
        </w:rPr>
        <w:t xml:space="preserve">CLÁUSULA SEGUNDA – DO FORNECEDOR E PREÇOS </w:t>
      </w:r>
    </w:p>
    <w:p w14:paraId="3BAA4FA0">
      <w:pPr>
        <w:pStyle w:val="38"/>
        <w:spacing w:before="360" w:after="360" w:line="240" w:lineRule="auto"/>
        <w:ind w:left="360"/>
        <w:jc w:val="both"/>
        <w:rPr>
          <w:rFonts w:ascii="Times New Roman" w:hAnsi="Times New Roman" w:eastAsia="Times New Roman"/>
          <w:sz w:val="24"/>
          <w:szCs w:val="24"/>
        </w:rPr>
      </w:pPr>
    </w:p>
    <w:p w14:paraId="16BA232B">
      <w:pPr>
        <w:pStyle w:val="38"/>
        <w:numPr>
          <w:ilvl w:val="1"/>
          <w:numId w:val="5"/>
        </w:numPr>
        <w:ind w:left="0" w:firstLine="0"/>
        <w:jc w:val="both"/>
        <w:rPr>
          <w:color w:val="000000"/>
        </w:rPr>
      </w:pPr>
      <w:r>
        <w:rPr>
          <w:color w:val="000000"/>
        </w:rPr>
        <w:t>Registram-se o(s) preços(s) do(s) bem (ns) ofertado(s) pelo(s) fornecedor, nos seguintes termos:</w:t>
      </w:r>
    </w:p>
    <w:p w14:paraId="7F43447A">
      <w:pPr>
        <w:pStyle w:val="38"/>
        <w:ind w:left="0"/>
        <w:jc w:val="both"/>
        <w:rPr>
          <w:color w:val="000000"/>
        </w:rPr>
      </w:pPr>
    </w:p>
    <w:p w14:paraId="7FAB1841">
      <w:pPr>
        <w:pStyle w:val="38"/>
        <w:numPr>
          <w:ilvl w:val="1"/>
          <w:numId w:val="5"/>
        </w:numPr>
        <w:spacing w:line="312" w:lineRule="auto"/>
        <w:ind w:left="0" w:firstLine="0"/>
        <w:jc w:val="both"/>
        <w:rPr>
          <w:rFonts w:ascii="Times New Roman" w:hAnsi="Times New Roman" w:eastAsia="Times New Roman"/>
          <w:sz w:val="24"/>
          <w:szCs w:val="24"/>
        </w:rPr>
      </w:pPr>
      <w:r>
        <w:rPr>
          <w:color w:val="000000"/>
        </w:rPr>
        <w:t>Adjudicado e Homologado para [</w:t>
      </w:r>
      <w:r>
        <w:rPr>
          <w:color w:val="FF0000"/>
        </w:rPr>
        <w:t>razão social da empresa arrematante, CNPJ, endereço completo e telefone</w:t>
      </w:r>
      <w:r>
        <w:rPr>
          <w:color w:val="000000"/>
        </w:rPr>
        <w:t>] representado por [</w:t>
      </w:r>
      <w:r>
        <w:rPr>
          <w:color w:val="FF0000"/>
        </w:rPr>
        <w:t>nome do representante, indicar a qualificação, RG/CPF, endereço, e-mail e telefone</w:t>
      </w:r>
      <w:r>
        <w:rPr>
          <w:color w:val="000000"/>
        </w:rPr>
        <w:t xml:space="preserve">], conforme quadro abaixo, com o seguinte valor </w:t>
      </w:r>
      <w:r>
        <w:rPr>
          <w:color w:val="FF0000"/>
        </w:rPr>
        <w:t>R$ (valor por extenso):</w:t>
      </w:r>
    </w:p>
    <w:p w14:paraId="69C08BC4">
      <w:pPr>
        <w:pStyle w:val="38"/>
        <w:spacing w:line="312" w:lineRule="auto"/>
        <w:ind w:left="0"/>
        <w:jc w:val="both"/>
        <w:rPr>
          <w:rFonts w:ascii="Times New Roman" w:hAnsi="Times New Roman" w:eastAsia="Times New Roman"/>
          <w:sz w:val="24"/>
          <w:szCs w:val="24"/>
        </w:rPr>
      </w:pPr>
    </w:p>
    <w:p w14:paraId="5ABF4333">
      <w:pPr>
        <w:spacing w:line="240" w:lineRule="auto"/>
        <w:rPr>
          <w:rFonts w:ascii="Times New Roman" w:hAnsi="Times New Roman" w:eastAsia="Times New Roman"/>
          <w:sz w:val="24"/>
          <w:szCs w:val="24"/>
        </w:rPr>
      </w:pPr>
      <w:r>
        <w:rPr>
          <w:rFonts w:ascii="Times New Roman" w:hAnsi="Times New Roman" w:eastAsia="Times New Roman"/>
          <w:sz w:val="24"/>
          <w:szCs w:val="24"/>
        </w:rPr>
        <w:t>LOTES: XXXX</w:t>
      </w:r>
    </w:p>
    <w:p w14:paraId="1D9DFCA3">
      <w:pPr>
        <w:spacing w:line="240" w:lineRule="auto"/>
        <w:rPr>
          <w:rFonts w:ascii="Times New Roman" w:hAnsi="Times New Roman" w:eastAsia="Times New Roman"/>
          <w:sz w:val="24"/>
          <w:szCs w:val="24"/>
        </w:rPr>
      </w:pPr>
    </w:p>
    <w:tbl>
      <w:tblPr>
        <w:tblStyle w:val="87"/>
        <w:tblW w:w="8494" w:type="dxa"/>
        <w:tblInd w:w="108" w:type="dxa"/>
        <w:tblLayout w:type="fixed"/>
        <w:tblCellMar>
          <w:top w:w="15" w:type="dxa"/>
          <w:left w:w="15" w:type="dxa"/>
          <w:bottom w:w="15" w:type="dxa"/>
          <w:right w:w="15" w:type="dxa"/>
        </w:tblCellMar>
      </w:tblPr>
      <w:tblGrid>
        <w:gridCol w:w="1283"/>
        <w:gridCol w:w="1173"/>
        <w:gridCol w:w="1005"/>
        <w:gridCol w:w="1317"/>
        <w:gridCol w:w="1322"/>
        <w:gridCol w:w="1294"/>
        <w:gridCol w:w="1100"/>
      </w:tblGrid>
      <w:tr w14:paraId="05EB4EF3">
        <w:tblPrEx>
          <w:tblCellMar>
            <w:top w:w="15" w:type="dxa"/>
            <w:left w:w="15" w:type="dxa"/>
            <w:bottom w:w="15" w:type="dxa"/>
            <w:right w:w="15" w:type="dxa"/>
          </w:tblCellMar>
        </w:tblPrEx>
        <w:tc>
          <w:tcPr>
            <w:tcW w:w="1283"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14:paraId="7F36B595">
            <w:pPr>
              <w:spacing w:line="240" w:lineRule="auto"/>
              <w:rPr>
                <w:rFonts w:ascii="Times New Roman" w:hAnsi="Times New Roman" w:eastAsia="Times New Roman"/>
                <w:sz w:val="24"/>
                <w:szCs w:val="24"/>
              </w:rPr>
            </w:pPr>
          </w:p>
          <w:p w14:paraId="786FC481">
            <w:pPr>
              <w:spacing w:before="57" w:line="240" w:lineRule="auto"/>
              <w:jc w:val="center"/>
              <w:rPr>
                <w:rFonts w:ascii="Times New Roman" w:hAnsi="Times New Roman" w:eastAsia="Times New Roman"/>
                <w:sz w:val="24"/>
                <w:szCs w:val="24"/>
              </w:rPr>
            </w:pPr>
            <w:r>
              <w:rPr>
                <w:b/>
                <w:color w:val="000000"/>
                <w:sz w:val="20"/>
                <w:szCs w:val="20"/>
              </w:rPr>
              <w:t>ITEM/LOTE</w:t>
            </w:r>
          </w:p>
        </w:tc>
        <w:tc>
          <w:tcPr>
            <w:tcW w:w="1173" w:type="dxa"/>
            <w:tcBorders>
              <w:top w:val="single" w:color="000000" w:sz="4" w:space="0"/>
              <w:left w:val="single" w:color="000000" w:sz="4" w:space="0"/>
              <w:bottom w:val="single" w:color="000000" w:sz="4" w:space="0"/>
              <w:right w:val="single" w:color="000000" w:sz="4" w:space="0"/>
            </w:tcBorders>
            <w:shd w:val="clear" w:color="auto" w:fill="B4C6E7"/>
            <w:tcMar>
              <w:top w:w="0" w:type="dxa"/>
              <w:left w:w="108" w:type="dxa"/>
              <w:bottom w:w="0" w:type="dxa"/>
              <w:right w:w="108" w:type="dxa"/>
            </w:tcMar>
          </w:tcPr>
          <w:p w14:paraId="1CE8B6A3">
            <w:pPr>
              <w:spacing w:line="240" w:lineRule="auto"/>
              <w:rPr>
                <w:rFonts w:ascii="Times New Roman" w:hAnsi="Times New Roman" w:eastAsia="Times New Roman"/>
                <w:sz w:val="24"/>
                <w:szCs w:val="24"/>
              </w:rPr>
            </w:pPr>
          </w:p>
          <w:p w14:paraId="1A0269CC">
            <w:pPr>
              <w:spacing w:before="57" w:line="240" w:lineRule="auto"/>
              <w:jc w:val="center"/>
              <w:rPr>
                <w:rFonts w:ascii="Times New Roman" w:hAnsi="Times New Roman" w:eastAsia="Times New Roman"/>
                <w:sz w:val="24"/>
                <w:szCs w:val="24"/>
              </w:rPr>
            </w:pPr>
            <w:r>
              <w:rPr>
                <w:b/>
                <w:color w:val="000000"/>
                <w:sz w:val="20"/>
                <w:szCs w:val="20"/>
              </w:rPr>
              <w:t>Descrição</w:t>
            </w:r>
          </w:p>
        </w:tc>
        <w:tc>
          <w:tcPr>
            <w:tcW w:w="1005" w:type="dxa"/>
            <w:tcBorders>
              <w:top w:val="single" w:color="000000" w:sz="4" w:space="0"/>
              <w:left w:val="single" w:color="000000" w:sz="4" w:space="0"/>
              <w:bottom w:val="single" w:color="000000" w:sz="4" w:space="0"/>
              <w:right w:val="single" w:color="000000" w:sz="4" w:space="0"/>
            </w:tcBorders>
            <w:shd w:val="clear" w:color="auto" w:fill="B4C6E7"/>
            <w:tcMar>
              <w:top w:w="0" w:type="dxa"/>
              <w:left w:w="108" w:type="dxa"/>
              <w:bottom w:w="0" w:type="dxa"/>
              <w:right w:w="108" w:type="dxa"/>
            </w:tcMar>
          </w:tcPr>
          <w:p w14:paraId="097E9D8B">
            <w:pPr>
              <w:spacing w:line="240" w:lineRule="auto"/>
              <w:rPr>
                <w:rFonts w:ascii="Times New Roman" w:hAnsi="Times New Roman" w:eastAsia="Times New Roman"/>
                <w:sz w:val="24"/>
                <w:szCs w:val="24"/>
              </w:rPr>
            </w:pPr>
          </w:p>
          <w:p w14:paraId="7C4DEBC9">
            <w:pPr>
              <w:spacing w:before="57" w:line="240" w:lineRule="auto"/>
              <w:jc w:val="center"/>
              <w:rPr>
                <w:rFonts w:ascii="Times New Roman" w:hAnsi="Times New Roman" w:eastAsia="Times New Roman"/>
                <w:sz w:val="24"/>
                <w:szCs w:val="24"/>
              </w:rPr>
            </w:pPr>
            <w:r>
              <w:rPr>
                <w:b/>
                <w:color w:val="000000"/>
                <w:sz w:val="20"/>
                <w:szCs w:val="20"/>
              </w:rPr>
              <w:t>Unidade</w:t>
            </w:r>
          </w:p>
        </w:tc>
        <w:tc>
          <w:tcPr>
            <w:tcW w:w="1317" w:type="dxa"/>
            <w:tcBorders>
              <w:top w:val="single" w:color="000000" w:sz="4" w:space="0"/>
              <w:left w:val="single" w:color="000000" w:sz="4" w:space="0"/>
              <w:bottom w:val="single" w:color="000000" w:sz="4" w:space="0"/>
              <w:right w:val="single" w:color="000000" w:sz="4" w:space="0"/>
            </w:tcBorders>
            <w:shd w:val="clear" w:color="auto" w:fill="B4C6E7"/>
            <w:tcMar>
              <w:top w:w="0" w:type="dxa"/>
              <w:left w:w="108" w:type="dxa"/>
              <w:bottom w:w="0" w:type="dxa"/>
              <w:right w:w="108" w:type="dxa"/>
            </w:tcMar>
          </w:tcPr>
          <w:p w14:paraId="459F1FEC">
            <w:pPr>
              <w:spacing w:line="240" w:lineRule="auto"/>
              <w:rPr>
                <w:rFonts w:ascii="Times New Roman" w:hAnsi="Times New Roman" w:eastAsia="Times New Roman"/>
                <w:sz w:val="24"/>
                <w:szCs w:val="24"/>
              </w:rPr>
            </w:pPr>
          </w:p>
          <w:p w14:paraId="16B63153">
            <w:pPr>
              <w:spacing w:before="57" w:line="240" w:lineRule="auto"/>
              <w:jc w:val="center"/>
              <w:rPr>
                <w:rFonts w:ascii="Times New Roman" w:hAnsi="Times New Roman" w:eastAsia="Times New Roman"/>
                <w:sz w:val="24"/>
                <w:szCs w:val="24"/>
              </w:rPr>
            </w:pPr>
            <w:r>
              <w:rPr>
                <w:b/>
                <w:color w:val="000000"/>
                <w:sz w:val="20"/>
                <w:szCs w:val="20"/>
              </w:rPr>
              <w:t>Quantidade</w:t>
            </w:r>
          </w:p>
        </w:tc>
        <w:tc>
          <w:tcPr>
            <w:tcW w:w="1322" w:type="dxa"/>
            <w:tcBorders>
              <w:top w:val="single" w:color="000000" w:sz="4" w:space="0"/>
              <w:left w:val="single" w:color="000000" w:sz="4" w:space="0"/>
              <w:bottom w:val="single" w:color="000000" w:sz="4" w:space="0"/>
              <w:right w:val="single" w:color="000000" w:sz="4" w:space="0"/>
            </w:tcBorders>
            <w:shd w:val="clear" w:color="auto" w:fill="B4C6E7"/>
            <w:tcMar>
              <w:top w:w="0" w:type="dxa"/>
              <w:left w:w="108" w:type="dxa"/>
              <w:bottom w:w="0" w:type="dxa"/>
              <w:right w:w="108" w:type="dxa"/>
            </w:tcMar>
          </w:tcPr>
          <w:p w14:paraId="6107A486">
            <w:pPr>
              <w:spacing w:before="57" w:line="240" w:lineRule="auto"/>
              <w:jc w:val="center"/>
              <w:rPr>
                <w:rFonts w:ascii="Times New Roman" w:hAnsi="Times New Roman" w:eastAsia="Times New Roman"/>
                <w:sz w:val="24"/>
                <w:szCs w:val="24"/>
              </w:rPr>
            </w:pPr>
            <w:r>
              <w:rPr>
                <w:b/>
                <w:color w:val="000000"/>
                <w:sz w:val="20"/>
                <w:szCs w:val="20"/>
              </w:rPr>
              <w:t>Preço unitário registrado</w:t>
            </w:r>
          </w:p>
        </w:tc>
        <w:tc>
          <w:tcPr>
            <w:tcW w:w="1294" w:type="dxa"/>
            <w:tcBorders>
              <w:top w:val="single" w:color="000000" w:sz="4" w:space="0"/>
              <w:left w:val="single" w:color="000000" w:sz="4" w:space="0"/>
              <w:bottom w:val="single" w:color="000000" w:sz="4" w:space="0"/>
              <w:right w:val="single" w:color="000000" w:sz="4" w:space="0"/>
            </w:tcBorders>
            <w:shd w:val="clear" w:color="auto" w:fill="B4C6E7"/>
            <w:tcMar>
              <w:top w:w="0" w:type="dxa"/>
              <w:left w:w="108" w:type="dxa"/>
              <w:bottom w:w="0" w:type="dxa"/>
              <w:right w:w="108" w:type="dxa"/>
            </w:tcMar>
          </w:tcPr>
          <w:p w14:paraId="31846936">
            <w:pPr>
              <w:spacing w:before="57" w:line="240" w:lineRule="auto"/>
              <w:jc w:val="center"/>
              <w:rPr>
                <w:rFonts w:ascii="Times New Roman" w:hAnsi="Times New Roman" w:eastAsia="Times New Roman"/>
                <w:sz w:val="24"/>
                <w:szCs w:val="24"/>
              </w:rPr>
            </w:pPr>
            <w:r>
              <w:rPr>
                <w:b/>
                <w:color w:val="000000"/>
                <w:sz w:val="20"/>
                <w:szCs w:val="20"/>
              </w:rPr>
              <w:t>Preço total registrado</w:t>
            </w:r>
          </w:p>
          <w:p w14:paraId="45368528">
            <w:pPr>
              <w:spacing w:line="240" w:lineRule="auto"/>
              <w:rPr>
                <w:rFonts w:ascii="Times New Roman" w:hAnsi="Times New Roman" w:eastAsia="Times New Roman"/>
                <w:sz w:val="24"/>
                <w:szCs w:val="24"/>
              </w:rPr>
            </w:pPr>
          </w:p>
        </w:tc>
        <w:tc>
          <w:tcPr>
            <w:tcW w:w="1100" w:type="dxa"/>
            <w:tcBorders>
              <w:top w:val="single" w:color="000000" w:sz="4" w:space="0"/>
              <w:left w:val="single" w:color="000000" w:sz="4" w:space="0"/>
              <w:bottom w:val="single" w:color="000000" w:sz="4" w:space="0"/>
              <w:right w:val="single" w:color="000000" w:sz="4" w:space="0"/>
            </w:tcBorders>
            <w:shd w:val="clear" w:color="auto" w:fill="B4C6E7"/>
            <w:tcMar>
              <w:top w:w="0" w:type="dxa"/>
              <w:left w:w="108" w:type="dxa"/>
              <w:bottom w:w="0" w:type="dxa"/>
              <w:right w:w="108" w:type="dxa"/>
            </w:tcMar>
          </w:tcPr>
          <w:p w14:paraId="5984F15D">
            <w:pPr>
              <w:spacing w:line="240" w:lineRule="auto"/>
              <w:rPr>
                <w:rFonts w:ascii="Times New Roman" w:hAnsi="Times New Roman" w:eastAsia="Times New Roman"/>
                <w:sz w:val="24"/>
                <w:szCs w:val="24"/>
              </w:rPr>
            </w:pPr>
          </w:p>
          <w:p w14:paraId="3B42537E">
            <w:pPr>
              <w:spacing w:before="57" w:line="240" w:lineRule="auto"/>
              <w:jc w:val="center"/>
              <w:rPr>
                <w:rFonts w:ascii="Times New Roman" w:hAnsi="Times New Roman" w:eastAsia="Times New Roman"/>
                <w:sz w:val="24"/>
                <w:szCs w:val="24"/>
              </w:rPr>
            </w:pPr>
            <w:r>
              <w:rPr>
                <w:b/>
                <w:color w:val="000000"/>
                <w:sz w:val="20"/>
                <w:szCs w:val="20"/>
              </w:rPr>
              <w:t>Validade da Ata</w:t>
            </w:r>
          </w:p>
        </w:tc>
      </w:tr>
      <w:tr w14:paraId="313A4852">
        <w:tblPrEx>
          <w:tblCellMar>
            <w:top w:w="15" w:type="dxa"/>
            <w:left w:w="15" w:type="dxa"/>
            <w:bottom w:w="15" w:type="dxa"/>
            <w:right w:w="15" w:type="dxa"/>
          </w:tblCellMar>
        </w:tblPrEx>
        <w:tc>
          <w:tcPr>
            <w:tcW w:w="12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270463D">
            <w:pPr>
              <w:spacing w:before="57" w:line="240" w:lineRule="auto"/>
              <w:jc w:val="center"/>
              <w:rPr>
                <w:rFonts w:ascii="Times New Roman" w:hAnsi="Times New Roman" w:eastAsia="Times New Roman"/>
                <w:sz w:val="24"/>
                <w:szCs w:val="24"/>
              </w:rPr>
            </w:pPr>
            <w:r>
              <w:rPr>
                <w:color w:val="000000"/>
                <w:sz w:val="20"/>
                <w:szCs w:val="20"/>
              </w:rPr>
              <w:t>01</w:t>
            </w:r>
          </w:p>
        </w:tc>
        <w:tc>
          <w:tcPr>
            <w:tcW w:w="117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76B243">
            <w:pPr>
              <w:spacing w:line="240" w:lineRule="auto"/>
              <w:rPr>
                <w:rFonts w:ascii="Times New Roman" w:hAnsi="Times New Roman" w:eastAsia="Times New Roman"/>
                <w:sz w:val="24"/>
                <w:szCs w:val="24"/>
              </w:rPr>
            </w:pPr>
          </w:p>
        </w:tc>
        <w:tc>
          <w:tcPr>
            <w:tcW w:w="10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9249B57">
            <w:pPr>
              <w:spacing w:line="240" w:lineRule="auto"/>
              <w:rPr>
                <w:rFonts w:ascii="Times New Roman" w:hAnsi="Times New Roman" w:eastAsia="Times New Roman"/>
                <w:sz w:val="24"/>
                <w:szCs w:val="24"/>
              </w:rPr>
            </w:pPr>
          </w:p>
        </w:tc>
        <w:tc>
          <w:tcPr>
            <w:tcW w:w="13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ADB7A5">
            <w:pPr>
              <w:spacing w:line="240" w:lineRule="auto"/>
              <w:rPr>
                <w:rFonts w:ascii="Times New Roman" w:hAnsi="Times New Roman" w:eastAsia="Times New Roman"/>
                <w:sz w:val="24"/>
                <w:szCs w:val="24"/>
              </w:rPr>
            </w:pPr>
          </w:p>
        </w:tc>
        <w:tc>
          <w:tcPr>
            <w:tcW w:w="13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A60081">
            <w:pPr>
              <w:spacing w:line="240" w:lineRule="auto"/>
              <w:rPr>
                <w:rFonts w:ascii="Times New Roman" w:hAnsi="Times New Roman" w:eastAsia="Times New Roman"/>
                <w:sz w:val="24"/>
                <w:szCs w:val="24"/>
              </w:rPr>
            </w:pPr>
          </w:p>
        </w:tc>
        <w:tc>
          <w:tcPr>
            <w:tcW w:w="12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DDF7DD0">
            <w:pPr>
              <w:spacing w:line="240" w:lineRule="auto"/>
              <w:rPr>
                <w:rFonts w:ascii="Times New Roman" w:hAnsi="Times New Roman" w:eastAsia="Times New Roman"/>
                <w:sz w:val="24"/>
                <w:szCs w:val="24"/>
              </w:rPr>
            </w:pPr>
          </w:p>
        </w:tc>
        <w:tc>
          <w:tcPr>
            <w:tcW w:w="11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7C4725">
            <w:pPr>
              <w:spacing w:line="240" w:lineRule="auto"/>
              <w:rPr>
                <w:rFonts w:ascii="Times New Roman" w:hAnsi="Times New Roman" w:eastAsia="Times New Roman"/>
                <w:sz w:val="24"/>
                <w:szCs w:val="24"/>
              </w:rPr>
            </w:pPr>
          </w:p>
        </w:tc>
      </w:tr>
    </w:tbl>
    <w:p w14:paraId="594DB2C1">
      <w:pPr>
        <w:spacing w:line="240" w:lineRule="auto"/>
        <w:rPr>
          <w:rFonts w:ascii="Times New Roman" w:hAnsi="Times New Roman" w:eastAsia="Times New Roman"/>
          <w:sz w:val="24"/>
          <w:szCs w:val="24"/>
        </w:rPr>
      </w:pPr>
    </w:p>
    <w:p w14:paraId="39B6B22E">
      <w:pPr>
        <w:spacing w:after="240" w:line="240" w:lineRule="auto"/>
        <w:rPr>
          <w:rFonts w:ascii="Times New Roman" w:hAnsi="Times New Roman" w:eastAsia="Times New Roman"/>
          <w:sz w:val="24"/>
          <w:szCs w:val="24"/>
        </w:rPr>
      </w:pPr>
    </w:p>
    <w:p w14:paraId="6A08690A">
      <w:pPr>
        <w:spacing w:line="240" w:lineRule="auto"/>
        <w:jc w:val="both"/>
        <w:rPr>
          <w:rFonts w:ascii="Times New Roman" w:hAnsi="Times New Roman" w:eastAsia="Times New Roman"/>
          <w:sz w:val="24"/>
          <w:szCs w:val="24"/>
        </w:rPr>
      </w:pPr>
      <w:r>
        <w:rPr>
          <w:color w:val="000000"/>
          <w:highlight w:val="yellow"/>
        </w:rPr>
        <w:t>(*Listar todos os itens/lotes)</w:t>
      </w:r>
    </w:p>
    <w:p w14:paraId="17CE4904">
      <w:pPr>
        <w:pStyle w:val="38"/>
        <w:numPr>
          <w:ilvl w:val="0"/>
          <w:numId w:val="3"/>
        </w:numPr>
        <w:spacing w:before="360" w:after="360" w:line="240" w:lineRule="auto"/>
        <w:jc w:val="both"/>
        <w:rPr>
          <w:b/>
          <w:color w:val="000000"/>
          <w:sz w:val="24"/>
          <w:szCs w:val="24"/>
        </w:rPr>
      </w:pPr>
      <w:r>
        <w:rPr>
          <w:b/>
          <w:color w:val="000000"/>
          <w:sz w:val="24"/>
          <w:szCs w:val="24"/>
        </w:rPr>
        <w:t>CLÁUSULA TERCEIRA – DA VIGÊNCIA DA ATA DE REGISTRO DE PREÇOS</w:t>
      </w:r>
    </w:p>
    <w:p w14:paraId="2BC5A3C8">
      <w:pPr>
        <w:pStyle w:val="38"/>
        <w:spacing w:before="360" w:after="360" w:line="240" w:lineRule="auto"/>
        <w:ind w:left="360"/>
        <w:jc w:val="both"/>
        <w:rPr>
          <w:b/>
          <w:color w:val="000000"/>
          <w:sz w:val="24"/>
          <w:szCs w:val="24"/>
        </w:rPr>
      </w:pPr>
    </w:p>
    <w:p w14:paraId="185A53CD">
      <w:pPr>
        <w:pStyle w:val="38"/>
        <w:numPr>
          <w:ilvl w:val="1"/>
          <w:numId w:val="6"/>
        </w:numPr>
        <w:ind w:left="0" w:firstLine="0"/>
        <w:jc w:val="both"/>
        <w:rPr>
          <w:color w:val="000000"/>
        </w:rPr>
      </w:pPr>
      <w:r>
        <w:rPr>
          <w:color w:val="000000"/>
        </w:rPr>
        <w:t xml:space="preserve"> A presente Ata de Registro de Preços terá a vigência de 1 (um) ano, podendo este prazo ser prorrogado, por igual período, desde que demonstrada a vantajosidade.</w:t>
      </w:r>
    </w:p>
    <w:p w14:paraId="1DA5A2CE">
      <w:pPr>
        <w:pStyle w:val="38"/>
        <w:numPr>
          <w:ilvl w:val="1"/>
          <w:numId w:val="6"/>
        </w:numPr>
        <w:ind w:left="0" w:firstLine="0"/>
        <w:jc w:val="both"/>
        <w:rPr>
          <w:color w:val="000000"/>
        </w:rPr>
      </w:pPr>
      <w:r>
        <w:rPr>
          <w:color w:val="000000"/>
        </w:rPr>
        <w:t>Quando existir prorrogação da vigência da ata, os quantitativos registrados poderão ser renovados até o limite do quantitativo original, acrescido de eventual aditivo quantitativo realizado no primeiro ano de vigência da ata</w:t>
      </w:r>
      <w:r>
        <w:t xml:space="preserve">, </w:t>
      </w:r>
      <w:r>
        <w:rPr>
          <w:sz w:val="21"/>
          <w:szCs w:val="21"/>
        </w:rPr>
        <w:t>sem que ocorra a acumulação de itens entre os períodos.</w:t>
      </w:r>
    </w:p>
    <w:p w14:paraId="5BB8496D">
      <w:pPr>
        <w:pStyle w:val="38"/>
        <w:numPr>
          <w:ilvl w:val="1"/>
          <w:numId w:val="6"/>
        </w:numPr>
        <w:ind w:left="0" w:firstLine="0"/>
        <w:jc w:val="both"/>
        <w:rPr>
          <w:color w:val="000000"/>
        </w:rPr>
      </w:pPr>
      <w:r>
        <w:rPr>
          <w:color w:val="000000"/>
        </w:rPr>
        <w:t>O ato de prorrogação da vigência da ata deverá indicar expressamente o prazo de prorrogação e o quantitativo renovado.</w:t>
      </w:r>
    </w:p>
    <w:p w14:paraId="699B2842">
      <w:pPr>
        <w:pStyle w:val="38"/>
        <w:ind w:left="0"/>
        <w:jc w:val="both"/>
        <w:rPr>
          <w:color w:val="000000"/>
        </w:rPr>
      </w:pPr>
    </w:p>
    <w:p w14:paraId="07B7E9DF">
      <w:pPr>
        <w:pStyle w:val="38"/>
        <w:numPr>
          <w:ilvl w:val="0"/>
          <w:numId w:val="3"/>
        </w:numPr>
        <w:spacing w:before="360" w:after="360" w:line="240" w:lineRule="auto"/>
        <w:ind w:left="0" w:firstLine="0"/>
        <w:jc w:val="both"/>
        <w:rPr>
          <w:b/>
          <w:color w:val="000000"/>
          <w:sz w:val="24"/>
          <w:szCs w:val="24"/>
        </w:rPr>
      </w:pPr>
      <w:r>
        <w:rPr>
          <w:b/>
          <w:color w:val="000000"/>
          <w:sz w:val="24"/>
          <w:szCs w:val="24"/>
        </w:rPr>
        <w:t>CLÁUSULA QUARTA – DO REAJUSTE, DA REPACTUAÇÃO E DA REVISÃO DOS PREÇOS REGISTRADOS. </w:t>
      </w:r>
    </w:p>
    <w:p w14:paraId="2B1A0EE9">
      <w:pPr>
        <w:pStyle w:val="32"/>
        <w:numPr>
          <w:ilvl w:val="1"/>
          <w:numId w:val="7"/>
        </w:numPr>
        <w:tabs>
          <w:tab w:val="left" w:pos="426"/>
        </w:tabs>
        <w:spacing w:beforeLines="0" w:afterLines="0" w:line="240" w:lineRule="auto"/>
      </w:pPr>
      <w:r>
        <w:rPr>
          <w:b/>
          <w:bCs/>
        </w:rPr>
        <w:t xml:space="preserve">REVISÃO DOS PREÇOS </w:t>
      </w:r>
    </w:p>
    <w:p w14:paraId="0FFF1801">
      <w:pPr>
        <w:pStyle w:val="32"/>
        <w:tabs>
          <w:tab w:val="left" w:pos="426"/>
          <w:tab w:val="clear" w:pos="1440"/>
        </w:tabs>
        <w:spacing w:beforeLines="0" w:afterLines="0" w:line="240" w:lineRule="auto"/>
        <w:ind w:left="720" w:firstLine="0"/>
      </w:pPr>
    </w:p>
    <w:p w14:paraId="214E3223">
      <w:pPr>
        <w:pStyle w:val="38"/>
        <w:numPr>
          <w:ilvl w:val="2"/>
          <w:numId w:val="7"/>
        </w:numPr>
        <w:ind w:left="0" w:firstLine="0"/>
        <w:jc w:val="both"/>
        <w:rPr>
          <w:color w:val="000000"/>
        </w:rPr>
      </w:pPr>
      <w:r>
        <w:rPr>
          <w:color w:val="000000"/>
        </w:rPr>
        <w:t xml:space="preserve">Durante a execução, sobrevindo força maior, caso fortuito ou fato do príncipe ou, ainda, fatos imprevisíveis ou previsíveis de consequências incalculáveis, que inviabilizem a execução do contrato tal como pactuado, será assegurada a REVISÃO DOS PREÇOS, conforme descrito no art. 124, II, “d” da Lei n.º 14.133/2023, cabendo à empresa protocolar sua solicitação. </w:t>
      </w:r>
    </w:p>
    <w:p w14:paraId="06FD4A01">
      <w:pPr>
        <w:pStyle w:val="38"/>
        <w:numPr>
          <w:ilvl w:val="2"/>
          <w:numId w:val="7"/>
        </w:numPr>
        <w:ind w:left="0" w:firstLine="0"/>
        <w:jc w:val="both"/>
        <w:rPr>
          <w:color w:val="000000"/>
        </w:rPr>
      </w:pPr>
      <w:r>
        <w:t>O pedido de REVISÃO deverá conter as justificativas e estar acompanhado de documentação idônea a demonstrar a variação dos preços e demonstração dos motivos que embasaram o referido pedido;</w:t>
      </w:r>
    </w:p>
    <w:p w14:paraId="676C951D">
      <w:pPr>
        <w:pStyle w:val="38"/>
        <w:numPr>
          <w:ilvl w:val="2"/>
          <w:numId w:val="7"/>
        </w:numPr>
        <w:ind w:left="0" w:firstLine="0"/>
        <w:jc w:val="both"/>
        <w:rPr>
          <w:color w:val="000000"/>
        </w:rPr>
      </w:pPr>
      <w:r>
        <w:t>Poderão ser apresentados os seguintes documentos para tal comprovação:</w:t>
      </w:r>
    </w:p>
    <w:p w14:paraId="4A97E0A4">
      <w:pPr>
        <w:pStyle w:val="38"/>
        <w:numPr>
          <w:ilvl w:val="2"/>
          <w:numId w:val="7"/>
        </w:numPr>
        <w:ind w:left="0" w:firstLine="0"/>
        <w:jc w:val="both"/>
        <w:rPr>
          <w:color w:val="000000"/>
        </w:rPr>
      </w:pPr>
      <w:r>
        <w:t>Notas Fiscais próximas à data da apresentação da proposta de preço - para comprovação do custo do produto no momento da formulação da proposta – e Notas Fiscais contemporâneas ao pedido de revisão - para comprovação da variação no custo do produto;</w:t>
      </w:r>
    </w:p>
    <w:p w14:paraId="6E6994FC">
      <w:pPr>
        <w:pStyle w:val="38"/>
        <w:numPr>
          <w:ilvl w:val="2"/>
          <w:numId w:val="7"/>
        </w:numPr>
        <w:ind w:left="0" w:firstLine="0"/>
        <w:jc w:val="both"/>
        <w:rPr>
          <w:color w:val="000000"/>
        </w:rPr>
      </w:pPr>
      <w:r>
        <w:t>Notas Fiscais de venda a outras pessoas jurídicas de direito público ou privado, utilizando-se o mesmo critério citado no item anterior;</w:t>
      </w:r>
    </w:p>
    <w:p w14:paraId="27E5F5F8">
      <w:pPr>
        <w:pStyle w:val="38"/>
        <w:numPr>
          <w:ilvl w:val="2"/>
          <w:numId w:val="7"/>
        </w:numPr>
        <w:ind w:left="0" w:firstLine="0"/>
        <w:jc w:val="both"/>
        <w:rPr>
          <w:color w:val="000000"/>
        </w:rPr>
      </w:pPr>
      <w:r>
        <w:t>Orçamentos do fabricante ou fornecedor do produto, desde que devidamente identificados, constando a logo da empresa, carimbo do CNPJ e assinatura do responsável/representante legal da empresa. Caso se trate de MEI, ME/EPP, o Comprovante de Inscrição e Situação cadastral deverá ser anexado ao orçamento;</w:t>
      </w:r>
    </w:p>
    <w:p w14:paraId="2F557EE6">
      <w:pPr>
        <w:pStyle w:val="38"/>
        <w:numPr>
          <w:ilvl w:val="2"/>
          <w:numId w:val="7"/>
        </w:numPr>
        <w:ind w:left="0" w:firstLine="0"/>
        <w:jc w:val="both"/>
        <w:rPr>
          <w:color w:val="000000"/>
        </w:rPr>
      </w:pPr>
      <w:r>
        <w:t>Poderão, ainda, ser apresentadas comprovação de variação de preços com base nos preços praticados por outros órgãos públicos, consultados através de:</w:t>
      </w:r>
    </w:p>
    <w:p w14:paraId="1FD88EF2">
      <w:pPr>
        <w:pStyle w:val="38"/>
        <w:numPr>
          <w:ilvl w:val="2"/>
          <w:numId w:val="7"/>
        </w:numPr>
        <w:ind w:left="0" w:firstLine="0"/>
        <w:jc w:val="both"/>
        <w:rPr>
          <w:color w:val="000000"/>
        </w:rPr>
      </w:pPr>
      <w:r>
        <w:t xml:space="preserve">Site do Tribunal de Contas do Estado da Bahia. </w:t>
      </w:r>
    </w:p>
    <w:p w14:paraId="69DBBAE1">
      <w:pPr>
        <w:pStyle w:val="38"/>
        <w:numPr>
          <w:ilvl w:val="2"/>
          <w:numId w:val="7"/>
        </w:numPr>
        <w:ind w:left="0" w:firstLine="0"/>
        <w:jc w:val="both"/>
        <w:rPr>
          <w:color w:val="000000"/>
        </w:rPr>
      </w:pPr>
      <w:r>
        <w:t xml:space="preserve">Compras Net, campo Painel de Preços </w:t>
      </w:r>
      <w:r>
        <w:fldChar w:fldCharType="begin"/>
      </w:r>
      <w:r>
        <w:instrText xml:space="preserve"> HYPERLINK "https://www.gov.br/compras/pt-br/" </w:instrText>
      </w:r>
      <w:r>
        <w:fldChar w:fldCharType="separate"/>
      </w:r>
      <w:r>
        <w:t>https://www.gov.br/compras/pt-br/</w:t>
      </w:r>
      <w:r>
        <w:fldChar w:fldCharType="end"/>
      </w:r>
      <w:r>
        <w:t>;</w:t>
      </w:r>
    </w:p>
    <w:p w14:paraId="7CFE16B5">
      <w:pPr>
        <w:pStyle w:val="38"/>
        <w:numPr>
          <w:ilvl w:val="2"/>
          <w:numId w:val="7"/>
        </w:numPr>
        <w:ind w:left="0" w:firstLine="0"/>
        <w:jc w:val="both"/>
        <w:rPr>
          <w:color w:val="000000"/>
        </w:rPr>
      </w:pPr>
      <w:r>
        <w:t xml:space="preserve">PNCP, portal Nacional de Contratações Publicas, </w:t>
      </w:r>
      <w:r>
        <w:fldChar w:fldCharType="begin"/>
      </w:r>
      <w:r>
        <w:instrText xml:space="preserve"> HYPERLINK "https://pncp.gov.br/app/editais?q=&amp;status=recebendo_proposta&amp;pagina=1" </w:instrText>
      </w:r>
      <w:r>
        <w:fldChar w:fldCharType="separate"/>
      </w:r>
      <w:r>
        <w:rPr>
          <w:rStyle w:val="16"/>
        </w:rPr>
        <w:t>https://pncp.gov.br/app/editais?q=&amp;status=recebendo_proposta&amp;pagina=1</w:t>
      </w:r>
      <w:r>
        <w:rPr>
          <w:rStyle w:val="16"/>
        </w:rPr>
        <w:fldChar w:fldCharType="end"/>
      </w:r>
      <w:r>
        <w:t xml:space="preserve"> ;</w:t>
      </w:r>
    </w:p>
    <w:p w14:paraId="1D58A3D6">
      <w:pPr>
        <w:pStyle w:val="38"/>
        <w:numPr>
          <w:ilvl w:val="2"/>
          <w:numId w:val="7"/>
        </w:numPr>
        <w:ind w:left="0" w:firstLine="0"/>
        <w:jc w:val="both"/>
        <w:rPr>
          <w:color w:val="000000"/>
        </w:rPr>
      </w:pPr>
      <w:r>
        <w:t>Consulta de preços, via internet. Nesse caso, deverão ser apresentados, no mínimo, três orçamentos de fontes diversas.</w:t>
      </w:r>
    </w:p>
    <w:p w14:paraId="01851DC8">
      <w:pPr>
        <w:pStyle w:val="38"/>
        <w:numPr>
          <w:ilvl w:val="2"/>
          <w:numId w:val="7"/>
        </w:numPr>
        <w:ind w:left="0" w:firstLine="0"/>
        <w:jc w:val="both"/>
        <w:rPr>
          <w:color w:val="000000"/>
        </w:rPr>
      </w:pPr>
      <w:r>
        <w:t>A Secretaria interessada poderá realizar diligências visando a verificação das variações mencionadas, ainda que o pedido esteja acompanhado da documentação supramencionada.</w:t>
      </w:r>
    </w:p>
    <w:p w14:paraId="208B6F02">
      <w:pPr>
        <w:pStyle w:val="32"/>
        <w:numPr>
          <w:ilvl w:val="1"/>
          <w:numId w:val="7"/>
        </w:numPr>
        <w:spacing w:beforeLines="0" w:afterLines="0" w:line="276" w:lineRule="auto"/>
        <w:ind w:left="0" w:firstLine="0"/>
        <w:rPr>
          <w:b/>
        </w:rPr>
      </w:pPr>
      <w:r>
        <w:rPr>
          <w:b/>
        </w:rPr>
        <w:t xml:space="preserve">DO REAJUSTE </w:t>
      </w:r>
    </w:p>
    <w:p w14:paraId="517B1289">
      <w:pPr>
        <w:pStyle w:val="38"/>
        <w:numPr>
          <w:ilvl w:val="2"/>
          <w:numId w:val="7"/>
        </w:numPr>
        <w:ind w:left="0" w:firstLine="0"/>
        <w:jc w:val="both"/>
      </w:pPr>
      <w:r>
        <w:t>Os preços inicialmente contratados são fixos e irreajustáveis no prazo de um ano contado da data da assinatura da ata.</w:t>
      </w:r>
    </w:p>
    <w:p w14:paraId="36A2F532">
      <w:pPr>
        <w:pStyle w:val="38"/>
        <w:numPr>
          <w:ilvl w:val="2"/>
          <w:numId w:val="7"/>
        </w:numPr>
        <w:ind w:left="0" w:firstLine="0"/>
        <w:jc w:val="both"/>
      </w:pPr>
      <w:r>
        <w:t>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4E5D66A5">
      <w:pPr>
        <w:pStyle w:val="38"/>
        <w:numPr>
          <w:ilvl w:val="2"/>
          <w:numId w:val="7"/>
        </w:numPr>
        <w:ind w:left="0" w:firstLine="0"/>
        <w:jc w:val="both"/>
      </w:pPr>
      <w:r>
        <w:t>Nos reajustes subsequentes ao primeiro, o interregno mínimo de um ano será contado a partir dos efeitos financeiros do último reajuste.</w:t>
      </w:r>
    </w:p>
    <w:p w14:paraId="7CCE11F0">
      <w:pPr>
        <w:pStyle w:val="38"/>
        <w:numPr>
          <w:ilvl w:val="2"/>
          <w:numId w:val="7"/>
        </w:numPr>
        <w:ind w:left="0" w:firstLine="0"/>
        <w:jc w:val="both"/>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2D59442">
      <w:pPr>
        <w:pStyle w:val="38"/>
        <w:numPr>
          <w:ilvl w:val="2"/>
          <w:numId w:val="7"/>
        </w:numPr>
        <w:ind w:left="0" w:firstLine="0"/>
        <w:jc w:val="both"/>
      </w:pPr>
      <w:r>
        <w:t>Nas aferições finais, o(s) índice(s) utilizado(s) para reajuste será(ão), obrigatoriamente, o(s) definitivo(s).</w:t>
      </w:r>
    </w:p>
    <w:p w14:paraId="3EA9FE18">
      <w:pPr>
        <w:pStyle w:val="38"/>
        <w:numPr>
          <w:ilvl w:val="2"/>
          <w:numId w:val="7"/>
        </w:numPr>
        <w:ind w:left="0" w:firstLine="0"/>
        <w:jc w:val="both"/>
      </w:pPr>
      <w:r>
        <w:t>Caso o(s) índice(s) estabelecido(s) para reajustamento venha(m) a ser extinto(s) ou de qualquer forma não possa(m) mais ser utilizado(s), será(ão) adotado(s), em substituição, o(s) que vier(em) a ser determinado(s) pela legislação então em vigor.</w:t>
      </w:r>
    </w:p>
    <w:p w14:paraId="78E69E5D">
      <w:pPr>
        <w:pStyle w:val="38"/>
        <w:numPr>
          <w:ilvl w:val="2"/>
          <w:numId w:val="7"/>
        </w:numPr>
        <w:ind w:left="0" w:firstLine="0"/>
        <w:jc w:val="both"/>
      </w:pPr>
      <w:r>
        <w:t xml:space="preserve">Na ausência de previsão legal quanto ao índice substituto, as partes elegerão novo índice oficial, para reajustamento do preço do valor remanescente, por meio de termo aditivo. </w:t>
      </w:r>
    </w:p>
    <w:p w14:paraId="0DE40C0B">
      <w:pPr>
        <w:pStyle w:val="38"/>
        <w:numPr>
          <w:ilvl w:val="2"/>
          <w:numId w:val="7"/>
        </w:numPr>
        <w:ind w:left="0" w:firstLine="0"/>
        <w:jc w:val="both"/>
      </w:pPr>
      <w:r>
        <w:t>O reajuste será realizado por apostilamento ou aditivo.</w:t>
      </w:r>
    </w:p>
    <w:p w14:paraId="1CA9BB14">
      <w:pPr>
        <w:pStyle w:val="38"/>
        <w:numPr>
          <w:ilvl w:val="1"/>
          <w:numId w:val="7"/>
        </w:numPr>
        <w:ind w:left="0" w:firstLine="0"/>
        <w:jc w:val="both"/>
      </w:pPr>
      <w:r>
        <w:t>Com objetivo de manter o equilíbrio econômico-financeiro, a Administração promoverá o reajuste de preços mediante apostila. Ainda, o termo inicial será a data do orçamento estimado realizado na etapa preparatória, desde que decorrido no mínimo 1 (um) ano de referido marco temporal.</w:t>
      </w:r>
    </w:p>
    <w:p w14:paraId="06AB7A57">
      <w:pPr>
        <w:pStyle w:val="38"/>
        <w:numPr>
          <w:ilvl w:val="1"/>
          <w:numId w:val="7"/>
        </w:numPr>
        <w:ind w:left="0" w:firstLine="0"/>
        <w:jc w:val="both"/>
      </w:pPr>
      <w:r>
        <w:rPr>
          <w:color w:val="000000"/>
        </w:rPr>
        <w:t xml:space="preserve">A </w:t>
      </w:r>
      <w:r>
        <w:rPr>
          <w:b/>
          <w:color w:val="000000"/>
        </w:rPr>
        <w:t>repactuação de preços</w:t>
      </w:r>
      <w:r>
        <w:rPr>
          <w:color w:val="000000"/>
        </w:rPr>
        <w:t xml:space="preserve"> também ocorrerá mediante apostila, e terá como termo inicial no mínimo 1 (um) ano da apresentação das propostas</w:t>
      </w:r>
      <w:r>
        <w:t>.</w:t>
      </w:r>
    </w:p>
    <w:p w14:paraId="693A3738">
      <w:pPr>
        <w:jc w:val="both"/>
      </w:pPr>
      <w:r>
        <w:rPr>
          <w:b/>
          <w:color w:val="000000"/>
        </w:rPr>
        <w:t>4.3</w:t>
      </w:r>
      <w:r>
        <w:rPr>
          <w:color w:val="000000"/>
        </w:rPr>
        <w:t xml:space="preserve"> A </w:t>
      </w:r>
      <w:r>
        <w:rPr>
          <w:b/>
          <w:color w:val="000000"/>
        </w:rPr>
        <w:t xml:space="preserve">revisão de preços </w:t>
      </w:r>
      <w:r>
        <w:rPr>
          <w:color w:val="000000"/>
        </w:rPr>
        <w:t>registrados será realizada mediante solicitação do fornecedor ou da Administração, a qualquer tempo durante a vigência da ata, com objetivo de restabelecer a relação econômico-financeira entre as partes, será formalizada mediante aditivo, observando o disposto no art. 124, inciso II, alínea “d”, da Lei n° 14.133/2021</w:t>
      </w:r>
      <w:r>
        <w:t>.</w:t>
      </w:r>
    </w:p>
    <w:p w14:paraId="1EF0CB82">
      <w:pPr>
        <w:ind w:left="566"/>
        <w:jc w:val="both"/>
      </w:pPr>
      <w:r>
        <w:rPr>
          <w:b/>
        </w:rPr>
        <w:t>4.3.1</w:t>
      </w:r>
      <w:r>
        <w:t xml:space="preserve"> O pedido realizado pelo fornecedor para revisão de preços será analisado e respondido no prazo de 30 dias, e seus efeitos, via de regra, ocorrerão a partir da data do protocolo.</w:t>
      </w:r>
    </w:p>
    <w:p w14:paraId="05127FEB">
      <w:pPr>
        <w:ind w:left="566"/>
        <w:jc w:val="both"/>
      </w:pPr>
      <w:r>
        <w:rPr>
          <w:b/>
        </w:rPr>
        <w:t xml:space="preserve">4.3.2 </w:t>
      </w:r>
      <w:r>
        <w:t>A emissão de nota de empenho ou ordem de fornecimento, não configurará óbice para analisar o pedido de revisão.</w:t>
      </w:r>
    </w:p>
    <w:p w14:paraId="0ED336E5">
      <w:pPr>
        <w:ind w:left="566"/>
        <w:jc w:val="both"/>
      </w:pPr>
      <w:r>
        <w:rPr>
          <w:b/>
        </w:rPr>
        <w:t xml:space="preserve">4.3.3 </w:t>
      </w:r>
      <w:r>
        <w:t>A execução do objeto ou a extinção da ata de registro de preços, não configurará óbice para o reconhecimento do desequilíbrio econômico-financeiro, hipótese em que a revisão poderá ser concedida por meio de termo indenizatório.</w:t>
      </w:r>
    </w:p>
    <w:p w14:paraId="3EC077B8">
      <w:pPr>
        <w:jc w:val="both"/>
        <w:rPr>
          <w:rFonts w:ascii="Times New Roman" w:hAnsi="Times New Roman" w:eastAsia="Times New Roman"/>
          <w:sz w:val="24"/>
          <w:szCs w:val="24"/>
        </w:rPr>
      </w:pPr>
      <w:r>
        <w:rPr>
          <w:b/>
          <w:color w:val="000000"/>
        </w:rPr>
        <w:t>4.</w:t>
      </w:r>
      <w:r>
        <w:rPr>
          <w:b/>
        </w:rPr>
        <w:t>5</w:t>
      </w:r>
      <w:r>
        <w:rPr>
          <w:color w:val="000000"/>
        </w:rPr>
        <w:t xml:space="preserve"> As comunicações sobre atual</w:t>
      </w:r>
      <w:r>
        <w:t xml:space="preserve">ização de preços </w:t>
      </w:r>
      <w:r>
        <w:rPr>
          <w:color w:val="000000"/>
        </w:rPr>
        <w:t xml:space="preserve">ocorrerão entre o </w:t>
      </w:r>
      <w:r>
        <w:t>G</w:t>
      </w:r>
      <w:r>
        <w:rPr>
          <w:color w:val="000000"/>
        </w:rPr>
        <w:t>estor da Ata e o Preposto da empresa fornecedora, conforme os dados apresentados no preenchimento da proposta.</w:t>
      </w:r>
    </w:p>
    <w:p w14:paraId="2E815A0C">
      <w:pPr>
        <w:pStyle w:val="38"/>
        <w:numPr>
          <w:ilvl w:val="0"/>
          <w:numId w:val="3"/>
        </w:numPr>
        <w:spacing w:before="360" w:after="360" w:line="240" w:lineRule="auto"/>
        <w:jc w:val="both"/>
        <w:rPr>
          <w:b/>
          <w:color w:val="000000"/>
          <w:sz w:val="24"/>
          <w:szCs w:val="24"/>
        </w:rPr>
      </w:pPr>
      <w:r>
        <w:rPr>
          <w:b/>
          <w:color w:val="000000"/>
          <w:sz w:val="24"/>
          <w:szCs w:val="24"/>
        </w:rPr>
        <w:t>CLÁUSULA QUINTA – DO COMPROMISSO DO(S) FORNECEDOR(ES)</w:t>
      </w:r>
    </w:p>
    <w:p w14:paraId="65452DB0">
      <w:pPr>
        <w:pStyle w:val="38"/>
        <w:spacing w:before="360" w:after="360" w:line="240" w:lineRule="auto"/>
        <w:ind w:left="360"/>
        <w:jc w:val="both"/>
        <w:rPr>
          <w:b/>
          <w:color w:val="000000"/>
          <w:sz w:val="24"/>
          <w:szCs w:val="24"/>
        </w:rPr>
      </w:pPr>
    </w:p>
    <w:p w14:paraId="1426CE9C">
      <w:pPr>
        <w:pStyle w:val="38"/>
        <w:numPr>
          <w:ilvl w:val="1"/>
          <w:numId w:val="8"/>
        </w:numPr>
        <w:ind w:left="0" w:firstLine="0"/>
        <w:jc w:val="both"/>
        <w:rPr>
          <w:color w:val="000000"/>
        </w:rPr>
      </w:pPr>
      <w:r>
        <w:rPr>
          <w:color w:val="000000"/>
        </w:rPr>
        <w:t>A partir da assinatura da Ata de Registro de Preços, o(s) fornecedor(es) assume(m) o compromisso de atender, durante a vigência, os pedidos realizados e se obriga a cumprir todas as condições estabelecidas, sujeitando-se às penalidades cabíveis pelo descumprimento de quaisquer de suas cláusulas.</w:t>
      </w:r>
    </w:p>
    <w:p w14:paraId="147B1FC0">
      <w:pPr>
        <w:pStyle w:val="38"/>
        <w:ind w:left="0"/>
        <w:jc w:val="both"/>
        <w:rPr>
          <w:color w:val="000000"/>
        </w:rPr>
      </w:pPr>
    </w:p>
    <w:p w14:paraId="5E04686C">
      <w:pPr>
        <w:pStyle w:val="38"/>
        <w:numPr>
          <w:ilvl w:val="0"/>
          <w:numId w:val="3"/>
        </w:numPr>
        <w:spacing w:before="360" w:after="360" w:line="240" w:lineRule="auto"/>
        <w:jc w:val="both"/>
        <w:rPr>
          <w:b/>
          <w:color w:val="000000"/>
          <w:sz w:val="24"/>
          <w:szCs w:val="24"/>
        </w:rPr>
      </w:pPr>
      <w:r>
        <w:rPr>
          <w:b/>
          <w:color w:val="000000"/>
          <w:sz w:val="24"/>
          <w:szCs w:val="24"/>
        </w:rPr>
        <w:t>CLÁUSULA SEXTA – DO CANCELAMENTO DO REGISTRO DO LICITANTE VENCEDOR E DOS PREÇOS REGISTRADOS</w:t>
      </w:r>
    </w:p>
    <w:p w14:paraId="2B0494C1">
      <w:pPr>
        <w:pStyle w:val="38"/>
        <w:spacing w:before="360" w:after="360" w:line="240" w:lineRule="auto"/>
        <w:ind w:left="360"/>
        <w:jc w:val="both"/>
        <w:rPr>
          <w:b/>
          <w:color w:val="000000"/>
          <w:sz w:val="24"/>
          <w:szCs w:val="24"/>
        </w:rPr>
      </w:pPr>
    </w:p>
    <w:p w14:paraId="0CDCC09B">
      <w:pPr>
        <w:pStyle w:val="38"/>
        <w:numPr>
          <w:ilvl w:val="1"/>
          <w:numId w:val="9"/>
        </w:numPr>
        <w:jc w:val="both"/>
        <w:rPr>
          <w:color w:val="000000"/>
        </w:rPr>
      </w:pPr>
      <w:r>
        <w:rPr>
          <w:color w:val="000000"/>
        </w:rPr>
        <w:t>O registro do fornecedor será cancelado pelo gerenciador, quando o fornecedor:</w:t>
      </w:r>
    </w:p>
    <w:p w14:paraId="3D96DD66">
      <w:pPr>
        <w:pStyle w:val="38"/>
        <w:numPr>
          <w:ilvl w:val="2"/>
          <w:numId w:val="9"/>
        </w:numPr>
        <w:jc w:val="both"/>
        <w:rPr>
          <w:color w:val="000000"/>
        </w:rPr>
      </w:pPr>
      <w:r>
        <w:t>Descumprir as condições da ata de registro de preços;</w:t>
      </w:r>
    </w:p>
    <w:p w14:paraId="6B82FB12">
      <w:pPr>
        <w:pStyle w:val="38"/>
        <w:numPr>
          <w:ilvl w:val="2"/>
          <w:numId w:val="9"/>
        </w:numPr>
        <w:jc w:val="both"/>
        <w:rPr>
          <w:color w:val="000000"/>
        </w:rPr>
      </w:pPr>
      <w:r>
        <w:t xml:space="preserve">Não retirar a nota de empenho ou instrumento equivalente no prazo estabelecido pela Administração, sem justificativa aceitável; </w:t>
      </w:r>
    </w:p>
    <w:p w14:paraId="436A106E">
      <w:pPr>
        <w:pStyle w:val="38"/>
        <w:numPr>
          <w:ilvl w:val="2"/>
          <w:numId w:val="9"/>
        </w:numPr>
        <w:jc w:val="both"/>
        <w:rPr>
          <w:color w:val="000000"/>
        </w:rPr>
      </w:pPr>
      <w:r>
        <w:t xml:space="preserve">Não aceitar reduzir o seu preço registrado, na hipótese deste se tomar superior àqueles praticados no mercado; </w:t>
      </w:r>
    </w:p>
    <w:p w14:paraId="0EE7FFC9">
      <w:pPr>
        <w:pStyle w:val="38"/>
        <w:numPr>
          <w:ilvl w:val="2"/>
          <w:numId w:val="9"/>
        </w:numPr>
        <w:jc w:val="both"/>
        <w:rPr>
          <w:color w:val="000000"/>
        </w:rPr>
      </w:pPr>
      <w:r>
        <w:t xml:space="preserve">Sofrer sanção prevista nos incisos III ou IV do caput do art. 156 da Lei n° 14.133/2021; </w:t>
      </w:r>
    </w:p>
    <w:p w14:paraId="37A0E171">
      <w:pPr>
        <w:pStyle w:val="38"/>
        <w:numPr>
          <w:ilvl w:val="2"/>
          <w:numId w:val="9"/>
        </w:numPr>
        <w:jc w:val="both"/>
        <w:rPr>
          <w:color w:val="000000"/>
        </w:rPr>
      </w:pPr>
      <w:r>
        <w:t>Em qualquer hipótese de inexecução total ou parcial do contrato de fornecimento.</w:t>
      </w:r>
    </w:p>
    <w:p w14:paraId="0DD95CE6">
      <w:pPr>
        <w:pStyle w:val="38"/>
        <w:numPr>
          <w:ilvl w:val="2"/>
          <w:numId w:val="9"/>
        </w:numPr>
        <w:jc w:val="both"/>
        <w:rPr>
          <w:color w:val="000000"/>
        </w:rPr>
      </w:pPr>
      <w:r>
        <w:rPr>
          <w:b/>
        </w:rPr>
        <w:t>Ainda, aqueles casos estabelecidos no art. 28 do Decreto n° 3436/2024.</w:t>
      </w:r>
    </w:p>
    <w:p w14:paraId="15776B03">
      <w:pPr>
        <w:pStyle w:val="38"/>
        <w:numPr>
          <w:ilvl w:val="1"/>
          <w:numId w:val="10"/>
        </w:numPr>
        <w:ind w:left="0" w:firstLine="0"/>
        <w:jc w:val="both"/>
        <w:rPr>
          <w:color w:val="000000"/>
        </w:rPr>
      </w:pPr>
      <w:r>
        <w:rPr>
          <w:color w:val="000000"/>
        </w:rPr>
        <w:t>O cancelamento dos preços registrados poderá ser realizado pelo gerenciador, em determinada ata de registro de preços, total ou parcialmente, nas seguintes hipóteses, desde que devidamente comprovadas e justificadas:</w:t>
      </w:r>
    </w:p>
    <w:p w14:paraId="248CF80E">
      <w:pPr>
        <w:pStyle w:val="38"/>
        <w:numPr>
          <w:ilvl w:val="2"/>
          <w:numId w:val="10"/>
        </w:numPr>
        <w:pBdr>
          <w:top w:val="none" w:color="auto" w:sz="0" w:space="0"/>
          <w:left w:val="none" w:color="auto" w:sz="0" w:space="0"/>
          <w:bottom w:val="none" w:color="auto" w:sz="0" w:space="0"/>
          <w:right w:val="none" w:color="auto" w:sz="0" w:space="0"/>
          <w:between w:val="none" w:color="auto" w:sz="0" w:space="0"/>
        </w:pBdr>
        <w:spacing w:before="288" w:after="288"/>
        <w:jc w:val="both"/>
        <w:rPr>
          <w:color w:val="000000"/>
        </w:rPr>
      </w:pPr>
      <w:r>
        <w:t xml:space="preserve">Por razão de interesse público; </w:t>
      </w:r>
    </w:p>
    <w:p w14:paraId="2736BB23">
      <w:pPr>
        <w:pStyle w:val="38"/>
        <w:numPr>
          <w:ilvl w:val="2"/>
          <w:numId w:val="10"/>
        </w:numPr>
        <w:pBdr>
          <w:top w:val="none" w:color="auto" w:sz="0" w:space="0"/>
          <w:left w:val="none" w:color="auto" w:sz="0" w:space="0"/>
          <w:bottom w:val="none" w:color="auto" w:sz="0" w:space="0"/>
          <w:right w:val="none" w:color="auto" w:sz="0" w:space="0"/>
          <w:between w:val="none" w:color="auto" w:sz="0" w:space="0"/>
        </w:pBdr>
        <w:spacing w:before="288" w:after="288"/>
        <w:jc w:val="both"/>
        <w:rPr>
          <w:color w:val="000000"/>
        </w:rPr>
      </w:pPr>
      <w:r>
        <w:t xml:space="preserve"> Pelo cancelamento de todos os preços registrados; </w:t>
      </w:r>
    </w:p>
    <w:p w14:paraId="03065EF3">
      <w:pPr>
        <w:pStyle w:val="38"/>
        <w:numPr>
          <w:ilvl w:val="2"/>
          <w:numId w:val="10"/>
        </w:numPr>
        <w:pBdr>
          <w:top w:val="none" w:color="auto" w:sz="0" w:space="0"/>
          <w:left w:val="none" w:color="auto" w:sz="0" w:space="0"/>
          <w:bottom w:val="none" w:color="auto" w:sz="0" w:space="0"/>
          <w:right w:val="none" w:color="auto" w:sz="0" w:space="0"/>
          <w:between w:val="none" w:color="auto" w:sz="0" w:space="0"/>
        </w:pBdr>
        <w:spacing w:before="288" w:after="288"/>
        <w:jc w:val="both"/>
        <w:rPr>
          <w:color w:val="000000"/>
        </w:rPr>
      </w:pPr>
      <w:r>
        <w:t>A pedido do fornecedor, decorrente de caso fortuito ou força maior.</w:t>
      </w:r>
    </w:p>
    <w:p w14:paraId="78475949">
      <w:pPr>
        <w:pStyle w:val="38"/>
        <w:numPr>
          <w:ilvl w:val="1"/>
          <w:numId w:val="10"/>
        </w:numPr>
        <w:ind w:left="0" w:firstLine="0"/>
        <w:jc w:val="both"/>
        <w:rPr>
          <w:color w:val="000000"/>
        </w:rPr>
      </w:pPr>
      <w:r>
        <w:rPr>
          <w:color w:val="000000"/>
        </w:rPr>
        <w:t>Na hipótese de cancelamento do registro do licitante ou do registro de preços, o órgão ou a entidade gerenciadora poderá convocar os licitantes que compõem o cadastro de reserva, observada a ordem de classificação.</w:t>
      </w:r>
    </w:p>
    <w:p w14:paraId="27AFC8EB">
      <w:pPr>
        <w:pStyle w:val="38"/>
        <w:numPr>
          <w:ilvl w:val="1"/>
          <w:numId w:val="10"/>
        </w:numPr>
        <w:ind w:left="0" w:firstLine="0"/>
        <w:jc w:val="both"/>
        <w:rPr>
          <w:color w:val="000000"/>
        </w:rPr>
      </w:pPr>
      <w:r>
        <w:t>Nas hipóteses previstas nos subitens, a comunicação do cancelamento de preços registrados será publicada na imprensa oficial juntando-se o comprovante ao expediente que deu origem ao registro.</w:t>
      </w:r>
    </w:p>
    <w:p w14:paraId="66CC14F2">
      <w:pPr>
        <w:pStyle w:val="38"/>
        <w:numPr>
          <w:ilvl w:val="1"/>
          <w:numId w:val="10"/>
        </w:numPr>
        <w:ind w:left="0" w:firstLine="0"/>
        <w:jc w:val="both"/>
        <w:rPr>
          <w:color w:val="000000"/>
        </w:rPr>
      </w:pPr>
      <w:r>
        <w:t xml:space="preserve">O cancelamento do registro, assegurados o contraditório e a ampla defesa, será formalizado por despacho da autoridade competente. </w:t>
      </w:r>
    </w:p>
    <w:p w14:paraId="57E3919F">
      <w:pPr>
        <w:pStyle w:val="38"/>
        <w:numPr>
          <w:ilvl w:val="1"/>
          <w:numId w:val="10"/>
        </w:numPr>
        <w:ind w:left="0" w:firstLine="0"/>
        <w:jc w:val="both"/>
        <w:rPr>
          <w:color w:val="000000"/>
        </w:rPr>
      </w:pPr>
      <w:r>
        <w:t>A solicitação da detentora da ata para cancelamento do registro de preço deverá ser protocolada no setor da ADMINISTRAÇÃO, facultada a esta aplicação das sanções administrativas previstas no Edital, se não aceitar as razões do pedido, sendo assegurado ao fornecedor o contraditório e a ampla defesa.</w:t>
      </w:r>
    </w:p>
    <w:p w14:paraId="4C3F162F">
      <w:pPr>
        <w:pStyle w:val="38"/>
        <w:numPr>
          <w:ilvl w:val="1"/>
          <w:numId w:val="10"/>
        </w:numPr>
        <w:ind w:left="0" w:firstLine="0"/>
        <w:jc w:val="both"/>
        <w:rPr>
          <w:color w:val="000000"/>
        </w:rPr>
      </w:pPr>
      <w:r>
        <w:t xml:space="preserve"> Cancelada a ata em relação a uma detentora, o Órgão Gerenciador poderá emitir ordem de fornecimento àquela com classificação imediatamente subsequente.</w:t>
      </w:r>
    </w:p>
    <w:p w14:paraId="7D7DA9C8">
      <w:pPr>
        <w:pStyle w:val="38"/>
        <w:numPr>
          <w:ilvl w:val="1"/>
          <w:numId w:val="10"/>
        </w:numPr>
        <w:ind w:left="0" w:firstLine="0"/>
        <w:jc w:val="both"/>
        <w:rPr>
          <w:color w:val="000000"/>
        </w:rPr>
      </w:pPr>
      <w:r>
        <w:rPr>
          <w:color w:val="000000"/>
        </w:rPr>
        <w:t>Será assegurado o contraditório e a ampla defesa ao fornecedor do preço cancelado, no prazo de 05 dias úteis, a contar do recebimento da comunicação. </w:t>
      </w:r>
    </w:p>
    <w:p w14:paraId="075006AA">
      <w:pPr>
        <w:pStyle w:val="38"/>
        <w:numPr>
          <w:ilvl w:val="1"/>
          <w:numId w:val="10"/>
        </w:numPr>
        <w:ind w:left="0" w:firstLine="0"/>
        <w:jc w:val="both"/>
        <w:rPr>
          <w:color w:val="000000"/>
        </w:rPr>
      </w:pPr>
      <w:r>
        <w:rPr>
          <w:color w:val="000000"/>
        </w:rPr>
        <w:t xml:space="preserve">Na ocorrência de cancelamento de registro de preço para o item ou lote, a Administração poderá realizar nova </w:t>
      </w:r>
      <w:r>
        <w:t>contratação</w:t>
      </w:r>
      <w:r>
        <w:rPr>
          <w:color w:val="000000"/>
        </w:rPr>
        <w:t>, sem que caiba direito de recurso.</w:t>
      </w:r>
    </w:p>
    <w:p w14:paraId="5F802DEA">
      <w:pPr>
        <w:pStyle w:val="38"/>
        <w:numPr>
          <w:ilvl w:val="1"/>
          <w:numId w:val="10"/>
        </w:numPr>
        <w:spacing w:line="312" w:lineRule="auto"/>
        <w:jc w:val="both"/>
        <w:rPr>
          <w:color w:val="000000"/>
        </w:rPr>
      </w:pPr>
      <w:r>
        <w:rPr>
          <w:color w:val="000000"/>
        </w:rPr>
        <w:t>A presente Ata de Registro de Preços será cancelada total ou parcialmente:</w:t>
      </w:r>
    </w:p>
    <w:p w14:paraId="0B07668A">
      <w:pPr>
        <w:pStyle w:val="38"/>
        <w:numPr>
          <w:ilvl w:val="2"/>
          <w:numId w:val="10"/>
        </w:numPr>
        <w:spacing w:line="312" w:lineRule="auto"/>
        <w:ind w:hanging="11"/>
        <w:jc w:val="both"/>
        <w:rPr>
          <w:rFonts w:ascii="Times New Roman" w:hAnsi="Times New Roman" w:eastAsia="Times New Roman"/>
          <w:sz w:val="24"/>
          <w:szCs w:val="24"/>
        </w:rPr>
      </w:pPr>
      <w:r>
        <w:rPr>
          <w:color w:val="000000"/>
        </w:rPr>
        <w:t>Pelo encerramento de sua vigência;</w:t>
      </w:r>
    </w:p>
    <w:p w14:paraId="63862C31">
      <w:pPr>
        <w:pStyle w:val="38"/>
        <w:numPr>
          <w:ilvl w:val="2"/>
          <w:numId w:val="10"/>
        </w:numPr>
        <w:spacing w:line="312" w:lineRule="auto"/>
        <w:ind w:hanging="11"/>
        <w:jc w:val="both"/>
        <w:rPr>
          <w:rFonts w:ascii="Times New Roman" w:hAnsi="Times New Roman" w:eastAsia="Times New Roman"/>
          <w:sz w:val="24"/>
          <w:szCs w:val="24"/>
        </w:rPr>
      </w:pPr>
      <w:r>
        <w:rPr>
          <w:color w:val="000000"/>
        </w:rPr>
        <w:t>por fato superveniente, decorrente caso de força maior, caso fortuito ou fato do príncipe ou em decorrência de fatos imprevisíveis ou previsíveis de consequências incalculáveis, que inviabilizem a execução das obrigações previstas na ata, devidamente demonstrado;</w:t>
      </w:r>
    </w:p>
    <w:p w14:paraId="695CFB53">
      <w:pPr>
        <w:pStyle w:val="38"/>
        <w:numPr>
          <w:ilvl w:val="2"/>
          <w:numId w:val="10"/>
        </w:numPr>
        <w:spacing w:line="312" w:lineRule="auto"/>
        <w:ind w:hanging="11"/>
        <w:jc w:val="both"/>
        <w:rPr>
          <w:rFonts w:ascii="Times New Roman" w:hAnsi="Times New Roman" w:eastAsia="Times New Roman"/>
          <w:sz w:val="24"/>
          <w:szCs w:val="24"/>
        </w:rPr>
      </w:pPr>
      <w:r>
        <w:rPr>
          <w:color w:val="000000"/>
        </w:rPr>
        <w:t>pelo cancelamento de todos os preços registrados;</w:t>
      </w:r>
    </w:p>
    <w:p w14:paraId="7998C06A">
      <w:pPr>
        <w:pStyle w:val="38"/>
        <w:numPr>
          <w:ilvl w:val="2"/>
          <w:numId w:val="10"/>
        </w:numPr>
        <w:spacing w:line="312" w:lineRule="auto"/>
        <w:ind w:hanging="11"/>
        <w:jc w:val="both"/>
        <w:rPr>
          <w:rFonts w:ascii="Times New Roman" w:hAnsi="Times New Roman" w:eastAsia="Times New Roman"/>
          <w:sz w:val="24"/>
          <w:szCs w:val="24"/>
        </w:rPr>
      </w:pPr>
      <w:r>
        <w:rPr>
          <w:color w:val="000000"/>
        </w:rPr>
        <w:t>por razões de interesse público, devidamente justificado.</w:t>
      </w:r>
    </w:p>
    <w:p w14:paraId="651440A2">
      <w:pPr>
        <w:pStyle w:val="38"/>
        <w:spacing w:line="312" w:lineRule="auto"/>
        <w:jc w:val="both"/>
        <w:rPr>
          <w:rFonts w:ascii="Times New Roman" w:hAnsi="Times New Roman" w:eastAsia="Times New Roman"/>
          <w:sz w:val="24"/>
          <w:szCs w:val="24"/>
        </w:rPr>
      </w:pPr>
    </w:p>
    <w:p w14:paraId="0E140CC8">
      <w:pPr>
        <w:pStyle w:val="38"/>
        <w:numPr>
          <w:ilvl w:val="0"/>
          <w:numId w:val="3"/>
        </w:numPr>
        <w:spacing w:before="360" w:after="360" w:line="240" w:lineRule="auto"/>
        <w:jc w:val="both"/>
        <w:rPr>
          <w:b/>
          <w:color w:val="000000"/>
          <w:sz w:val="24"/>
          <w:szCs w:val="24"/>
        </w:rPr>
      </w:pPr>
      <w:r>
        <w:rPr>
          <w:b/>
          <w:color w:val="000000"/>
          <w:sz w:val="24"/>
          <w:szCs w:val="24"/>
        </w:rPr>
        <w:t>CLÁUSULA SETIMA – MODO E CONDIÇÕES PARA EXECUÇÃO DO OBJETO</w:t>
      </w:r>
    </w:p>
    <w:p w14:paraId="4957F728">
      <w:pPr>
        <w:pStyle w:val="38"/>
        <w:spacing w:before="360" w:after="360" w:line="240" w:lineRule="auto"/>
        <w:ind w:left="360"/>
        <w:jc w:val="both"/>
        <w:rPr>
          <w:b/>
          <w:color w:val="000000"/>
          <w:sz w:val="24"/>
          <w:szCs w:val="24"/>
        </w:rPr>
      </w:pPr>
    </w:p>
    <w:p w14:paraId="44B88245">
      <w:pPr>
        <w:pStyle w:val="38"/>
        <w:numPr>
          <w:ilvl w:val="1"/>
          <w:numId w:val="11"/>
        </w:numPr>
        <w:spacing w:before="120" w:after="120"/>
        <w:ind w:left="0" w:firstLine="0"/>
        <w:jc w:val="both"/>
        <w:rPr>
          <w:b/>
          <w:color w:val="000000"/>
          <w:sz w:val="24"/>
          <w:szCs w:val="24"/>
        </w:rPr>
      </w:pPr>
      <w:r>
        <w:t>Entregar os produtos e serviços em perfeitas condições, conforme especificações;</w:t>
      </w:r>
    </w:p>
    <w:p w14:paraId="6787B42A">
      <w:pPr>
        <w:pStyle w:val="38"/>
        <w:numPr>
          <w:ilvl w:val="0"/>
          <w:numId w:val="12"/>
        </w:numPr>
        <w:spacing w:before="100" w:beforeAutospacing="1" w:after="100" w:afterAutospacing="1" w:line="276" w:lineRule="auto"/>
        <w:contextualSpacing w:val="0"/>
        <w:jc w:val="both"/>
        <w:rPr>
          <w:rFonts w:eastAsia="Times New Roman" w:cs="Arial"/>
        </w:rPr>
      </w:pPr>
      <w:r>
        <w:rPr>
          <w:rFonts w:eastAsia="Times New Roman" w:cs="Arial"/>
        </w:rPr>
        <w:t>Entrega Inicial: Até10 (dez) dias corridos após assinatura do Contrato/ATA;</w:t>
      </w:r>
    </w:p>
    <w:p w14:paraId="27A2C892">
      <w:pPr>
        <w:pStyle w:val="38"/>
        <w:numPr>
          <w:ilvl w:val="0"/>
          <w:numId w:val="12"/>
        </w:numPr>
        <w:spacing w:before="100" w:beforeAutospacing="1" w:after="100" w:afterAutospacing="1" w:line="276" w:lineRule="auto"/>
        <w:contextualSpacing w:val="0"/>
        <w:jc w:val="both"/>
        <w:rPr>
          <w:rFonts w:eastAsia="Times New Roman" w:cs="Arial"/>
        </w:rPr>
      </w:pPr>
      <w:r>
        <w:rPr>
          <w:rFonts w:eastAsia="Times New Roman" w:cs="Arial"/>
        </w:rPr>
        <w:t>Entrega regulares: Até sete (sete) dias corridos após recebimento da ordem de fornecimento.</w:t>
      </w:r>
    </w:p>
    <w:p w14:paraId="7D9DEB8E">
      <w:pPr>
        <w:pStyle w:val="38"/>
        <w:numPr>
          <w:ilvl w:val="0"/>
          <w:numId w:val="12"/>
        </w:numPr>
        <w:spacing w:before="120" w:after="120"/>
        <w:jc w:val="both"/>
        <w:rPr>
          <w:b/>
          <w:color w:val="000000"/>
          <w:sz w:val="24"/>
          <w:szCs w:val="24"/>
        </w:rPr>
      </w:pPr>
      <w:r>
        <w:rPr>
          <w:rFonts w:eastAsia="Times New Roman" w:cs="Arial"/>
        </w:rPr>
        <w:t>Entregas emergências; Até 48 (quarenta e oito) horas, mediante justificativa formal da Secretaria de Saúde.</w:t>
      </w:r>
    </w:p>
    <w:p w14:paraId="6DA0CC75">
      <w:pPr>
        <w:pStyle w:val="38"/>
        <w:spacing w:before="120" w:after="120"/>
        <w:jc w:val="both"/>
        <w:rPr>
          <w:b/>
          <w:color w:val="000000"/>
          <w:sz w:val="24"/>
          <w:szCs w:val="24"/>
        </w:rPr>
      </w:pPr>
    </w:p>
    <w:p w14:paraId="13F3223D">
      <w:pPr>
        <w:pStyle w:val="38"/>
        <w:numPr>
          <w:ilvl w:val="1"/>
          <w:numId w:val="11"/>
        </w:numPr>
        <w:spacing w:before="120" w:after="120"/>
        <w:ind w:left="0" w:firstLine="0"/>
        <w:jc w:val="both"/>
        <w:rPr>
          <w:b/>
          <w:color w:val="000000"/>
          <w:sz w:val="24"/>
          <w:szCs w:val="24"/>
        </w:rPr>
      </w:pPr>
      <w:r>
        <w:rPr>
          <w:rFonts w:eastAsia="Times New Roman" w:cs="Arial"/>
        </w:rPr>
        <w:t xml:space="preserve">O fornecimento dos medicamentos, materiais de penso e produtos sanitizantes ocorrerá de forma </w:t>
      </w:r>
      <w:r>
        <w:rPr>
          <w:rFonts w:eastAsia="Times New Roman" w:cs="Arial"/>
          <w:bCs/>
        </w:rPr>
        <w:t>parcelada</w:t>
      </w:r>
      <w:r>
        <w:rPr>
          <w:rFonts w:eastAsia="Times New Roman" w:cs="Arial"/>
        </w:rPr>
        <w:t xml:space="preserve">, conforme a </w:t>
      </w:r>
      <w:r>
        <w:rPr>
          <w:rFonts w:eastAsia="Times New Roman" w:cs="Arial"/>
          <w:bCs/>
        </w:rPr>
        <w:t>necessidade de reabastecimento das Unidades de Saúde da Família (USFs), do Hospital Municipal e demais unidades vinculadas</w:t>
      </w:r>
      <w:r>
        <w:rPr>
          <w:rFonts w:eastAsia="Times New Roman" w:cs="Arial"/>
        </w:rPr>
        <w:t xml:space="preserve">, observando-se a </w:t>
      </w:r>
      <w:r>
        <w:rPr>
          <w:rFonts w:eastAsia="Times New Roman" w:cs="Arial"/>
          <w:bCs/>
        </w:rPr>
        <w:t xml:space="preserve">sazonalidade e a demanda dos serviços de saúde. </w:t>
      </w:r>
    </w:p>
    <w:p w14:paraId="2979AF96">
      <w:pPr>
        <w:pStyle w:val="38"/>
        <w:numPr>
          <w:ilvl w:val="1"/>
          <w:numId w:val="11"/>
        </w:numPr>
        <w:spacing w:before="120" w:after="120"/>
        <w:ind w:left="0" w:firstLine="0"/>
        <w:jc w:val="both"/>
        <w:rPr>
          <w:b/>
          <w:color w:val="000000"/>
          <w:sz w:val="24"/>
          <w:szCs w:val="24"/>
        </w:rPr>
      </w:pPr>
      <w:r>
        <w:rPr>
          <w:rFonts w:eastAsia="Times New Roman" w:cs="Arial"/>
        </w:rPr>
        <w:t xml:space="preserve">Na hipótese de impossibilidade de cumprimento do prazo de entrega estabelecido, a empresa contratada deverá comunicar formalmente à Secretaria Municipal de Saúde, com antecedência mínima de </w:t>
      </w:r>
      <w:r>
        <w:rPr>
          <w:rFonts w:eastAsia="Times New Roman" w:cs="Arial"/>
          <w:bCs/>
        </w:rPr>
        <w:t>24 (vinte e quatro) horas</w:t>
      </w:r>
      <w:r>
        <w:rPr>
          <w:rFonts w:eastAsia="Times New Roman" w:cs="Arial"/>
        </w:rPr>
        <w:t xml:space="preserve">, informando as justificativas para o atraso, a fim de que se possa analisar eventual prorrogação de prazo. Situações de caso fortuito ou força maior serão avaliadas nos termos da legislação vigente. </w:t>
      </w:r>
    </w:p>
    <w:p w14:paraId="737B2882">
      <w:pPr>
        <w:pStyle w:val="38"/>
        <w:numPr>
          <w:ilvl w:val="1"/>
          <w:numId w:val="11"/>
        </w:numPr>
        <w:spacing w:before="120" w:after="120"/>
        <w:ind w:left="0" w:firstLine="0"/>
        <w:jc w:val="both"/>
        <w:rPr>
          <w:b/>
          <w:color w:val="000000"/>
          <w:sz w:val="24"/>
          <w:szCs w:val="24"/>
        </w:rPr>
      </w:pPr>
      <w:r>
        <w:rPr>
          <w:rFonts w:eastAsia="Calibri"/>
          <w:b/>
        </w:rPr>
        <w:t xml:space="preserve"> </w:t>
      </w:r>
      <w:r>
        <w:rPr>
          <w:rFonts w:eastAsia="Calibri"/>
        </w:rPr>
        <w:t>Não prestar declarações ou informações sem prévia autorização por escrito da empresa vencedora a respeito do presente contrato/ata e/ou outras informações a ele inerentes; Responder, independentemente de culpa, por qualquer dano pessoal, ou ainda a terceiros, na execução do objeto deste Termo e da licitação, não sendo excluída, ou mesmo reduzida, a responsabilidade pelo fato de haver fiscalização ou acompanhamento pelo Município de Andaraí;</w:t>
      </w:r>
    </w:p>
    <w:p w14:paraId="7D1A991E">
      <w:pPr>
        <w:pStyle w:val="38"/>
        <w:numPr>
          <w:ilvl w:val="1"/>
          <w:numId w:val="11"/>
        </w:numPr>
        <w:spacing w:before="120" w:after="120"/>
        <w:ind w:left="0" w:firstLine="0"/>
        <w:jc w:val="both"/>
        <w:rPr>
          <w:b/>
          <w:color w:val="000000"/>
          <w:sz w:val="24"/>
          <w:szCs w:val="24"/>
        </w:rPr>
      </w:pPr>
      <w:r>
        <w:rPr>
          <w:rFonts w:eastAsia="Calibri"/>
        </w:rPr>
        <w:t xml:space="preserve"> Manter, durante todo o período da execução do objeto, todas as condições de habilitação e qualificação exigidas na licitação, quando da realização do pagamento pelo Município de Andaraí, comunicando, imediatamente, a superveniência de fato impeditivo da manutenção dessa condição, nos termos da Lei 14.1333/2021, e suas alterações posteriores;</w:t>
      </w:r>
    </w:p>
    <w:p w14:paraId="529ADCD4">
      <w:pPr>
        <w:pStyle w:val="38"/>
        <w:numPr>
          <w:ilvl w:val="1"/>
          <w:numId w:val="11"/>
        </w:numPr>
        <w:spacing w:before="120" w:after="120"/>
        <w:ind w:left="0" w:firstLine="0"/>
        <w:jc w:val="both"/>
        <w:rPr>
          <w:b/>
          <w:color w:val="000000"/>
          <w:sz w:val="24"/>
          <w:szCs w:val="24"/>
        </w:rPr>
      </w:pPr>
      <w:r>
        <w:rPr>
          <w:rFonts w:eastAsia="Calibri"/>
        </w:rPr>
        <w:t>Cumprir outras obrigações previstas no Código de Proteção e Defesa do Consumidor que sejam compatíveis com o regime de direito público;</w:t>
      </w:r>
    </w:p>
    <w:p w14:paraId="415D8107">
      <w:pPr>
        <w:pStyle w:val="38"/>
        <w:numPr>
          <w:ilvl w:val="1"/>
          <w:numId w:val="11"/>
        </w:numPr>
        <w:spacing w:before="120" w:after="120"/>
        <w:ind w:left="0" w:firstLine="0"/>
        <w:jc w:val="both"/>
        <w:rPr>
          <w:b/>
          <w:color w:val="000000"/>
          <w:sz w:val="24"/>
          <w:szCs w:val="24"/>
        </w:rPr>
      </w:pPr>
      <w:r>
        <w:rPr>
          <w:rFonts w:eastAsia="Calibri"/>
        </w:rPr>
        <w:t>Responder, integralmente, por perdas e danos que vier a causar a esta Prefeitura ou a terceiros em razão de ação ou omissão, dolosa ou culposa, sua ou dos seus prepostos, independentemente de outras cominações contratuais ou legais a que estiver sujeita;</w:t>
      </w:r>
    </w:p>
    <w:p w14:paraId="46FA75F0">
      <w:pPr>
        <w:pStyle w:val="38"/>
        <w:numPr>
          <w:ilvl w:val="1"/>
          <w:numId w:val="11"/>
        </w:numPr>
        <w:spacing w:before="120" w:after="120"/>
        <w:ind w:left="0" w:firstLine="0"/>
        <w:jc w:val="both"/>
        <w:rPr>
          <w:b/>
          <w:color w:val="000000"/>
          <w:sz w:val="24"/>
          <w:szCs w:val="24"/>
        </w:rPr>
      </w:pPr>
      <w:r>
        <w:rPr>
          <w:rFonts w:eastAsia="Calibri"/>
        </w:rPr>
        <w:t>Prestar os esclarecimentos que forem solicitados pela Secretaria solicitante a Ordem de compra;</w:t>
      </w:r>
    </w:p>
    <w:p w14:paraId="771F01B9">
      <w:pPr>
        <w:pStyle w:val="38"/>
        <w:numPr>
          <w:ilvl w:val="1"/>
          <w:numId w:val="11"/>
        </w:numPr>
        <w:spacing w:before="120" w:after="120"/>
        <w:ind w:left="0" w:firstLine="0"/>
        <w:jc w:val="both"/>
        <w:rPr>
          <w:b/>
          <w:color w:val="000000"/>
          <w:sz w:val="24"/>
          <w:szCs w:val="24"/>
        </w:rPr>
      </w:pPr>
      <w:r>
        <w:rPr>
          <w:rFonts w:eastAsia="Calibri"/>
        </w:rPr>
        <w:t xml:space="preserve">Não transferir a terceiros, por qualquer forma, nem mesmo parcialmente, as obrigações assumidas, nem subcontratar qualquer das prestações a que está obrigada, exceto nas condições autorizadas no Termo de Referência ou na minuta de contrato; </w:t>
      </w:r>
    </w:p>
    <w:p w14:paraId="50B3AB7E">
      <w:pPr>
        <w:pStyle w:val="38"/>
        <w:numPr>
          <w:ilvl w:val="1"/>
          <w:numId w:val="11"/>
        </w:numPr>
        <w:spacing w:before="120" w:after="120"/>
        <w:ind w:left="0" w:firstLine="0"/>
        <w:jc w:val="both"/>
        <w:rPr>
          <w:b/>
          <w:color w:val="000000"/>
          <w:sz w:val="24"/>
          <w:szCs w:val="24"/>
        </w:rPr>
      </w:pPr>
      <w:r>
        <w:rPr>
          <w:rFonts w:eastAsia="Calibr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1FF77D3F">
      <w:pPr>
        <w:pStyle w:val="38"/>
        <w:numPr>
          <w:ilvl w:val="1"/>
          <w:numId w:val="11"/>
        </w:numPr>
        <w:spacing w:before="120" w:after="120"/>
        <w:ind w:left="0" w:firstLine="0"/>
        <w:jc w:val="both"/>
        <w:rPr>
          <w:b/>
          <w:color w:val="000000"/>
          <w:sz w:val="24"/>
          <w:szCs w:val="24"/>
        </w:rPr>
      </w:pPr>
      <w:r>
        <w:rPr>
          <w:rFonts w:eastAsia="Calibri"/>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376FF930">
      <w:pPr>
        <w:pStyle w:val="38"/>
        <w:numPr>
          <w:ilvl w:val="1"/>
          <w:numId w:val="11"/>
        </w:numPr>
        <w:spacing w:before="120" w:after="120"/>
        <w:ind w:left="0" w:firstLine="0"/>
        <w:jc w:val="both"/>
        <w:rPr>
          <w:b/>
          <w:color w:val="000000"/>
          <w:sz w:val="24"/>
          <w:szCs w:val="24"/>
        </w:rPr>
      </w:pPr>
      <w:r>
        <w:rPr>
          <w:rFonts w:eastAsia="Calibri"/>
        </w:rPr>
        <w:t xml:space="preserve">A inadimplência com referência aos encargos e obrigações estabelecidos não transfere ao Município de Andaraí, a responsabilidade pelo seu pagamento, nem poderá onerar o fornecimento, razão pela qual a Empresa Vencedora renuncia expressamente a qualquer vínculo de solidariedade, ativa ou passiva, com a Contratante; </w:t>
      </w:r>
    </w:p>
    <w:p w14:paraId="07D177D6">
      <w:pPr>
        <w:pStyle w:val="38"/>
        <w:numPr>
          <w:ilvl w:val="1"/>
          <w:numId w:val="11"/>
        </w:numPr>
        <w:spacing w:before="120" w:after="120"/>
        <w:ind w:left="0" w:firstLine="0"/>
        <w:jc w:val="both"/>
        <w:rPr>
          <w:b/>
          <w:color w:val="000000"/>
          <w:sz w:val="24"/>
          <w:szCs w:val="24"/>
        </w:rPr>
      </w:pPr>
      <w:r>
        <w:rPr>
          <w:rFonts w:eastAsia="Calibri"/>
        </w:rPr>
        <w:t xml:space="preserve">Quando for o caso, assumir a responsabilidade por todas as providências e obrigações estabelecidas na legislação de acidentes de trabalho, quando em ocorrência da espécie forem vítimas os seus empregados no desempenho de alguma atividade pertinente ao fornecimento ou em conexão ou contingência, na forma como a expressão; </w:t>
      </w:r>
    </w:p>
    <w:p w14:paraId="04CBF2EF">
      <w:pPr>
        <w:pStyle w:val="38"/>
        <w:numPr>
          <w:ilvl w:val="1"/>
          <w:numId w:val="11"/>
        </w:numPr>
        <w:spacing w:before="120" w:after="120"/>
        <w:ind w:left="0" w:firstLine="0"/>
        <w:jc w:val="both"/>
        <w:rPr>
          <w:b/>
          <w:color w:val="000000"/>
          <w:sz w:val="24"/>
          <w:szCs w:val="24"/>
        </w:rPr>
      </w:pPr>
      <w:r>
        <w:rPr>
          <w:rFonts w:eastAsia="Calibri"/>
        </w:rPr>
        <w:t xml:space="preserve">Adotar todas as medidas preventivas no sentido de se minimizar acidentes ou danos que venham a comprometer a qualidade e a quantidade fornecida; </w:t>
      </w:r>
    </w:p>
    <w:p w14:paraId="4E9D50A4">
      <w:pPr>
        <w:pStyle w:val="38"/>
        <w:numPr>
          <w:ilvl w:val="1"/>
          <w:numId w:val="11"/>
        </w:numPr>
        <w:spacing w:before="120" w:after="120"/>
        <w:ind w:left="0" w:firstLine="0"/>
        <w:jc w:val="both"/>
        <w:rPr>
          <w:b/>
          <w:color w:val="000000"/>
          <w:sz w:val="24"/>
          <w:szCs w:val="24"/>
        </w:rPr>
      </w:pPr>
      <w:r>
        <w:rPr>
          <w:rFonts w:eastAsia="Calibri"/>
        </w:rPr>
        <w:t>Assumir inteira responsabilidade quanto à qualidade dos produtos fornecidos;</w:t>
      </w:r>
    </w:p>
    <w:p w14:paraId="651137C1">
      <w:pPr>
        <w:pStyle w:val="38"/>
        <w:numPr>
          <w:ilvl w:val="1"/>
          <w:numId w:val="11"/>
        </w:numPr>
        <w:spacing w:before="120" w:after="120"/>
        <w:ind w:left="0" w:firstLine="0"/>
        <w:jc w:val="both"/>
        <w:rPr>
          <w:b/>
          <w:color w:val="000000"/>
          <w:sz w:val="24"/>
          <w:szCs w:val="24"/>
        </w:rPr>
      </w:pPr>
      <w:r>
        <w:t>A empresa vencedora se compromete durante toda a execução do contrato/ata, a manter as condições de habilitação na licitação, especialmente a existência de profissionais devidamente habilitados a executar o objeto do presente contrato;</w:t>
      </w:r>
    </w:p>
    <w:p w14:paraId="058ADB7F">
      <w:pPr>
        <w:pStyle w:val="38"/>
        <w:numPr>
          <w:ilvl w:val="1"/>
          <w:numId w:val="11"/>
        </w:numPr>
        <w:spacing w:before="120" w:after="120"/>
        <w:ind w:left="0" w:firstLine="0"/>
        <w:jc w:val="both"/>
        <w:rPr>
          <w:b/>
          <w:color w:val="000000"/>
          <w:sz w:val="24"/>
          <w:szCs w:val="24"/>
        </w:rPr>
      </w:pPr>
      <w:r>
        <w:t>Organizar tecnicamente e administrativamente de modo a cumprir com eficiência as obrigações assumidas;</w:t>
      </w:r>
    </w:p>
    <w:p w14:paraId="636E15BE">
      <w:pPr>
        <w:pStyle w:val="38"/>
        <w:numPr>
          <w:ilvl w:val="1"/>
          <w:numId w:val="11"/>
        </w:numPr>
        <w:spacing w:before="120" w:after="120"/>
        <w:ind w:left="0" w:firstLine="0"/>
        <w:jc w:val="both"/>
        <w:rPr>
          <w:b/>
          <w:color w:val="000000"/>
          <w:sz w:val="24"/>
          <w:szCs w:val="24"/>
        </w:rPr>
      </w:pPr>
      <w:r>
        <w:t>Assegurar e facilitar ao MUNICÍPIO a fiscalização e acompanhamento da execução do contrato;</w:t>
      </w:r>
    </w:p>
    <w:p w14:paraId="5FA112AA">
      <w:pPr>
        <w:pStyle w:val="38"/>
        <w:numPr>
          <w:ilvl w:val="1"/>
          <w:numId w:val="11"/>
        </w:numPr>
        <w:spacing w:before="120" w:after="120"/>
        <w:ind w:left="0" w:firstLine="0"/>
        <w:jc w:val="both"/>
        <w:rPr>
          <w:b/>
          <w:color w:val="000000"/>
          <w:sz w:val="24"/>
          <w:szCs w:val="24"/>
        </w:rPr>
      </w:pPr>
      <w:r>
        <w:t>Informar imediatamente após o recebimento da solicitação de pedido a ocorrência de qualquer situação que possa prejudicar a entrega do objeto no tempo fixado;</w:t>
      </w:r>
    </w:p>
    <w:p w14:paraId="11497D74">
      <w:pPr>
        <w:pStyle w:val="38"/>
        <w:numPr>
          <w:ilvl w:val="1"/>
          <w:numId w:val="11"/>
        </w:numPr>
        <w:spacing w:before="120" w:after="120"/>
        <w:ind w:left="0" w:firstLine="0"/>
        <w:jc w:val="both"/>
        <w:rPr>
          <w:b/>
          <w:color w:val="000000"/>
          <w:sz w:val="24"/>
          <w:szCs w:val="24"/>
        </w:rPr>
      </w:pPr>
      <w:r>
        <w:t>A empresa vencedora deve cumprir todas as obrigações, assumindo como exclusivamente seus os riscos e as despesas decorrentes da boa e perfeita execução do objeto;</w:t>
      </w:r>
    </w:p>
    <w:p w14:paraId="3D5608AB">
      <w:pPr>
        <w:pStyle w:val="38"/>
        <w:numPr>
          <w:ilvl w:val="1"/>
          <w:numId w:val="11"/>
        </w:numPr>
        <w:spacing w:before="120" w:after="120"/>
        <w:ind w:left="0" w:firstLine="0"/>
        <w:jc w:val="both"/>
        <w:rPr>
          <w:b/>
          <w:color w:val="000000"/>
          <w:sz w:val="24"/>
          <w:szCs w:val="24"/>
        </w:rPr>
      </w:pPr>
      <w:r>
        <w:rPr>
          <w:b/>
        </w:rPr>
        <w:t xml:space="preserve"> </w:t>
      </w:r>
      <w:r>
        <w:t>Fornecer números telefônicos ou outros meios igualmente eficazes, para contato do MUNICÍPIO com o Preposto, ainda que fora do horário normal de expediente, sem que isto gere qualquer custo adicional;</w:t>
      </w:r>
    </w:p>
    <w:p w14:paraId="7BB9B085">
      <w:pPr>
        <w:pStyle w:val="38"/>
        <w:numPr>
          <w:ilvl w:val="1"/>
          <w:numId w:val="11"/>
        </w:numPr>
        <w:spacing w:before="120" w:after="120"/>
        <w:ind w:left="0" w:firstLine="0"/>
        <w:jc w:val="both"/>
        <w:rPr>
          <w:b/>
          <w:color w:val="000000"/>
          <w:sz w:val="24"/>
          <w:szCs w:val="24"/>
        </w:rPr>
      </w:pPr>
      <w:r>
        <w:t>Fornecer toda mão de obra necessária à fiel e perfeita execução do objeto, bem como os encargos previdenciários, trabalhistas e outros de qualquer natureza de correntes da execução do contrato/ata;</w:t>
      </w:r>
    </w:p>
    <w:p w14:paraId="20AEB367">
      <w:pPr>
        <w:pStyle w:val="38"/>
        <w:numPr>
          <w:ilvl w:val="1"/>
          <w:numId w:val="11"/>
        </w:numPr>
        <w:spacing w:before="120" w:after="120"/>
        <w:ind w:left="0" w:firstLine="0"/>
        <w:jc w:val="both"/>
        <w:rPr>
          <w:b/>
          <w:color w:val="000000"/>
          <w:sz w:val="24"/>
          <w:szCs w:val="24"/>
        </w:rPr>
      </w:pPr>
      <w:r>
        <w:rPr>
          <w:rFonts w:cs="Arial"/>
        </w:rPr>
        <w:t>O período de vigência do ATA será de 12 (doze) meses, contados a partir da assinatura do mesmo, podendo ser prorrogado conforme legislação vigente e de acordo entre as partes, mediante Termo de Aditamento. .</w:t>
      </w:r>
    </w:p>
    <w:p w14:paraId="5E224B88">
      <w:pPr>
        <w:pStyle w:val="38"/>
        <w:spacing w:line="312" w:lineRule="auto"/>
        <w:ind w:left="0"/>
        <w:jc w:val="both"/>
        <w:rPr>
          <w:color w:val="FF0000"/>
        </w:rPr>
      </w:pPr>
    </w:p>
    <w:p w14:paraId="7A62BEF1">
      <w:pPr>
        <w:pStyle w:val="38"/>
        <w:numPr>
          <w:ilvl w:val="0"/>
          <w:numId w:val="3"/>
        </w:numPr>
        <w:spacing w:before="360" w:after="360" w:line="240" w:lineRule="auto"/>
        <w:jc w:val="both"/>
        <w:rPr>
          <w:b/>
          <w:color w:val="000000"/>
          <w:sz w:val="24"/>
          <w:szCs w:val="24"/>
        </w:rPr>
      </w:pPr>
      <w:r>
        <w:rPr>
          <w:b/>
          <w:color w:val="000000"/>
          <w:sz w:val="24"/>
          <w:szCs w:val="24"/>
        </w:rPr>
        <w:t>CLÁUSULA OITAVA – DAS OBRIGAÇÕES DO FORNECEDOR</w:t>
      </w:r>
    </w:p>
    <w:p w14:paraId="055E0AA0">
      <w:pPr>
        <w:pStyle w:val="38"/>
        <w:spacing w:before="360" w:after="360" w:line="240" w:lineRule="auto"/>
        <w:ind w:left="360"/>
        <w:jc w:val="both"/>
        <w:rPr>
          <w:b/>
          <w:color w:val="000000"/>
          <w:sz w:val="24"/>
          <w:szCs w:val="24"/>
        </w:rPr>
      </w:pPr>
    </w:p>
    <w:p w14:paraId="1D927B70">
      <w:pPr>
        <w:pStyle w:val="38"/>
        <w:numPr>
          <w:ilvl w:val="1"/>
          <w:numId w:val="13"/>
        </w:numPr>
        <w:spacing w:line="312" w:lineRule="auto"/>
        <w:ind w:left="0" w:firstLine="0"/>
        <w:jc w:val="both"/>
        <w:rPr>
          <w:color w:val="000000"/>
        </w:rPr>
      </w:pPr>
      <w:r>
        <w:rPr>
          <w:color w:val="000000"/>
        </w:rPr>
        <w:t>Constituem obrigações do Fornecedor:</w:t>
      </w:r>
    </w:p>
    <w:p w14:paraId="5A649FB1">
      <w:pPr>
        <w:pStyle w:val="38"/>
        <w:numPr>
          <w:ilvl w:val="2"/>
          <w:numId w:val="13"/>
        </w:numPr>
        <w:spacing w:line="312" w:lineRule="auto"/>
        <w:ind w:left="0" w:firstLine="0"/>
        <w:jc w:val="both"/>
        <w:rPr>
          <w:color w:val="000000"/>
        </w:rPr>
      </w:pPr>
      <w:r>
        <w:rPr>
          <w:color w:val="000000"/>
        </w:rPr>
        <w:t>assinar esta Ata no prazo máximo de 5 (cinco) dias úteis, contados do recebimento da comunicação;</w:t>
      </w:r>
    </w:p>
    <w:p w14:paraId="6A53E626">
      <w:pPr>
        <w:pStyle w:val="38"/>
        <w:numPr>
          <w:ilvl w:val="2"/>
          <w:numId w:val="13"/>
        </w:numPr>
        <w:spacing w:line="312" w:lineRule="auto"/>
        <w:ind w:left="0" w:firstLine="0"/>
        <w:jc w:val="both"/>
        <w:rPr>
          <w:color w:val="000000"/>
        </w:rPr>
      </w:pPr>
      <w:r>
        <w:rPr>
          <w:color w:val="000000"/>
        </w:rPr>
        <w:t>cumprir todas as obrigações constantes no Edital, seus anexos e sua proposta, assumindo como exclusivamente seus os riscos e as despesas decorrentes da boa e perfeita execução do objeto; </w:t>
      </w:r>
    </w:p>
    <w:p w14:paraId="1EC58912">
      <w:pPr>
        <w:pStyle w:val="38"/>
        <w:numPr>
          <w:ilvl w:val="2"/>
          <w:numId w:val="13"/>
        </w:numPr>
        <w:spacing w:line="312" w:lineRule="auto"/>
        <w:ind w:left="0" w:firstLine="0"/>
        <w:jc w:val="both"/>
        <w:rPr>
          <w:color w:val="000000"/>
        </w:rPr>
      </w:pPr>
      <w:r>
        <w:rPr>
          <w:color w:val="000000"/>
        </w:rPr>
        <w:t xml:space="preserve"> responsabilizar-se pelas despesas e encargos decorrentes da execução da presente Ata;</w:t>
      </w:r>
    </w:p>
    <w:p w14:paraId="72807733">
      <w:pPr>
        <w:pStyle w:val="38"/>
        <w:numPr>
          <w:ilvl w:val="2"/>
          <w:numId w:val="13"/>
        </w:numPr>
        <w:spacing w:line="312" w:lineRule="auto"/>
        <w:ind w:left="0" w:firstLine="0"/>
        <w:jc w:val="both"/>
        <w:rPr>
          <w:color w:val="000000"/>
        </w:rPr>
      </w:pPr>
      <w:r>
        <w:rPr>
          <w:color w:val="000000"/>
        </w:rPr>
        <w:t>efetuar a entrega do objeto em perfeitas condições, conforme especificações, prazo e local constantes no Termo de Referência e seus anexos, acompanhado da respectiva nota fiscal, na qual constarão as indicações referentes a: marca, modelo, procedência e prazo de garantia;</w:t>
      </w:r>
    </w:p>
    <w:p w14:paraId="10F5E3B6">
      <w:pPr>
        <w:pStyle w:val="38"/>
        <w:numPr>
          <w:ilvl w:val="2"/>
          <w:numId w:val="13"/>
        </w:numPr>
        <w:spacing w:line="312" w:lineRule="auto"/>
        <w:ind w:left="0" w:firstLine="0"/>
        <w:jc w:val="both"/>
        <w:rPr>
          <w:color w:val="000000"/>
        </w:rPr>
      </w:pPr>
      <w:r>
        <w:rPr>
          <w:color w:val="000000"/>
        </w:rPr>
        <w:t>responsabilizar-se pelos vícios e danos decorrentes do objeto, de acordo com os artigos 12, 13 e 17 a 27, do Código de Defesa do Consumidor (Lei nº 8.078, de 1990); </w:t>
      </w:r>
    </w:p>
    <w:p w14:paraId="10739302">
      <w:pPr>
        <w:pStyle w:val="38"/>
        <w:numPr>
          <w:ilvl w:val="2"/>
          <w:numId w:val="13"/>
        </w:numPr>
        <w:spacing w:line="312" w:lineRule="auto"/>
        <w:ind w:left="0" w:firstLine="0"/>
        <w:jc w:val="both"/>
        <w:rPr>
          <w:color w:val="000000"/>
        </w:rPr>
      </w:pPr>
      <w:r>
        <w:rPr>
          <w:color w:val="000000"/>
        </w:rPr>
        <w:t>manter as condições de habilitação e qualificação exigidas no edital;</w:t>
      </w:r>
    </w:p>
    <w:p w14:paraId="57ADD384">
      <w:pPr>
        <w:pStyle w:val="38"/>
        <w:numPr>
          <w:ilvl w:val="2"/>
          <w:numId w:val="13"/>
        </w:numPr>
        <w:spacing w:line="312" w:lineRule="auto"/>
        <w:ind w:left="0" w:firstLine="0"/>
        <w:jc w:val="both"/>
        <w:rPr>
          <w:color w:val="000000"/>
        </w:rPr>
      </w:pPr>
      <w:r>
        <w:rPr>
          <w:b/>
          <w:color w:val="000000"/>
        </w:rPr>
        <w:t xml:space="preserve"> </w:t>
      </w:r>
      <w:r>
        <w:rPr>
          <w:color w:val="000000"/>
        </w:rPr>
        <w:t xml:space="preserve">aceitar nas mesmas condições os acréscimos que se fizerem necessárias ao fornecimento do </w:t>
      </w:r>
      <w:r>
        <w:t>objeto.</w:t>
      </w:r>
    </w:p>
    <w:p w14:paraId="27BFA93B">
      <w:pPr>
        <w:pStyle w:val="38"/>
        <w:numPr>
          <w:ilvl w:val="2"/>
          <w:numId w:val="13"/>
        </w:numPr>
        <w:spacing w:line="312" w:lineRule="auto"/>
        <w:ind w:left="0" w:firstLine="0"/>
        <w:jc w:val="both"/>
        <w:rPr>
          <w:color w:val="000000"/>
        </w:rPr>
      </w:pPr>
      <w:r>
        <w:rPr>
          <w:color w:val="000000"/>
        </w:rPr>
        <w:t>promover, no prazo estipulado, a complementação da garantia de execução, quando for o caso, após ocorrer o reajuste, a repactuação ou a revisão de preços registrados; </w:t>
      </w:r>
    </w:p>
    <w:p w14:paraId="62DC1741">
      <w:pPr>
        <w:pStyle w:val="38"/>
        <w:numPr>
          <w:ilvl w:val="2"/>
          <w:numId w:val="13"/>
        </w:numPr>
        <w:spacing w:line="312" w:lineRule="auto"/>
        <w:ind w:left="0" w:firstLine="0"/>
        <w:jc w:val="both"/>
        <w:rPr>
          <w:color w:val="000000"/>
        </w:rPr>
      </w:pPr>
      <w:r>
        <w:rPr>
          <w:color w:val="000000"/>
        </w:rPr>
        <w:t xml:space="preserve">acatar todas as orientações da Administração, emanadas pelo </w:t>
      </w:r>
      <w:r>
        <w:t xml:space="preserve">gestor e fiscal </w:t>
      </w:r>
      <w:r>
        <w:rPr>
          <w:color w:val="000000"/>
        </w:rPr>
        <w:t>da ata, sujeitando-se à ampla e irrestrita fiscalização, prestando todos os esclarecimentos solicitados e atendendo às reclamações formuladas.</w:t>
      </w:r>
    </w:p>
    <w:p w14:paraId="75B60326">
      <w:pPr>
        <w:pStyle w:val="38"/>
        <w:numPr>
          <w:ilvl w:val="1"/>
          <w:numId w:val="13"/>
        </w:numPr>
        <w:spacing w:line="312" w:lineRule="auto"/>
        <w:ind w:left="0" w:firstLine="0"/>
        <w:jc w:val="both"/>
        <w:rPr>
          <w:color w:val="000000"/>
        </w:rPr>
      </w:pPr>
      <w:r>
        <w:t>O objeto deverá ser entregue livres de frete, carga e descarga, no local indicado pela na requisição de compra.</w:t>
      </w:r>
    </w:p>
    <w:p w14:paraId="5D5ACD3A">
      <w:pPr>
        <w:pStyle w:val="38"/>
        <w:numPr>
          <w:ilvl w:val="1"/>
          <w:numId w:val="13"/>
        </w:numPr>
        <w:spacing w:line="312" w:lineRule="auto"/>
        <w:ind w:left="0" w:firstLine="0"/>
        <w:jc w:val="both"/>
        <w:rPr>
          <w:color w:val="000000"/>
        </w:rPr>
      </w:pPr>
      <w:r>
        <w:rPr>
          <w:rFonts w:cs="Arial"/>
        </w:rPr>
        <w:t xml:space="preserve">O contratado deverá assumir a responsabilidade por todas as providências e obrigações estabelecidas na legislação específica sobre o objeto a ser entregue; </w:t>
      </w:r>
    </w:p>
    <w:p w14:paraId="2897625A">
      <w:pPr>
        <w:pStyle w:val="38"/>
        <w:numPr>
          <w:ilvl w:val="1"/>
          <w:numId w:val="13"/>
        </w:numPr>
        <w:spacing w:line="312" w:lineRule="auto"/>
        <w:ind w:left="0" w:firstLine="0"/>
        <w:jc w:val="both"/>
        <w:rPr>
          <w:color w:val="000000"/>
        </w:rPr>
      </w:pPr>
      <w:r>
        <w:t>Todas as despesas com frete, impostos e demais taxas ficarão a cargo da empresa vencedora;</w:t>
      </w:r>
    </w:p>
    <w:p w14:paraId="6A86D242">
      <w:pPr>
        <w:pStyle w:val="38"/>
        <w:numPr>
          <w:ilvl w:val="1"/>
          <w:numId w:val="13"/>
        </w:numPr>
        <w:spacing w:line="312" w:lineRule="auto"/>
        <w:ind w:left="0" w:firstLine="0"/>
        <w:jc w:val="both"/>
        <w:rPr>
          <w:color w:val="000000"/>
        </w:rPr>
      </w:pPr>
      <w:r>
        <w:rPr>
          <w:rFonts w:eastAsia="Calibri"/>
        </w:rPr>
        <w:t>Responder, independentemente de culpa, por qualquer dano pessoal, ou ainda a terceiros, na execução do objeto deste Termo e da licitação, não sendo excluída, ou mesmo reduzida, a responsabilidade pelo fato de haver fiscalização ou acompanhamento pelo Município de Andaraí;</w:t>
      </w:r>
    </w:p>
    <w:p w14:paraId="16712FDF">
      <w:pPr>
        <w:pStyle w:val="38"/>
        <w:numPr>
          <w:ilvl w:val="1"/>
          <w:numId w:val="13"/>
        </w:numPr>
        <w:spacing w:line="312" w:lineRule="auto"/>
        <w:ind w:left="0" w:firstLine="0"/>
        <w:jc w:val="both"/>
        <w:rPr>
          <w:color w:val="000000"/>
        </w:rPr>
      </w:pPr>
      <w:r>
        <w:rPr>
          <w:rFonts w:eastAsia="Calibri"/>
        </w:rPr>
        <w:t>Manter, durante todo o período da execução do objeto, todas as condições de habilitação e qualificação exigidas na licitação, quando da realização do pagamento pelo Município de Andaraí, comunicando, imediatamente, a superveniência de fato impeditivo da manutenção dessa condição, nos termos da Lei 14.1333/2021, e suas alterações posteriores;</w:t>
      </w:r>
    </w:p>
    <w:p w14:paraId="19AB781D">
      <w:pPr>
        <w:pStyle w:val="38"/>
        <w:numPr>
          <w:ilvl w:val="1"/>
          <w:numId w:val="13"/>
        </w:numPr>
        <w:spacing w:line="312" w:lineRule="auto"/>
        <w:ind w:left="0" w:firstLine="0"/>
        <w:jc w:val="both"/>
        <w:rPr>
          <w:color w:val="000000"/>
        </w:rPr>
      </w:pPr>
      <w:r>
        <w:rPr>
          <w:rFonts w:eastAsia="Calibri"/>
        </w:rPr>
        <w:t xml:space="preserve">Não transferir a terceiros, por qualquer forma, nem mesmo parcialmente, as obrigações assumidas, nem subcontratar qualquer das prestações a que está obrigada, exceto nas condições autorizadas no Termo de Referência ou na minuta de contrato; </w:t>
      </w:r>
    </w:p>
    <w:p w14:paraId="28C64DB2">
      <w:pPr>
        <w:pStyle w:val="38"/>
        <w:numPr>
          <w:ilvl w:val="1"/>
          <w:numId w:val="13"/>
        </w:numPr>
        <w:spacing w:line="312" w:lineRule="auto"/>
        <w:ind w:left="0" w:firstLine="0"/>
        <w:jc w:val="both"/>
        <w:rPr>
          <w:color w:val="000000"/>
        </w:rPr>
      </w:pPr>
      <w:r>
        <w:rPr>
          <w:rFonts w:eastAsia="Calibri"/>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01F3E12D">
      <w:pPr>
        <w:pStyle w:val="38"/>
        <w:numPr>
          <w:ilvl w:val="1"/>
          <w:numId w:val="13"/>
        </w:numPr>
        <w:spacing w:line="312" w:lineRule="auto"/>
        <w:ind w:left="0" w:firstLine="0"/>
        <w:jc w:val="both"/>
        <w:rPr>
          <w:color w:val="000000"/>
        </w:rPr>
      </w:pPr>
      <w:r>
        <w:rPr>
          <w:rFonts w:cs="Arial"/>
        </w:rPr>
        <w:t xml:space="preserve">O contratado deverá cumprir com as seguintes obrigações, para a aquisição de medicamentos, materiais de penso e produtos saneantes; </w:t>
      </w:r>
    </w:p>
    <w:p w14:paraId="10E85E46">
      <w:pPr>
        <w:pStyle w:val="38"/>
        <w:numPr>
          <w:ilvl w:val="0"/>
          <w:numId w:val="14"/>
        </w:numPr>
        <w:spacing w:line="312" w:lineRule="auto"/>
        <w:jc w:val="both"/>
        <w:rPr>
          <w:color w:val="000000"/>
        </w:rPr>
      </w:pPr>
      <w:r>
        <w:rPr>
          <w:rFonts w:eastAsia="Times New Roman" w:cs="Arial"/>
        </w:rPr>
        <w:t xml:space="preserve">Entregar os medicamentos, materiais de penso e produtos sanitizantes nas quantidades e dentro dos prazos estabelecidos nas ordens de fornecimento emitidas pela contratante, de acordo com as especificações técnicas detalhadas no contrato; </w:t>
      </w:r>
    </w:p>
    <w:p w14:paraId="009E4AF7">
      <w:pPr>
        <w:pStyle w:val="38"/>
        <w:numPr>
          <w:ilvl w:val="0"/>
          <w:numId w:val="14"/>
        </w:numPr>
        <w:spacing w:line="312" w:lineRule="auto"/>
        <w:jc w:val="both"/>
        <w:rPr>
          <w:color w:val="000000"/>
        </w:rPr>
      </w:pPr>
      <w:r>
        <w:rPr>
          <w:rFonts w:eastAsia="Times New Roman" w:cs="Arial"/>
        </w:rPr>
        <w:t xml:space="preserve">Garantir que os produtos entregues atendam a todas as exigências legais e regulamentares, incluindo o registro na ANVISA ou em outros órgãos competentes; </w:t>
      </w:r>
    </w:p>
    <w:p w14:paraId="6FB9F82F">
      <w:pPr>
        <w:pStyle w:val="38"/>
        <w:numPr>
          <w:ilvl w:val="0"/>
          <w:numId w:val="14"/>
        </w:numPr>
        <w:spacing w:line="312" w:lineRule="auto"/>
        <w:jc w:val="both"/>
        <w:rPr>
          <w:color w:val="000000"/>
        </w:rPr>
      </w:pPr>
      <w:r>
        <w:rPr>
          <w:rFonts w:eastAsia="Times New Roman" w:cs="Arial"/>
        </w:rPr>
        <w:t xml:space="preserve">Assegurar que os produtos fornecidos estejam dentro do prazo de validade e em perfeitas condições de uso, conforme as normas sanitárias, com a devida rastreabilidade dos lotes e informações sobre a procedência dos produtos; </w:t>
      </w:r>
    </w:p>
    <w:p w14:paraId="229F42B3">
      <w:pPr>
        <w:pStyle w:val="38"/>
        <w:numPr>
          <w:ilvl w:val="0"/>
          <w:numId w:val="14"/>
        </w:numPr>
        <w:spacing w:line="312" w:lineRule="auto"/>
        <w:jc w:val="both"/>
        <w:rPr>
          <w:color w:val="000000"/>
        </w:rPr>
      </w:pPr>
      <w:r>
        <w:rPr>
          <w:rFonts w:eastAsia="Times New Roman" w:cs="Arial"/>
        </w:rPr>
        <w:t>Garantir que os medicamentos e materiais de penso atendam aos padrões de qualidade exigidos pela Farmacopeia Brasileira e outras regulamentações pertinentes;</w:t>
      </w:r>
    </w:p>
    <w:p w14:paraId="274C860E">
      <w:pPr>
        <w:pStyle w:val="38"/>
        <w:numPr>
          <w:ilvl w:val="0"/>
          <w:numId w:val="14"/>
        </w:numPr>
        <w:spacing w:line="312" w:lineRule="auto"/>
        <w:jc w:val="both"/>
        <w:rPr>
          <w:color w:val="000000"/>
        </w:rPr>
      </w:pPr>
      <w:r>
        <w:rPr>
          <w:rFonts w:eastAsia="Times New Roman" w:cs="Arial"/>
        </w:rPr>
        <w:t>Responsabilizar-se pelo transporte adequado dos produtos, respeitando as condições necessárias para garantir sua integridade, como temperatura controlada e umidade adequada, quando necessário;</w:t>
      </w:r>
    </w:p>
    <w:p w14:paraId="3327F6C2">
      <w:pPr>
        <w:pStyle w:val="38"/>
        <w:numPr>
          <w:ilvl w:val="0"/>
          <w:numId w:val="14"/>
        </w:numPr>
        <w:spacing w:line="312" w:lineRule="auto"/>
        <w:jc w:val="both"/>
        <w:rPr>
          <w:color w:val="000000"/>
        </w:rPr>
      </w:pPr>
      <w:r>
        <w:rPr>
          <w:rFonts w:eastAsia="Times New Roman" w:cs="Arial"/>
        </w:rPr>
        <w:t>Manter condições adequadas de armazenamento dos produtos, conforme as exigências de segurança e normas sanitárias aplicáveis, até a entrega final;</w:t>
      </w:r>
    </w:p>
    <w:p w14:paraId="70B96903">
      <w:pPr>
        <w:pStyle w:val="38"/>
        <w:numPr>
          <w:ilvl w:val="0"/>
          <w:numId w:val="14"/>
        </w:numPr>
        <w:spacing w:line="312" w:lineRule="auto"/>
        <w:jc w:val="both"/>
        <w:rPr>
          <w:color w:val="000000"/>
        </w:rPr>
      </w:pPr>
      <w:r>
        <w:rPr>
          <w:rFonts w:eastAsia="Times New Roman" w:cs="Arial"/>
        </w:rPr>
        <w:t xml:space="preserve">Proceder à substituição imediata de quaisquer produtos que apresentem defeitos, estejam fora do prazo de validade ou não atendam às especificações acordadas, sem custos adicionais para a contratante; </w:t>
      </w:r>
    </w:p>
    <w:p w14:paraId="37E12ED6">
      <w:pPr>
        <w:pStyle w:val="38"/>
        <w:numPr>
          <w:ilvl w:val="0"/>
          <w:numId w:val="14"/>
        </w:numPr>
        <w:spacing w:line="312" w:lineRule="auto"/>
        <w:jc w:val="both"/>
        <w:rPr>
          <w:color w:val="000000"/>
        </w:rPr>
      </w:pPr>
      <w:r>
        <w:rPr>
          <w:rFonts w:eastAsia="Times New Roman" w:cs="Arial"/>
        </w:rPr>
        <w:t>Realizar a retirada de produtos não conformes quando solicitado pela contratante, garantindo o não uso de medicamentos ou materiais de penso inadequados;</w:t>
      </w:r>
    </w:p>
    <w:p w14:paraId="04C69FF8">
      <w:pPr>
        <w:pStyle w:val="38"/>
        <w:numPr>
          <w:ilvl w:val="0"/>
          <w:numId w:val="14"/>
        </w:numPr>
        <w:spacing w:line="312" w:lineRule="auto"/>
        <w:jc w:val="both"/>
        <w:rPr>
          <w:color w:val="000000"/>
        </w:rPr>
      </w:pPr>
      <w:r>
        <w:rPr>
          <w:rFonts w:eastAsia="Times New Roman" w:cs="Arial"/>
        </w:rPr>
        <w:t>Fornecer toda a documentação necessária à contratante, incluindo notas fiscais, certificados de qualidade, e comprovantes de entrega;</w:t>
      </w:r>
    </w:p>
    <w:p w14:paraId="20DBAF43">
      <w:pPr>
        <w:pStyle w:val="38"/>
        <w:numPr>
          <w:ilvl w:val="0"/>
          <w:numId w:val="14"/>
        </w:numPr>
        <w:spacing w:line="312" w:lineRule="auto"/>
        <w:jc w:val="both"/>
        <w:rPr>
          <w:color w:val="000000"/>
        </w:rPr>
      </w:pPr>
      <w:r>
        <w:rPr>
          <w:rFonts w:eastAsia="Times New Roman" w:cs="Arial"/>
        </w:rPr>
        <w:t xml:space="preserve">Manter registros atualizados sobre o fornecimento de medicamentos, materiais de penso e produtos sanitizantes, garantindo a transparência e a rastreabilidade do processo; </w:t>
      </w:r>
    </w:p>
    <w:p w14:paraId="46FB1576">
      <w:pPr>
        <w:pStyle w:val="38"/>
        <w:numPr>
          <w:ilvl w:val="0"/>
          <w:numId w:val="14"/>
        </w:numPr>
        <w:spacing w:line="312" w:lineRule="auto"/>
        <w:jc w:val="both"/>
        <w:rPr>
          <w:color w:val="000000"/>
        </w:rPr>
      </w:pPr>
      <w:r>
        <w:rPr>
          <w:rFonts w:eastAsia="Times New Roman" w:cs="Arial"/>
        </w:rPr>
        <w:t>Cumprir rigorosamente os prazos de entrega e as condições contratuais, com comunicação prévia à contratante em caso de eventuais dificuldades que possam comprometer o cumprimento do contrato;</w:t>
      </w:r>
    </w:p>
    <w:p w14:paraId="2C4721D4">
      <w:pPr>
        <w:pStyle w:val="38"/>
        <w:numPr>
          <w:ilvl w:val="0"/>
          <w:numId w:val="14"/>
        </w:numPr>
        <w:spacing w:line="312" w:lineRule="auto"/>
        <w:jc w:val="both"/>
        <w:rPr>
          <w:color w:val="000000"/>
        </w:rPr>
      </w:pPr>
      <w:r>
        <w:rPr>
          <w:rFonts w:eastAsia="Times New Roman" w:cs="Arial"/>
        </w:rPr>
        <w:t>Responsabilizar-se pelo cumprimento das condições acordadas, incluindo o atendimento aos requisitos técnicos, de qualidade e quantidade dos produtos;</w:t>
      </w:r>
    </w:p>
    <w:p w14:paraId="3DE54386">
      <w:pPr>
        <w:pStyle w:val="38"/>
        <w:numPr>
          <w:ilvl w:val="0"/>
          <w:numId w:val="14"/>
        </w:numPr>
        <w:spacing w:line="312" w:lineRule="auto"/>
        <w:jc w:val="both"/>
        <w:rPr>
          <w:color w:val="000000"/>
        </w:rPr>
      </w:pPr>
      <w:r>
        <w:rPr>
          <w:rFonts w:eastAsia="Times New Roman" w:cs="Arial"/>
        </w:rPr>
        <w:t>Estar preparado para atender às emergências de fornecimento, garantindo a disponibilidade de medicamentos e materiais de penso essenciais para situações imprevistas ou urgentes;</w:t>
      </w:r>
    </w:p>
    <w:p w14:paraId="030DB79D">
      <w:pPr>
        <w:pStyle w:val="38"/>
        <w:numPr>
          <w:ilvl w:val="0"/>
          <w:numId w:val="14"/>
        </w:numPr>
        <w:spacing w:line="312" w:lineRule="auto"/>
        <w:jc w:val="both"/>
        <w:rPr>
          <w:color w:val="000000"/>
        </w:rPr>
      </w:pPr>
      <w:r>
        <w:rPr>
          <w:rFonts w:cs="Arial"/>
        </w:rPr>
        <w:t xml:space="preserve"> </w:t>
      </w:r>
    </w:p>
    <w:p w14:paraId="1B66C8C9">
      <w:pPr>
        <w:pStyle w:val="38"/>
        <w:spacing w:line="312" w:lineRule="auto"/>
        <w:ind w:left="0"/>
        <w:jc w:val="both"/>
        <w:rPr>
          <w:color w:val="000000"/>
        </w:rPr>
      </w:pPr>
    </w:p>
    <w:p w14:paraId="6BB2C466">
      <w:pPr>
        <w:pStyle w:val="38"/>
        <w:numPr>
          <w:ilvl w:val="0"/>
          <w:numId w:val="3"/>
        </w:numPr>
        <w:spacing w:before="360" w:after="360" w:line="240" w:lineRule="auto"/>
        <w:jc w:val="both"/>
        <w:rPr>
          <w:b/>
          <w:color w:val="000000"/>
          <w:sz w:val="24"/>
          <w:szCs w:val="24"/>
        </w:rPr>
      </w:pPr>
      <w:r>
        <w:rPr>
          <w:b/>
          <w:color w:val="000000"/>
          <w:sz w:val="24"/>
          <w:szCs w:val="24"/>
        </w:rPr>
        <w:t>CLÁUSULA NONA  — DAS OBRIGAÇÕES DO ÓRGÃO GERENCIADOR</w:t>
      </w:r>
    </w:p>
    <w:p w14:paraId="46246B3D">
      <w:pPr>
        <w:pStyle w:val="38"/>
        <w:spacing w:before="360" w:after="360" w:line="240" w:lineRule="auto"/>
        <w:ind w:left="360"/>
        <w:jc w:val="both"/>
        <w:rPr>
          <w:b/>
          <w:color w:val="000000"/>
          <w:sz w:val="24"/>
          <w:szCs w:val="24"/>
        </w:rPr>
      </w:pPr>
    </w:p>
    <w:p w14:paraId="2AA12AC7">
      <w:pPr>
        <w:pStyle w:val="38"/>
        <w:numPr>
          <w:ilvl w:val="1"/>
          <w:numId w:val="15"/>
        </w:numPr>
        <w:spacing w:line="312" w:lineRule="auto"/>
        <w:ind w:left="0" w:firstLine="0"/>
        <w:jc w:val="both"/>
        <w:rPr>
          <w:color w:val="000000"/>
        </w:rPr>
      </w:pPr>
      <w:r>
        <w:rPr>
          <w:color w:val="000000"/>
        </w:rPr>
        <w:t xml:space="preserve"> Constituem obrigações deste Órgão: </w:t>
      </w:r>
    </w:p>
    <w:p w14:paraId="1671F426">
      <w:pPr>
        <w:pStyle w:val="38"/>
        <w:spacing w:line="312" w:lineRule="auto"/>
        <w:ind w:left="0"/>
        <w:jc w:val="both"/>
        <w:rPr>
          <w:color w:val="000000"/>
        </w:rPr>
      </w:pPr>
    </w:p>
    <w:p w14:paraId="08A764C8">
      <w:pPr>
        <w:pStyle w:val="38"/>
        <w:numPr>
          <w:ilvl w:val="2"/>
          <w:numId w:val="15"/>
        </w:numPr>
        <w:spacing w:line="312" w:lineRule="auto"/>
        <w:jc w:val="both"/>
      </w:pPr>
      <w:r>
        <w:rPr>
          <w:u w:val="single"/>
        </w:rPr>
        <w:t>realizar a fiscalização da ata</w:t>
      </w:r>
      <w:r>
        <w:t xml:space="preserve">, através dos servidores especialmente designados ou </w:t>
      </w:r>
      <w:r>
        <w:rPr>
          <w:color w:val="000000"/>
        </w:rPr>
        <w:t xml:space="preserve">de seu </w:t>
      </w:r>
      <w:r>
        <w:t xml:space="preserve">substituto que </w:t>
      </w:r>
      <w:r>
        <w:rPr>
          <w:color w:val="000000"/>
        </w:rPr>
        <w:t>exercerá todas as atribuições compatíveis com a fiscalização da presente ata dispostas</w:t>
      </w:r>
      <w:r>
        <w:t xml:space="preserve">, sendo estes:  </w:t>
      </w:r>
    </w:p>
    <w:p w14:paraId="49B30467">
      <w:pPr>
        <w:pStyle w:val="96"/>
        <w:ind w:left="2127" w:firstLine="0"/>
        <w:rPr>
          <w:rFonts w:eastAsia="Arial"/>
          <w:color w:val="auto"/>
          <w:sz w:val="22"/>
          <w:szCs w:val="22"/>
        </w:rPr>
      </w:pPr>
      <w:r>
        <w:rPr>
          <w:rFonts w:eastAsia="Arial"/>
          <w:b/>
          <w:color w:val="auto"/>
          <w:sz w:val="22"/>
          <w:szCs w:val="22"/>
        </w:rPr>
        <w:t>Secretaria Municipal de Saúde</w:t>
      </w:r>
      <w:r>
        <w:rPr>
          <w:rFonts w:eastAsia="Arial"/>
          <w:color w:val="auto"/>
          <w:sz w:val="22"/>
          <w:szCs w:val="22"/>
        </w:rPr>
        <w:t>, a Sra. Samira Cunha Laranjeira, S</w:t>
      </w:r>
      <w:r>
        <w:rPr>
          <w:b/>
          <w:sz w:val="22"/>
          <w:szCs w:val="22"/>
        </w:rPr>
        <w:t>r. José Sodré Almeida Junior</w:t>
      </w:r>
      <w:r>
        <w:rPr>
          <w:sz w:val="22"/>
          <w:szCs w:val="22"/>
        </w:rPr>
        <w:t xml:space="preserve"> como responsável pela fiscalização técnica;</w:t>
      </w:r>
    </w:p>
    <w:p w14:paraId="620996A2">
      <w:pPr>
        <w:pStyle w:val="38"/>
        <w:spacing w:line="312" w:lineRule="auto"/>
        <w:ind w:left="2160"/>
        <w:jc w:val="both"/>
      </w:pPr>
    </w:p>
    <w:p w14:paraId="5FA962C7">
      <w:pPr>
        <w:pStyle w:val="38"/>
        <w:numPr>
          <w:ilvl w:val="2"/>
          <w:numId w:val="15"/>
        </w:numPr>
        <w:spacing w:line="312" w:lineRule="auto"/>
        <w:jc w:val="both"/>
        <w:rPr>
          <w:color w:val="000000"/>
        </w:rPr>
      </w:pPr>
      <w:r>
        <w:t>realizar a gestão</w:t>
      </w:r>
      <w:r>
        <w:rPr>
          <w:color w:val="000000"/>
        </w:rPr>
        <w:t xml:space="preserve"> da ata, </w:t>
      </w:r>
      <w:r>
        <w:t xml:space="preserve">através de servidor especialmente designado </w:t>
      </w:r>
      <w:r>
        <w:rPr>
          <w:b/>
        </w:rPr>
        <w:t>Gleica Pereira Chaves dos Anjos</w:t>
      </w:r>
      <w:r>
        <w:t xml:space="preserve"> que </w:t>
      </w:r>
      <w:r>
        <w:rPr>
          <w:color w:val="000000"/>
        </w:rPr>
        <w:t xml:space="preserve">exercerá as atribuições compatíveis com a </w:t>
      </w:r>
      <w:r>
        <w:t>gestão</w:t>
      </w:r>
      <w:r>
        <w:rPr>
          <w:color w:val="000000"/>
        </w:rPr>
        <w:t xml:space="preserve"> da presente ata.</w:t>
      </w:r>
    </w:p>
    <w:p w14:paraId="1AD30A75">
      <w:pPr>
        <w:pStyle w:val="38"/>
        <w:spacing w:line="312" w:lineRule="auto"/>
        <w:ind w:left="2160"/>
        <w:jc w:val="both"/>
        <w:rPr>
          <w:color w:val="000000"/>
        </w:rPr>
      </w:pPr>
    </w:p>
    <w:p w14:paraId="1426624B">
      <w:pPr>
        <w:pStyle w:val="38"/>
        <w:numPr>
          <w:ilvl w:val="1"/>
          <w:numId w:val="15"/>
        </w:numPr>
        <w:spacing w:line="312" w:lineRule="auto"/>
        <w:ind w:left="0" w:firstLine="0"/>
        <w:jc w:val="both"/>
        <w:rPr>
          <w:color w:val="000000"/>
        </w:rPr>
      </w:pPr>
      <w:r>
        <w:t>O fiscal e gestor da ata,</w:t>
      </w:r>
      <w:r>
        <w:rPr>
          <w:color w:val="000000"/>
        </w:rPr>
        <w:t xml:space="preserve"> conforme </w:t>
      </w:r>
      <w:r>
        <w:t>atribuições</w:t>
      </w:r>
      <w:r>
        <w:rPr>
          <w:color w:val="000000"/>
        </w:rPr>
        <w:t xml:space="preserve"> tomarão conhecimento da ata de registro de preços e de suas eventuais alterações, com o objetivo de assegurar, quando de seu uso, o correto cumprimento de suas disposições;</w:t>
      </w:r>
    </w:p>
    <w:p w14:paraId="4DC8A0ED">
      <w:pPr>
        <w:pStyle w:val="38"/>
        <w:numPr>
          <w:ilvl w:val="1"/>
          <w:numId w:val="15"/>
        </w:numPr>
        <w:spacing w:line="312" w:lineRule="auto"/>
        <w:ind w:left="0" w:firstLine="0"/>
        <w:jc w:val="both"/>
        <w:rPr>
          <w:color w:val="000000"/>
        </w:rPr>
      </w:pPr>
      <w:r>
        <w:rPr>
          <w:rFonts w:eastAsia="Times New Roman" w:cs="Arial"/>
        </w:rPr>
        <w:t>Emitir as ordens de fornecimento conforme a necessidade, especificando as quantidades, lotes e locais de entrega dos medicamentos, materiais de penso e produtos sanitizantes</w:t>
      </w:r>
      <w:r>
        <w:rPr>
          <w:color w:val="000000"/>
        </w:rPr>
        <w:t>;</w:t>
      </w:r>
    </w:p>
    <w:p w14:paraId="001905AA">
      <w:pPr>
        <w:pStyle w:val="38"/>
        <w:numPr>
          <w:ilvl w:val="1"/>
          <w:numId w:val="15"/>
        </w:numPr>
        <w:spacing w:line="312" w:lineRule="auto"/>
        <w:ind w:left="0" w:firstLine="0"/>
        <w:jc w:val="both"/>
        <w:rPr>
          <w:color w:val="000000"/>
        </w:rPr>
      </w:pPr>
      <w:r>
        <w:rPr>
          <w:rFonts w:eastAsia="Times New Roman" w:cs="Arial"/>
        </w:rPr>
        <w:t>Informar com antecedência mínima razoável as solicitações de entrega, respeitando os prazos acordados no contrato</w:t>
      </w:r>
      <w:r>
        <w:rPr>
          <w:color w:val="000000"/>
        </w:rPr>
        <w:t>; </w:t>
      </w:r>
    </w:p>
    <w:p w14:paraId="74CD0BD1">
      <w:pPr>
        <w:pStyle w:val="38"/>
        <w:numPr>
          <w:ilvl w:val="1"/>
          <w:numId w:val="15"/>
        </w:numPr>
        <w:spacing w:line="312" w:lineRule="auto"/>
        <w:ind w:left="0" w:firstLine="0"/>
        <w:jc w:val="both"/>
        <w:rPr>
          <w:color w:val="000000"/>
        </w:rPr>
      </w:pPr>
      <w:r>
        <w:rPr>
          <w:rFonts w:eastAsia="Times New Roman" w:cs="Arial"/>
        </w:rPr>
        <w:t>Realizar a conferência dos produtos no ato do recebimento, verificando quantidade, qualidade, integridade das embalagens, conformidade com as especificações técnicas e validade dos itens</w:t>
      </w:r>
      <w:r>
        <w:rPr>
          <w:color w:val="000000"/>
        </w:rPr>
        <w:t>; </w:t>
      </w:r>
    </w:p>
    <w:p w14:paraId="68B18AD6">
      <w:pPr>
        <w:pStyle w:val="38"/>
        <w:numPr>
          <w:ilvl w:val="1"/>
          <w:numId w:val="15"/>
        </w:numPr>
        <w:spacing w:line="312" w:lineRule="auto"/>
        <w:ind w:left="0" w:firstLine="0"/>
        <w:jc w:val="both"/>
        <w:rPr>
          <w:color w:val="000000"/>
        </w:rPr>
      </w:pPr>
      <w:r>
        <w:rPr>
          <w:rFonts w:eastAsia="Times New Roman" w:cs="Arial"/>
        </w:rPr>
        <w:t>Formalizar a aceitação dos produtos ou relatar eventuais não conformidades, solicitando substituição quando necessário</w:t>
      </w:r>
      <w:r>
        <w:rPr>
          <w:color w:val="000000"/>
        </w:rPr>
        <w:t>;</w:t>
      </w:r>
    </w:p>
    <w:p w14:paraId="719D3205">
      <w:pPr>
        <w:pStyle w:val="38"/>
        <w:numPr>
          <w:ilvl w:val="1"/>
          <w:numId w:val="15"/>
        </w:numPr>
        <w:spacing w:line="312" w:lineRule="auto"/>
        <w:ind w:left="0" w:firstLine="0"/>
        <w:jc w:val="both"/>
        <w:rPr>
          <w:color w:val="000000"/>
        </w:rPr>
      </w:pPr>
      <w:r>
        <w:rPr>
          <w:rFonts w:eastAsia="Times New Roman" w:cs="Arial"/>
        </w:rPr>
        <w:t>Efetuar o pagamento dentro dos prazos estabelecidos no contrato, mediante apresentação das notas fiscais e demais documentos comprobatórios exigidos;</w:t>
      </w:r>
    </w:p>
    <w:p w14:paraId="2B513762">
      <w:pPr>
        <w:pStyle w:val="38"/>
        <w:numPr>
          <w:ilvl w:val="1"/>
          <w:numId w:val="15"/>
        </w:numPr>
        <w:spacing w:line="312" w:lineRule="auto"/>
        <w:ind w:left="0" w:firstLine="0"/>
        <w:jc w:val="both"/>
        <w:rPr>
          <w:color w:val="000000"/>
        </w:rPr>
      </w:pPr>
      <w:r>
        <w:rPr>
          <w:rFonts w:eastAsia="Times New Roman" w:cs="Arial"/>
        </w:rPr>
        <w:t>Garantir que todas as obrigações financeiras sejam cumpridas conforme as cláusulas contratuais, evitando atrasos que possam comprometer o fornecimento dos produtos;</w:t>
      </w:r>
    </w:p>
    <w:p w14:paraId="3FB3F207">
      <w:pPr>
        <w:pStyle w:val="38"/>
        <w:numPr>
          <w:ilvl w:val="1"/>
          <w:numId w:val="15"/>
        </w:numPr>
        <w:spacing w:line="312" w:lineRule="auto"/>
        <w:ind w:left="0" w:firstLine="0"/>
        <w:jc w:val="both"/>
        <w:rPr>
          <w:color w:val="000000"/>
        </w:rPr>
      </w:pPr>
      <w:r>
        <w:rPr>
          <w:rFonts w:eastAsia="Times New Roman" w:cs="Arial"/>
        </w:rPr>
        <w:t>Manter os medicamentos, materiais de penso e produtos sanitizantes armazenados em locais apropriados, seguindo as normas sanitárias e recomendações dos fabricantes;</w:t>
      </w:r>
    </w:p>
    <w:p w14:paraId="5AD01022">
      <w:pPr>
        <w:pStyle w:val="38"/>
        <w:numPr>
          <w:ilvl w:val="1"/>
          <w:numId w:val="15"/>
        </w:numPr>
        <w:spacing w:line="312" w:lineRule="auto"/>
        <w:ind w:left="0" w:firstLine="0"/>
        <w:jc w:val="both"/>
        <w:rPr>
          <w:color w:val="000000"/>
        </w:rPr>
      </w:pPr>
      <w:r>
        <w:rPr>
          <w:rFonts w:eastAsia="Times New Roman" w:cs="Arial"/>
        </w:rPr>
        <w:t>Assegurar que os produtos termolabeis ou sensíveis a fatores ambientais sejam estocados de maneira segura, garantindo sua qualidade e eficácia;</w:t>
      </w:r>
    </w:p>
    <w:p w14:paraId="5670A258">
      <w:pPr>
        <w:pStyle w:val="38"/>
        <w:numPr>
          <w:ilvl w:val="1"/>
          <w:numId w:val="15"/>
        </w:numPr>
        <w:spacing w:line="312" w:lineRule="auto"/>
        <w:ind w:left="0" w:firstLine="0"/>
        <w:jc w:val="both"/>
        <w:rPr>
          <w:color w:val="000000"/>
        </w:rPr>
      </w:pPr>
      <w:r>
        <w:rPr>
          <w:rFonts w:eastAsia="Times New Roman" w:cs="Arial"/>
        </w:rPr>
        <w:t>Fornecer todas as informações necessárias para a correta execução do contrato, esclarecendo dúvidas e alinhando os objetivos com a empresa contratada;</w:t>
      </w:r>
    </w:p>
    <w:p w14:paraId="0D62D685">
      <w:pPr>
        <w:pStyle w:val="38"/>
        <w:numPr>
          <w:ilvl w:val="1"/>
          <w:numId w:val="15"/>
        </w:numPr>
        <w:spacing w:line="312" w:lineRule="auto"/>
        <w:ind w:left="0" w:firstLine="0"/>
        <w:jc w:val="both"/>
        <w:rPr>
          <w:color w:val="000000"/>
        </w:rPr>
      </w:pPr>
      <w:r>
        <w:rPr>
          <w:rFonts w:eastAsia="Times New Roman" w:cs="Arial"/>
        </w:rPr>
        <w:t>Notificar o contratado sobre qualquer alteração na demanda ou necessidade de ajustes nos pedidos de fornecimento;</w:t>
      </w:r>
    </w:p>
    <w:p w14:paraId="6BAE84DF">
      <w:pPr>
        <w:pStyle w:val="38"/>
        <w:numPr>
          <w:ilvl w:val="1"/>
          <w:numId w:val="15"/>
        </w:numPr>
        <w:spacing w:line="312" w:lineRule="auto"/>
        <w:ind w:left="0" w:firstLine="0"/>
        <w:jc w:val="both"/>
        <w:rPr>
          <w:color w:val="000000"/>
        </w:rPr>
      </w:pPr>
      <w:r>
        <w:rPr>
          <w:rFonts w:eastAsia="Times New Roman" w:cs="Arial"/>
        </w:rPr>
        <w:t>Garantir um planejamento adequado das compras e fornecimentos, evitando desabastecimento de medicamentos e insumos essenciais nas unidades de saúde;</w:t>
      </w:r>
    </w:p>
    <w:p w14:paraId="418EFE0A">
      <w:pPr>
        <w:pStyle w:val="38"/>
        <w:numPr>
          <w:ilvl w:val="1"/>
          <w:numId w:val="15"/>
        </w:numPr>
        <w:spacing w:line="312" w:lineRule="auto"/>
        <w:ind w:left="0" w:firstLine="0"/>
        <w:jc w:val="both"/>
        <w:rPr>
          <w:color w:val="000000"/>
        </w:rPr>
      </w:pPr>
      <w:r>
        <w:rPr>
          <w:color w:val="000000"/>
        </w:rPr>
        <w:t>verificar a conformidade das condições registradas perante o mercado, principalmente em relação aos valores praticados e indicar a necessidade da realização do reajuste, d</w:t>
      </w:r>
      <w:r>
        <w:t>e</w:t>
      </w:r>
      <w:r>
        <w:rPr>
          <w:color w:val="000000"/>
        </w:rPr>
        <w:t xml:space="preserve"> repactuação e da revisão de valores;</w:t>
      </w:r>
    </w:p>
    <w:p w14:paraId="62C31DD8">
      <w:pPr>
        <w:pStyle w:val="38"/>
        <w:numPr>
          <w:ilvl w:val="1"/>
          <w:numId w:val="15"/>
        </w:numPr>
        <w:spacing w:line="312" w:lineRule="auto"/>
        <w:ind w:left="0" w:firstLine="0"/>
        <w:jc w:val="both"/>
        <w:rPr>
          <w:color w:val="000000"/>
        </w:rPr>
      </w:pPr>
      <w:r>
        <w:rPr>
          <w:color w:val="000000"/>
        </w:rPr>
        <w:t>zelar pelos atos relativos ao cumprimento das obrigações assumidas e aplicar, garantida a ampla defesa e o contraditório, as penalidades decorrentes do descumprimento do pactuado na ata de registro de preços, edital e anexos;</w:t>
      </w:r>
    </w:p>
    <w:p w14:paraId="278CB256">
      <w:pPr>
        <w:pStyle w:val="38"/>
        <w:numPr>
          <w:ilvl w:val="1"/>
          <w:numId w:val="15"/>
        </w:numPr>
        <w:spacing w:line="312" w:lineRule="auto"/>
        <w:ind w:left="0" w:firstLine="0"/>
        <w:jc w:val="both"/>
      </w:pPr>
      <w:r>
        <w:t>registrar no Portal Nacional de Contratações Públicas (PNCP), e no Portal da Transparência do Órgão as eventuais irregularidades detectadas e penalidades aplicadas, após o devido processo legal;</w:t>
      </w:r>
    </w:p>
    <w:p w14:paraId="32DC6661">
      <w:pPr>
        <w:pStyle w:val="38"/>
        <w:numPr>
          <w:ilvl w:val="1"/>
          <w:numId w:val="15"/>
        </w:numPr>
        <w:spacing w:line="312" w:lineRule="auto"/>
        <w:ind w:left="0" w:firstLine="0"/>
        <w:jc w:val="both"/>
      </w:pPr>
      <w:r>
        <w:t>providenciar as devidas publicações no Portal Nacional de Contratações Públicas (PNCP);</w:t>
      </w:r>
    </w:p>
    <w:p w14:paraId="49FA0FA3">
      <w:pPr>
        <w:pStyle w:val="38"/>
        <w:numPr>
          <w:ilvl w:val="1"/>
          <w:numId w:val="15"/>
        </w:numPr>
        <w:spacing w:line="312" w:lineRule="auto"/>
        <w:ind w:left="0" w:firstLine="0"/>
        <w:jc w:val="both"/>
        <w:rPr>
          <w:color w:val="000000"/>
        </w:rPr>
      </w:pPr>
      <w:r>
        <w:rPr>
          <w:color w:val="000000"/>
        </w:rPr>
        <w:t>O Órgão não responderá por quaisquer compromissos assumidos pelos fornecedores com terceiros, ainda que vinculados à execução da presente ata, bem como por qualquer dano causado a terceiros em decorrência de ações do(s) fornecedor(es), de seus empregados, prepostos ou subordinados.</w:t>
      </w:r>
    </w:p>
    <w:p w14:paraId="7F749307">
      <w:pPr>
        <w:pStyle w:val="38"/>
        <w:numPr>
          <w:ilvl w:val="1"/>
          <w:numId w:val="15"/>
        </w:numPr>
        <w:spacing w:line="312" w:lineRule="auto"/>
        <w:ind w:left="0" w:firstLine="0"/>
        <w:jc w:val="both"/>
        <w:rPr>
          <w:color w:val="000000"/>
        </w:rPr>
      </w:pPr>
      <w:r>
        <w:t>O Município de Andaraí se obriga a efetuar os pagamentos devidos na forma e condições ora estipuladas;</w:t>
      </w:r>
    </w:p>
    <w:p w14:paraId="15E4D9E8">
      <w:pPr>
        <w:pStyle w:val="38"/>
        <w:numPr>
          <w:ilvl w:val="1"/>
          <w:numId w:val="15"/>
        </w:numPr>
        <w:spacing w:line="312" w:lineRule="auto"/>
        <w:ind w:left="0" w:firstLine="0"/>
        <w:jc w:val="both"/>
        <w:rPr>
          <w:color w:val="000000"/>
        </w:rPr>
      </w:pPr>
      <w:r>
        <w:t>Prestar todos os esclarecimentos necessários à execução do objeto;</w:t>
      </w:r>
    </w:p>
    <w:p w14:paraId="3A10E18D">
      <w:pPr>
        <w:pStyle w:val="38"/>
        <w:numPr>
          <w:ilvl w:val="1"/>
          <w:numId w:val="15"/>
        </w:numPr>
        <w:spacing w:line="312" w:lineRule="auto"/>
        <w:ind w:left="0" w:firstLine="0"/>
        <w:jc w:val="both"/>
        <w:rPr>
          <w:color w:val="000000"/>
        </w:rPr>
      </w:pPr>
      <w:r>
        <w:t xml:space="preserve">Manter a fiscalização necessária para acompanhamento do objeto; </w:t>
      </w:r>
    </w:p>
    <w:p w14:paraId="44F5A80A">
      <w:pPr>
        <w:pStyle w:val="38"/>
        <w:numPr>
          <w:ilvl w:val="1"/>
          <w:numId w:val="15"/>
        </w:numPr>
        <w:spacing w:line="312" w:lineRule="auto"/>
        <w:ind w:left="0" w:firstLine="0"/>
        <w:jc w:val="both"/>
        <w:rPr>
          <w:color w:val="000000"/>
        </w:rPr>
      </w:pPr>
      <w:r>
        <w:t>Aplicar à empresa vencedora as penalidades regulamentares e contratuais cabíveis;</w:t>
      </w:r>
    </w:p>
    <w:p w14:paraId="6DA9EF9F">
      <w:pPr>
        <w:pStyle w:val="38"/>
        <w:numPr>
          <w:ilvl w:val="1"/>
          <w:numId w:val="15"/>
        </w:numPr>
        <w:spacing w:line="312" w:lineRule="auto"/>
        <w:ind w:left="0" w:firstLine="0"/>
        <w:jc w:val="both"/>
        <w:rPr>
          <w:color w:val="000000"/>
        </w:rPr>
      </w:pPr>
      <w:r>
        <w:t>A Administração não responderá por quaisquer compromissos assumidos pela empresa vencedora com terceiros, ainda que vinculados à execução do presente Termo de Contrato/ata, bem como por qualquer dano causado a terceiros em decorrência de ato da empresa vencedora, de seus empregados, prepostos ou subordinados.</w:t>
      </w:r>
    </w:p>
    <w:p w14:paraId="49709A1D">
      <w:pPr>
        <w:pStyle w:val="38"/>
        <w:spacing w:line="312" w:lineRule="auto"/>
        <w:ind w:left="0"/>
        <w:jc w:val="both"/>
        <w:rPr>
          <w:color w:val="000000"/>
        </w:rPr>
      </w:pPr>
    </w:p>
    <w:p w14:paraId="1BAF9805">
      <w:pPr>
        <w:pStyle w:val="38"/>
        <w:numPr>
          <w:ilvl w:val="0"/>
          <w:numId w:val="3"/>
        </w:numPr>
        <w:spacing w:before="360" w:after="360" w:line="240" w:lineRule="auto"/>
        <w:jc w:val="both"/>
        <w:rPr>
          <w:b/>
          <w:color w:val="000000"/>
          <w:sz w:val="24"/>
          <w:szCs w:val="24"/>
        </w:rPr>
      </w:pPr>
      <w:r>
        <w:rPr>
          <w:b/>
          <w:color w:val="000000"/>
          <w:sz w:val="24"/>
          <w:szCs w:val="24"/>
        </w:rPr>
        <w:t>CLÁUSULA DÉCIMA – DAS ALTERAÇÕES QUANTITATIVAS E QUALITATIVAS</w:t>
      </w:r>
    </w:p>
    <w:p w14:paraId="4A4FC8D5">
      <w:pPr>
        <w:pStyle w:val="38"/>
        <w:spacing w:before="360" w:after="360" w:line="240" w:lineRule="auto"/>
        <w:ind w:left="360"/>
        <w:jc w:val="both"/>
        <w:rPr>
          <w:b/>
          <w:color w:val="000000"/>
          <w:sz w:val="24"/>
          <w:szCs w:val="24"/>
        </w:rPr>
      </w:pPr>
    </w:p>
    <w:p w14:paraId="10A42A16">
      <w:pPr>
        <w:pStyle w:val="38"/>
        <w:numPr>
          <w:ilvl w:val="1"/>
          <w:numId w:val="16"/>
        </w:numPr>
        <w:spacing w:line="312" w:lineRule="auto"/>
        <w:ind w:left="0" w:firstLine="0"/>
        <w:jc w:val="both"/>
        <w:rPr>
          <w:color w:val="000000"/>
        </w:rPr>
      </w:pPr>
      <w:r>
        <w:rPr>
          <w:color w:val="000000"/>
        </w:rPr>
        <w:t>A presente ata de registro de preços poderá ser alterada, com as devidas justificativas, unilateralmente pela Administração, quando:</w:t>
      </w:r>
    </w:p>
    <w:p w14:paraId="63C40EA5">
      <w:pPr>
        <w:pStyle w:val="38"/>
        <w:numPr>
          <w:ilvl w:val="2"/>
          <w:numId w:val="16"/>
        </w:numPr>
        <w:spacing w:line="312" w:lineRule="auto"/>
        <w:ind w:hanging="11"/>
        <w:jc w:val="both"/>
        <w:rPr>
          <w:color w:val="000000"/>
        </w:rPr>
      </w:pPr>
      <w:r>
        <w:rPr>
          <w:color w:val="000000"/>
        </w:rPr>
        <w:t>Existir modificação do projeto ou das especificações, para melhor adequação técnica a seus objetivos;</w:t>
      </w:r>
    </w:p>
    <w:p w14:paraId="3901DEC3">
      <w:pPr>
        <w:pStyle w:val="38"/>
        <w:numPr>
          <w:ilvl w:val="2"/>
          <w:numId w:val="16"/>
        </w:numPr>
        <w:spacing w:line="312" w:lineRule="auto"/>
        <w:ind w:hanging="11"/>
        <w:jc w:val="both"/>
        <w:rPr>
          <w:color w:val="000000"/>
        </w:rPr>
      </w:pPr>
      <w:r>
        <w:rPr>
          <w:color w:val="000000"/>
        </w:rPr>
        <w:t>Existir necessidade de modificar o valor registrado em decorrência de acréscimo ou diminuição quantitativa de seu objeto, nos limites permitidos pela Lei 14.133/21;</w:t>
      </w:r>
    </w:p>
    <w:p w14:paraId="6B46DCE9">
      <w:pPr>
        <w:pStyle w:val="38"/>
        <w:numPr>
          <w:ilvl w:val="1"/>
          <w:numId w:val="16"/>
        </w:numPr>
        <w:spacing w:line="312" w:lineRule="auto"/>
        <w:ind w:left="0" w:firstLine="0"/>
        <w:jc w:val="both"/>
        <w:rPr>
          <w:color w:val="000000"/>
        </w:rPr>
      </w:pPr>
      <w:r>
        <w:rPr>
          <w:color w:val="000000"/>
        </w:rPr>
        <w:t>As alterações qualitativas e quantitativas na presente ata de registro de preços observarão os requisitos dispostos no art. 124 e seguintes da Lei n° 14.133/2021.</w:t>
      </w:r>
    </w:p>
    <w:p w14:paraId="1845CE20">
      <w:pPr>
        <w:pStyle w:val="38"/>
        <w:numPr>
          <w:ilvl w:val="1"/>
          <w:numId w:val="16"/>
        </w:numPr>
        <w:spacing w:line="312" w:lineRule="auto"/>
        <w:ind w:left="0" w:firstLine="0"/>
        <w:jc w:val="both"/>
        <w:rPr>
          <w:color w:val="000000"/>
        </w:rPr>
      </w:pPr>
      <w:r>
        <w:rPr>
          <w:rFonts w:cs="Arial"/>
          <w:color w:val="000000"/>
        </w:rPr>
        <w:t>Quando existir prorrogação da vigência da ata de registro de preços poderá ocorrer à renovação dos quantitativos registrados, sem que ocorra a acumulação de itens entre os períodos.</w:t>
      </w:r>
    </w:p>
    <w:p w14:paraId="774BCEA6">
      <w:pPr>
        <w:pStyle w:val="38"/>
        <w:numPr>
          <w:ilvl w:val="1"/>
          <w:numId w:val="16"/>
        </w:numPr>
        <w:spacing w:line="312" w:lineRule="auto"/>
        <w:ind w:left="0" w:firstLine="0"/>
        <w:jc w:val="both"/>
        <w:rPr>
          <w:color w:val="000000"/>
        </w:rPr>
      </w:pPr>
      <w:r>
        <w:rPr>
          <w:rFonts w:cs="Arial"/>
          <w:color w:val="000000"/>
        </w:rPr>
        <w:t>A renovação dos quantitativos registrados respeitará o limite do quantitativo original, acrescido de eventual aditivo quantitativo realizado no primeiro ano de vigência da ata.</w:t>
      </w:r>
    </w:p>
    <w:p w14:paraId="20AF9CED">
      <w:pPr>
        <w:pStyle w:val="38"/>
        <w:spacing w:line="312" w:lineRule="auto"/>
        <w:ind w:left="0"/>
        <w:jc w:val="both"/>
        <w:rPr>
          <w:color w:val="000000"/>
        </w:rPr>
      </w:pPr>
    </w:p>
    <w:p w14:paraId="524B1FB8">
      <w:pPr>
        <w:pStyle w:val="38"/>
        <w:numPr>
          <w:ilvl w:val="0"/>
          <w:numId w:val="16"/>
        </w:numPr>
        <w:spacing w:before="360" w:after="360" w:line="240" w:lineRule="auto"/>
        <w:ind w:left="0" w:firstLine="0"/>
        <w:jc w:val="both"/>
        <w:rPr>
          <w:rFonts w:ascii="Times New Roman" w:hAnsi="Times New Roman" w:eastAsia="Times New Roman"/>
          <w:sz w:val="24"/>
          <w:szCs w:val="24"/>
        </w:rPr>
      </w:pPr>
      <w:r>
        <w:rPr>
          <w:b/>
          <w:color w:val="000000"/>
          <w:sz w:val="24"/>
          <w:szCs w:val="24"/>
        </w:rPr>
        <w:t xml:space="preserve">CLÁUSULA DÉCIMA PRIMEIRA – </w:t>
      </w:r>
      <w:r>
        <w:rPr>
          <w:b/>
          <w:smallCaps/>
          <w:color w:val="000000"/>
          <w:sz w:val="24"/>
          <w:szCs w:val="24"/>
        </w:rPr>
        <w:t>DA ADESÃO À ATA DE REGISTRO DE PREÇOS </w:t>
      </w:r>
    </w:p>
    <w:p w14:paraId="15CCBE07">
      <w:pPr>
        <w:pStyle w:val="38"/>
        <w:spacing w:before="360" w:after="360" w:line="240" w:lineRule="auto"/>
        <w:ind w:left="0"/>
        <w:jc w:val="both"/>
        <w:rPr>
          <w:rFonts w:ascii="Times New Roman" w:hAnsi="Times New Roman" w:eastAsia="Times New Roman"/>
          <w:sz w:val="24"/>
          <w:szCs w:val="24"/>
        </w:rPr>
      </w:pPr>
    </w:p>
    <w:p w14:paraId="2AC964BA">
      <w:pPr>
        <w:pStyle w:val="38"/>
        <w:numPr>
          <w:ilvl w:val="1"/>
          <w:numId w:val="16"/>
        </w:numPr>
        <w:spacing w:line="312" w:lineRule="auto"/>
        <w:ind w:left="0" w:firstLine="0"/>
        <w:jc w:val="both"/>
        <w:rPr>
          <w:rFonts w:cs="Arial"/>
          <w:color w:val="000000"/>
        </w:rPr>
      </w:pPr>
      <w:r>
        <w:rPr>
          <w:rFonts w:cs="Arial"/>
          <w:color w:val="000000"/>
        </w:rPr>
        <w:t xml:space="preserve">É vedada a participação de outro órgão ou entidade na ata de registro de preços. </w:t>
      </w:r>
    </w:p>
    <w:p w14:paraId="7EF4BE74">
      <w:pPr>
        <w:pStyle w:val="38"/>
        <w:spacing w:line="312" w:lineRule="auto"/>
        <w:ind w:left="0"/>
        <w:jc w:val="both"/>
        <w:rPr>
          <w:rFonts w:cs="Arial"/>
          <w:color w:val="000000"/>
        </w:rPr>
      </w:pPr>
    </w:p>
    <w:p w14:paraId="7404D0FA">
      <w:pPr>
        <w:pStyle w:val="38"/>
        <w:numPr>
          <w:ilvl w:val="0"/>
          <w:numId w:val="16"/>
        </w:numPr>
        <w:spacing w:before="360" w:after="360" w:line="240" w:lineRule="auto"/>
        <w:jc w:val="both"/>
        <w:rPr>
          <w:b/>
          <w:color w:val="000000"/>
          <w:sz w:val="24"/>
          <w:szCs w:val="24"/>
        </w:rPr>
      </w:pPr>
      <w:r>
        <w:rPr>
          <w:b/>
          <w:color w:val="000000"/>
          <w:sz w:val="24"/>
          <w:szCs w:val="24"/>
        </w:rPr>
        <w:t>CLÁUSULA DÉCIMA SEGUNDA – DA DOTAÇÃO ORÇAMENTÁRIA</w:t>
      </w:r>
    </w:p>
    <w:p w14:paraId="4EA999BF">
      <w:pPr>
        <w:pStyle w:val="38"/>
        <w:spacing w:before="360" w:after="360" w:line="240" w:lineRule="auto"/>
        <w:ind w:left="480"/>
        <w:jc w:val="both"/>
        <w:rPr>
          <w:b/>
          <w:color w:val="000000"/>
          <w:sz w:val="24"/>
          <w:szCs w:val="24"/>
        </w:rPr>
      </w:pPr>
    </w:p>
    <w:p w14:paraId="333A0CBD">
      <w:pPr>
        <w:pStyle w:val="38"/>
        <w:numPr>
          <w:ilvl w:val="1"/>
          <w:numId w:val="16"/>
        </w:numPr>
        <w:spacing w:line="312" w:lineRule="auto"/>
        <w:ind w:left="0" w:firstLine="0"/>
        <w:jc w:val="both"/>
        <w:rPr>
          <w:b/>
          <w:color w:val="000000"/>
          <w:sz w:val="24"/>
          <w:szCs w:val="24"/>
        </w:rPr>
      </w:pPr>
      <w:r>
        <w:rPr>
          <w:rFonts w:cs="Arial"/>
          <w:color w:val="000000"/>
        </w:rPr>
        <w:t>As despesas decorrentes da presente ata correrão por conta da(s) seguinte(s) Dotação(ões) orçamentária(s) no Exercício:</w:t>
      </w:r>
    </w:p>
    <w:p w14:paraId="0EACD4BA">
      <w:pPr>
        <w:spacing w:line="312" w:lineRule="auto"/>
        <w:jc w:val="both"/>
        <w:rPr>
          <w:b/>
          <w:color w:val="000000"/>
          <w:sz w:val="24"/>
          <w:szCs w:val="24"/>
        </w:rPr>
      </w:pPr>
    </w:p>
    <w:p w14:paraId="68E665E1">
      <w:pPr>
        <w:pStyle w:val="17"/>
        <w:spacing w:line="276" w:lineRule="auto"/>
        <w:jc w:val="both"/>
        <w:rPr>
          <w:rFonts w:cs="Arial"/>
        </w:rPr>
      </w:pPr>
      <w:r>
        <w:rPr>
          <w:rFonts w:cs="Arial"/>
        </w:rPr>
        <w:t xml:space="preserve">Unidade Orçamentária – 0402 – Fundo Municipal de Saúde </w:t>
      </w:r>
    </w:p>
    <w:p w14:paraId="132FEE3E">
      <w:pPr>
        <w:pStyle w:val="17"/>
        <w:spacing w:line="276" w:lineRule="auto"/>
        <w:jc w:val="both"/>
        <w:rPr>
          <w:rFonts w:cs="Arial"/>
        </w:rPr>
      </w:pPr>
      <w:r>
        <w:rPr>
          <w:rFonts w:cs="Arial"/>
        </w:rPr>
        <w:t xml:space="preserve">Projeto Atividade – 2023- Manutenção das ações de Média a Alta Complexidade </w:t>
      </w:r>
    </w:p>
    <w:p w14:paraId="12EF8725">
      <w:pPr>
        <w:pStyle w:val="17"/>
        <w:spacing w:line="276" w:lineRule="auto"/>
        <w:jc w:val="both"/>
        <w:rPr>
          <w:rFonts w:cs="Arial"/>
        </w:rPr>
      </w:pPr>
      <w:r>
        <w:rPr>
          <w:rFonts w:cs="Arial"/>
        </w:rPr>
        <w:t>Elemento de Despesa – 33.90.30.00.00 – Material de consumo</w:t>
      </w:r>
    </w:p>
    <w:p w14:paraId="1F570732">
      <w:pPr>
        <w:pStyle w:val="17"/>
        <w:spacing w:line="276" w:lineRule="auto"/>
        <w:jc w:val="both"/>
        <w:rPr>
          <w:rFonts w:cs="Arial"/>
        </w:rPr>
      </w:pPr>
      <w:r>
        <w:rPr>
          <w:rFonts w:cs="Arial"/>
        </w:rPr>
        <w:t>Fonte de Recurso – 1500</w:t>
      </w:r>
    </w:p>
    <w:p w14:paraId="5A2290C0">
      <w:pPr>
        <w:pStyle w:val="17"/>
        <w:jc w:val="both"/>
        <w:rPr>
          <w:rFonts w:cs="Arial"/>
        </w:rPr>
      </w:pPr>
    </w:p>
    <w:p w14:paraId="19ED491A">
      <w:pPr>
        <w:pStyle w:val="17"/>
        <w:spacing w:line="276" w:lineRule="auto"/>
        <w:jc w:val="both"/>
        <w:rPr>
          <w:rFonts w:cs="Arial"/>
        </w:rPr>
      </w:pPr>
      <w:r>
        <w:rPr>
          <w:rFonts w:cs="Arial"/>
        </w:rPr>
        <w:t xml:space="preserve">Unidade Orçamentária – 0402 – Fundo Municipal de Saúde </w:t>
      </w:r>
    </w:p>
    <w:p w14:paraId="1266DDDE">
      <w:pPr>
        <w:pStyle w:val="17"/>
        <w:spacing w:line="276" w:lineRule="auto"/>
        <w:jc w:val="both"/>
        <w:rPr>
          <w:rFonts w:cs="Arial"/>
        </w:rPr>
      </w:pPr>
      <w:r>
        <w:rPr>
          <w:rFonts w:cs="Arial"/>
        </w:rPr>
        <w:t>Projeto Atividade – 2063- Manutenção das ações de Atenção Primaria</w:t>
      </w:r>
    </w:p>
    <w:p w14:paraId="423AC06E">
      <w:pPr>
        <w:pStyle w:val="17"/>
        <w:spacing w:line="276" w:lineRule="auto"/>
        <w:jc w:val="both"/>
        <w:rPr>
          <w:rFonts w:cs="Arial"/>
        </w:rPr>
      </w:pPr>
      <w:r>
        <w:rPr>
          <w:rFonts w:cs="Arial"/>
        </w:rPr>
        <w:t>Elemento de Despesa – 33.90.30.00.00 – Material de consumo</w:t>
      </w:r>
    </w:p>
    <w:p w14:paraId="02482DEB">
      <w:pPr>
        <w:pStyle w:val="17"/>
        <w:spacing w:line="276" w:lineRule="auto"/>
        <w:jc w:val="both"/>
        <w:rPr>
          <w:rFonts w:cs="Arial"/>
        </w:rPr>
      </w:pPr>
      <w:r>
        <w:rPr>
          <w:rFonts w:cs="Arial"/>
        </w:rPr>
        <w:t>Fonte de Recurso – 1600</w:t>
      </w:r>
    </w:p>
    <w:p w14:paraId="16EC9ED6">
      <w:pPr>
        <w:pStyle w:val="17"/>
        <w:jc w:val="both"/>
        <w:rPr>
          <w:rFonts w:cs="Arial"/>
        </w:rPr>
      </w:pPr>
    </w:p>
    <w:p w14:paraId="3DAFF04F">
      <w:pPr>
        <w:pStyle w:val="17"/>
        <w:spacing w:line="276" w:lineRule="auto"/>
        <w:jc w:val="both"/>
        <w:rPr>
          <w:rFonts w:cs="Arial"/>
        </w:rPr>
      </w:pPr>
      <w:r>
        <w:rPr>
          <w:rFonts w:cs="Arial"/>
        </w:rPr>
        <w:t xml:space="preserve">Unidade Orçamentária – 0402 – Fundo Municipal de Saúde </w:t>
      </w:r>
    </w:p>
    <w:p w14:paraId="38D19ADB">
      <w:pPr>
        <w:pStyle w:val="17"/>
        <w:spacing w:line="276" w:lineRule="auto"/>
        <w:jc w:val="both"/>
        <w:rPr>
          <w:rFonts w:cs="Arial"/>
        </w:rPr>
      </w:pPr>
      <w:r>
        <w:rPr>
          <w:rFonts w:cs="Arial"/>
        </w:rPr>
        <w:t>Projeto Atividade – 2063- Manutenção das ações de Atenção Primaria</w:t>
      </w:r>
    </w:p>
    <w:p w14:paraId="2460EE6D">
      <w:pPr>
        <w:pStyle w:val="17"/>
        <w:spacing w:line="276" w:lineRule="auto"/>
        <w:jc w:val="both"/>
        <w:rPr>
          <w:rFonts w:cs="Arial"/>
        </w:rPr>
      </w:pPr>
      <w:r>
        <w:rPr>
          <w:rFonts w:cs="Arial"/>
        </w:rPr>
        <w:t>Elemento de Despesa – 33.90.30.00.00 – Material de consumo</w:t>
      </w:r>
    </w:p>
    <w:p w14:paraId="7F26D25C">
      <w:pPr>
        <w:pStyle w:val="17"/>
        <w:spacing w:line="276" w:lineRule="auto"/>
        <w:jc w:val="both"/>
        <w:rPr>
          <w:rFonts w:cs="Arial"/>
        </w:rPr>
      </w:pPr>
      <w:r>
        <w:rPr>
          <w:rFonts w:cs="Arial"/>
        </w:rPr>
        <w:t>Fonte de Recurso – 1500</w:t>
      </w:r>
    </w:p>
    <w:p w14:paraId="30DBF415">
      <w:pPr>
        <w:pStyle w:val="17"/>
        <w:jc w:val="both"/>
        <w:rPr>
          <w:rFonts w:cs="Arial"/>
        </w:rPr>
      </w:pPr>
    </w:p>
    <w:p w14:paraId="2682D085">
      <w:pPr>
        <w:pStyle w:val="17"/>
        <w:spacing w:line="276" w:lineRule="auto"/>
        <w:jc w:val="both"/>
        <w:rPr>
          <w:rFonts w:cs="Arial"/>
        </w:rPr>
      </w:pPr>
      <w:r>
        <w:rPr>
          <w:rFonts w:cs="Arial"/>
        </w:rPr>
        <w:t xml:space="preserve">Unidade Orçamentária – 0402 – Fundo Municipal de Saúde </w:t>
      </w:r>
    </w:p>
    <w:p w14:paraId="4E670A85">
      <w:pPr>
        <w:pStyle w:val="17"/>
        <w:spacing w:line="276" w:lineRule="auto"/>
        <w:jc w:val="both"/>
        <w:rPr>
          <w:rFonts w:cs="Arial"/>
        </w:rPr>
      </w:pPr>
      <w:r>
        <w:rPr>
          <w:rFonts w:cs="Arial"/>
        </w:rPr>
        <w:t>Projeto Atividade – 2064- Manutenção da Assistencia Farmacéutica Básica</w:t>
      </w:r>
    </w:p>
    <w:p w14:paraId="3365FB14">
      <w:pPr>
        <w:pStyle w:val="17"/>
        <w:spacing w:line="276" w:lineRule="auto"/>
        <w:jc w:val="both"/>
        <w:rPr>
          <w:rFonts w:cs="Arial"/>
        </w:rPr>
      </w:pPr>
      <w:r>
        <w:rPr>
          <w:rFonts w:cs="Arial"/>
        </w:rPr>
        <w:t>Elemento de Despesa – 33.90.32.00.00 – Material de Distribuição Gratuita</w:t>
      </w:r>
    </w:p>
    <w:p w14:paraId="0A710415">
      <w:pPr>
        <w:pStyle w:val="17"/>
        <w:spacing w:line="276" w:lineRule="auto"/>
        <w:jc w:val="both"/>
        <w:rPr>
          <w:rFonts w:cs="Arial"/>
        </w:rPr>
      </w:pPr>
      <w:r>
        <w:rPr>
          <w:rFonts w:cs="Arial"/>
        </w:rPr>
        <w:t>Fonte de Recurso – 1600</w:t>
      </w:r>
    </w:p>
    <w:p w14:paraId="3E615C34">
      <w:pPr>
        <w:pStyle w:val="17"/>
        <w:spacing w:line="276" w:lineRule="auto"/>
        <w:jc w:val="both"/>
        <w:rPr>
          <w:rFonts w:cs="Arial"/>
        </w:rPr>
      </w:pPr>
    </w:p>
    <w:p w14:paraId="7DDFCF10">
      <w:pPr>
        <w:pStyle w:val="17"/>
        <w:spacing w:line="276" w:lineRule="auto"/>
        <w:jc w:val="both"/>
        <w:rPr>
          <w:rFonts w:cs="Arial"/>
        </w:rPr>
      </w:pPr>
      <w:r>
        <w:rPr>
          <w:rFonts w:cs="Arial"/>
        </w:rPr>
        <w:t xml:space="preserve">Unidade Orçamentária – 0402 – Fundo Municipal de Saúde </w:t>
      </w:r>
    </w:p>
    <w:p w14:paraId="51994461">
      <w:pPr>
        <w:pStyle w:val="17"/>
        <w:spacing w:line="276" w:lineRule="auto"/>
        <w:jc w:val="both"/>
        <w:rPr>
          <w:rFonts w:cs="Arial"/>
        </w:rPr>
      </w:pPr>
      <w:r>
        <w:rPr>
          <w:rFonts w:cs="Arial"/>
        </w:rPr>
        <w:t>Projeto Atividade – 2064- Manutenção da Assistencia Farmacéutica Básica</w:t>
      </w:r>
    </w:p>
    <w:p w14:paraId="26B5D80D">
      <w:pPr>
        <w:pStyle w:val="17"/>
        <w:spacing w:line="276" w:lineRule="auto"/>
        <w:jc w:val="both"/>
        <w:rPr>
          <w:rFonts w:cs="Arial"/>
        </w:rPr>
      </w:pPr>
      <w:r>
        <w:rPr>
          <w:rFonts w:cs="Arial"/>
        </w:rPr>
        <w:t>Elemento de Despesa – 33.90.32.00.00 – Material de Distribuição Gratuita</w:t>
      </w:r>
    </w:p>
    <w:p w14:paraId="0DB12290">
      <w:pPr>
        <w:pStyle w:val="17"/>
        <w:spacing w:line="276" w:lineRule="auto"/>
        <w:jc w:val="both"/>
        <w:rPr>
          <w:rFonts w:cs="Arial"/>
        </w:rPr>
      </w:pPr>
      <w:r>
        <w:rPr>
          <w:rFonts w:cs="Arial"/>
        </w:rPr>
        <w:t>Fonte de Recurso – 1500</w:t>
      </w:r>
    </w:p>
    <w:p w14:paraId="654DDA50">
      <w:pPr>
        <w:pStyle w:val="17"/>
        <w:jc w:val="both"/>
        <w:rPr>
          <w:rFonts w:cs="Arial"/>
        </w:rPr>
      </w:pPr>
    </w:p>
    <w:p w14:paraId="0CAB6A7B">
      <w:pPr>
        <w:pStyle w:val="17"/>
        <w:spacing w:line="276" w:lineRule="auto"/>
        <w:jc w:val="both"/>
        <w:rPr>
          <w:rFonts w:cs="Arial"/>
        </w:rPr>
      </w:pPr>
      <w:r>
        <w:rPr>
          <w:rFonts w:cs="Arial"/>
        </w:rPr>
        <w:t xml:space="preserve">Unidade Orçamentária – 0402 – Fundo Municipal de Saúde </w:t>
      </w:r>
    </w:p>
    <w:p w14:paraId="294AFEA0">
      <w:pPr>
        <w:pStyle w:val="17"/>
        <w:spacing w:line="276" w:lineRule="auto"/>
        <w:jc w:val="both"/>
        <w:rPr>
          <w:rFonts w:cs="Arial"/>
        </w:rPr>
      </w:pPr>
      <w:r>
        <w:rPr>
          <w:rFonts w:cs="Arial"/>
        </w:rPr>
        <w:t xml:space="preserve">Projeto Atividade – 2064- Ações de Vigilancia Sanitaria </w:t>
      </w:r>
    </w:p>
    <w:p w14:paraId="413E9F23">
      <w:pPr>
        <w:pStyle w:val="17"/>
        <w:spacing w:line="276" w:lineRule="auto"/>
        <w:jc w:val="both"/>
        <w:rPr>
          <w:rFonts w:cs="Arial"/>
        </w:rPr>
      </w:pPr>
      <w:r>
        <w:rPr>
          <w:rFonts w:cs="Arial"/>
        </w:rPr>
        <w:t>Elemento de Despesa – 33.90.30.00.00 – Material de Consumo</w:t>
      </w:r>
    </w:p>
    <w:p w14:paraId="3432D419">
      <w:pPr>
        <w:pStyle w:val="17"/>
        <w:spacing w:line="276" w:lineRule="auto"/>
        <w:jc w:val="both"/>
        <w:rPr>
          <w:rFonts w:cs="Arial"/>
        </w:rPr>
      </w:pPr>
      <w:r>
        <w:rPr>
          <w:rFonts w:cs="Arial"/>
        </w:rPr>
        <w:t>Fonte de Recurso – 1500</w:t>
      </w:r>
    </w:p>
    <w:p w14:paraId="657A6901">
      <w:pPr>
        <w:pStyle w:val="17"/>
        <w:spacing w:line="276" w:lineRule="auto"/>
        <w:jc w:val="both"/>
        <w:rPr>
          <w:rFonts w:cs="Arial"/>
        </w:rPr>
      </w:pPr>
    </w:p>
    <w:p w14:paraId="0611A73C">
      <w:pPr>
        <w:pStyle w:val="17"/>
        <w:spacing w:line="276" w:lineRule="auto"/>
        <w:jc w:val="both"/>
        <w:rPr>
          <w:rFonts w:cs="Arial"/>
        </w:rPr>
      </w:pPr>
      <w:r>
        <w:rPr>
          <w:rFonts w:cs="Arial"/>
        </w:rPr>
        <w:t xml:space="preserve">Unidade Orçamentária – 0402 – Fundo Municipal de Saúde </w:t>
      </w:r>
    </w:p>
    <w:p w14:paraId="00F805FE">
      <w:pPr>
        <w:pStyle w:val="17"/>
        <w:spacing w:line="276" w:lineRule="auto"/>
        <w:jc w:val="both"/>
        <w:rPr>
          <w:rFonts w:cs="Arial"/>
        </w:rPr>
      </w:pPr>
      <w:r>
        <w:rPr>
          <w:rFonts w:cs="Arial"/>
        </w:rPr>
        <w:t xml:space="preserve">Projeto Atividade – 2094- Manutenção das Ações de Saúde Bucal </w:t>
      </w:r>
    </w:p>
    <w:p w14:paraId="180E5BE3">
      <w:pPr>
        <w:pStyle w:val="17"/>
        <w:spacing w:line="276" w:lineRule="auto"/>
        <w:jc w:val="both"/>
        <w:rPr>
          <w:rFonts w:cs="Arial"/>
        </w:rPr>
      </w:pPr>
      <w:r>
        <w:rPr>
          <w:rFonts w:cs="Arial"/>
        </w:rPr>
        <w:t>Elemento de Despesa – 33.90.30.00.00 – Material de Consumo</w:t>
      </w:r>
    </w:p>
    <w:p w14:paraId="7368D605">
      <w:pPr>
        <w:pStyle w:val="17"/>
        <w:spacing w:line="276" w:lineRule="auto"/>
        <w:jc w:val="both"/>
        <w:rPr>
          <w:rFonts w:cs="Arial"/>
        </w:rPr>
      </w:pPr>
      <w:r>
        <w:rPr>
          <w:rFonts w:cs="Arial"/>
        </w:rPr>
        <w:t>Fonte de Recurso – 1600</w:t>
      </w:r>
    </w:p>
    <w:p w14:paraId="445C74F7">
      <w:pPr>
        <w:tabs>
          <w:tab w:val="left" w:pos="1783"/>
        </w:tabs>
        <w:autoSpaceDE w:val="0"/>
        <w:autoSpaceDN w:val="0"/>
        <w:adjustRightInd w:val="0"/>
        <w:jc w:val="both"/>
        <w:rPr>
          <w:rFonts w:cs="Arial"/>
        </w:rPr>
      </w:pPr>
    </w:p>
    <w:p w14:paraId="0E0F95D5">
      <w:pPr>
        <w:spacing w:line="312" w:lineRule="auto"/>
        <w:jc w:val="both"/>
        <w:rPr>
          <w:b/>
          <w:color w:val="000000"/>
          <w:sz w:val="24"/>
          <w:szCs w:val="24"/>
        </w:rPr>
      </w:pPr>
    </w:p>
    <w:p w14:paraId="43C0EA77">
      <w:pPr>
        <w:pStyle w:val="32"/>
        <w:numPr>
          <w:ilvl w:val="1"/>
          <w:numId w:val="16"/>
        </w:numPr>
        <w:spacing w:beforeLines="0" w:afterLines="0" w:line="360" w:lineRule="auto"/>
        <w:ind w:left="0" w:firstLine="0"/>
      </w:pPr>
      <w:r>
        <w:t>A dotação relativa aos exercícios financeiros subsequentes será indicada após aprovação da Lei Orçamentária respectiva e liberação dos créditos correspondentes, mediante apostilamento.</w:t>
      </w:r>
    </w:p>
    <w:p w14:paraId="2E9F9863">
      <w:pPr>
        <w:pStyle w:val="38"/>
        <w:numPr>
          <w:ilvl w:val="0"/>
          <w:numId w:val="16"/>
        </w:numPr>
        <w:spacing w:before="360" w:after="360" w:line="240" w:lineRule="auto"/>
        <w:jc w:val="both"/>
        <w:rPr>
          <w:b/>
          <w:color w:val="000000"/>
          <w:sz w:val="24"/>
          <w:szCs w:val="24"/>
        </w:rPr>
      </w:pPr>
      <w:r>
        <w:rPr>
          <w:b/>
          <w:color w:val="000000"/>
          <w:sz w:val="24"/>
          <w:szCs w:val="24"/>
        </w:rPr>
        <w:t>CLÁUSULA DÉCIMA TERCEIRA – DO PAGAMENTO</w:t>
      </w:r>
    </w:p>
    <w:p w14:paraId="7AB7B055">
      <w:pPr>
        <w:pStyle w:val="32"/>
        <w:numPr>
          <w:ilvl w:val="1"/>
          <w:numId w:val="16"/>
        </w:numPr>
        <w:spacing w:beforeLines="0" w:afterLines="0" w:line="360" w:lineRule="auto"/>
        <w:ind w:left="0" w:firstLine="0"/>
      </w:pPr>
      <w:r>
        <w:t>O fornecedor somente poderá emitir nota fiscal/fatura após a emissão da respectiva nota de empenho.</w:t>
      </w:r>
    </w:p>
    <w:p w14:paraId="0D464535">
      <w:pPr>
        <w:pStyle w:val="32"/>
        <w:numPr>
          <w:ilvl w:val="1"/>
          <w:numId w:val="16"/>
        </w:numPr>
        <w:spacing w:beforeLines="0" w:afterLines="0" w:line="360" w:lineRule="auto"/>
        <w:ind w:left="0" w:firstLine="0"/>
      </w:pPr>
      <w:r>
        <w:t>O fornecedor emitirá nota fiscal e enviará a Administração, a qual dará o aceite definitivo no recebimento do objeto, após a devida conferência pelo servidor responsável pelo recebimento.</w:t>
      </w:r>
    </w:p>
    <w:p w14:paraId="028EE5FE">
      <w:pPr>
        <w:pStyle w:val="32"/>
        <w:numPr>
          <w:ilvl w:val="1"/>
          <w:numId w:val="16"/>
        </w:numPr>
        <w:spacing w:beforeLines="0" w:afterLines="0" w:line="360" w:lineRule="auto"/>
        <w:ind w:left="0" w:firstLine="0"/>
      </w:pPr>
      <w:r>
        <w:t xml:space="preserve">O Município efetuará o pagamento em até 10 (dez) dias, contados a partir do recebimento da Nota Fiscal ou Fatura, junto com as certidões necessárias, através de ordem bancária, para crédito em banco, agência e conta corrente indicados pela empresa vencedora; </w:t>
      </w:r>
    </w:p>
    <w:p w14:paraId="59E3D8CD">
      <w:pPr>
        <w:pStyle w:val="32"/>
        <w:numPr>
          <w:ilvl w:val="1"/>
          <w:numId w:val="16"/>
        </w:numPr>
        <w:spacing w:beforeLines="0" w:afterLines="0" w:line="360" w:lineRule="auto"/>
        <w:ind w:left="0" w:right="142" w:firstLine="0"/>
      </w:pPr>
      <w:r>
        <w:t>Considera-se ocorrido o recebimento da nota fiscal ou fatura no momento em que o órgão contratante atestar a execução do objeto do contrato;</w:t>
      </w:r>
    </w:p>
    <w:p w14:paraId="6E5D6D20">
      <w:pPr>
        <w:pStyle w:val="32"/>
        <w:numPr>
          <w:ilvl w:val="1"/>
          <w:numId w:val="16"/>
        </w:numPr>
        <w:spacing w:beforeLines="0" w:afterLines="0" w:line="360" w:lineRule="auto"/>
        <w:ind w:left="0" w:right="142" w:firstLine="0"/>
      </w:pPr>
      <w: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empresa providencie as medidas saneadoras. Nesta hipótese, o prazo para pagamento iniciar-se-á após a comprovação da regularização da situação, não acarretando qualquer ônus para a Contratante; </w:t>
      </w:r>
    </w:p>
    <w:p w14:paraId="43F93ED3">
      <w:pPr>
        <w:pStyle w:val="32"/>
        <w:numPr>
          <w:ilvl w:val="1"/>
          <w:numId w:val="16"/>
        </w:numPr>
        <w:spacing w:beforeLines="0" w:afterLines="0" w:line="360" w:lineRule="auto"/>
        <w:ind w:left="0" w:right="142" w:firstLine="0"/>
      </w:pPr>
      <w:r>
        <w:t xml:space="preserve">Será considerada data do pagamento o dia em que constar como emitida a ordem bancária para pagamento; </w:t>
      </w:r>
    </w:p>
    <w:p w14:paraId="4A0EDE58">
      <w:pPr>
        <w:pStyle w:val="32"/>
        <w:numPr>
          <w:ilvl w:val="1"/>
          <w:numId w:val="16"/>
        </w:numPr>
        <w:spacing w:beforeLines="0" w:afterLines="0" w:line="360" w:lineRule="auto"/>
        <w:ind w:left="0" w:right="142" w:firstLine="0"/>
      </w:pPr>
      <w:r>
        <w:t>É vedada a realização de pagamento antes da execução do objeto ou se o mesmo não estiver de acordo com as especificações deste instrumento.</w:t>
      </w:r>
    </w:p>
    <w:p w14:paraId="2F73DFA0">
      <w:pPr>
        <w:pStyle w:val="38"/>
        <w:numPr>
          <w:ilvl w:val="0"/>
          <w:numId w:val="16"/>
        </w:numPr>
        <w:spacing w:before="360" w:after="360" w:line="240" w:lineRule="auto"/>
        <w:jc w:val="both"/>
        <w:rPr>
          <w:b/>
          <w:color w:val="000000"/>
          <w:sz w:val="24"/>
          <w:szCs w:val="24"/>
        </w:rPr>
      </w:pPr>
      <w:r>
        <w:rPr>
          <w:b/>
          <w:color w:val="000000"/>
          <w:sz w:val="24"/>
          <w:szCs w:val="24"/>
        </w:rPr>
        <w:t>CLÁUSULA DÉCIMA QUARTA – PUBLICAÇÃO</w:t>
      </w:r>
    </w:p>
    <w:p w14:paraId="347F2E54">
      <w:pPr>
        <w:pStyle w:val="32"/>
        <w:numPr>
          <w:ilvl w:val="1"/>
          <w:numId w:val="16"/>
        </w:numPr>
        <w:spacing w:beforeLines="0" w:afterLines="0" w:line="360" w:lineRule="auto"/>
        <w:ind w:left="0" w:firstLine="0"/>
      </w:pPr>
      <w:r>
        <w:t xml:space="preserve">A ata de registro de preços será divulgada no Portal Nacional de Contratações Públicas (PNCP) e no portal da transparência </w:t>
      </w:r>
      <w:r>
        <w:fldChar w:fldCharType="begin"/>
      </w:r>
      <w:r>
        <w:instrText xml:space="preserve"> HYPERLINK "https://pmandarai.transparenciaoficialba.com/diariooficial/?pagina=mai&amp;ano=2024" </w:instrText>
      </w:r>
      <w:r>
        <w:fldChar w:fldCharType="separate"/>
      </w:r>
      <w:r>
        <w:rPr>
          <w:rStyle w:val="16"/>
        </w:rPr>
        <w:t>https://pmandarai.transparenciaoficialba.com/diariooficial/?pagina=mai&amp;ano=2024</w:t>
      </w:r>
      <w:r>
        <w:rPr>
          <w:rStyle w:val="16"/>
        </w:rPr>
        <w:fldChar w:fldCharType="end"/>
      </w:r>
      <w:r>
        <w:t xml:space="preserve"> </w:t>
      </w:r>
    </w:p>
    <w:p w14:paraId="2B21A854">
      <w:pPr>
        <w:pStyle w:val="38"/>
        <w:numPr>
          <w:ilvl w:val="0"/>
          <w:numId w:val="16"/>
        </w:numPr>
        <w:spacing w:before="360" w:after="360" w:line="240" w:lineRule="auto"/>
        <w:jc w:val="both"/>
        <w:rPr>
          <w:b/>
          <w:color w:val="000000"/>
          <w:sz w:val="24"/>
          <w:szCs w:val="24"/>
        </w:rPr>
      </w:pPr>
      <w:r>
        <w:rPr>
          <w:b/>
          <w:color w:val="000000"/>
          <w:sz w:val="24"/>
          <w:szCs w:val="24"/>
        </w:rPr>
        <w:t xml:space="preserve">CLÁUSULA DÉCIMA QUINTA – FORO </w:t>
      </w:r>
    </w:p>
    <w:p w14:paraId="60BA3805">
      <w:pPr>
        <w:pStyle w:val="32"/>
        <w:numPr>
          <w:ilvl w:val="1"/>
          <w:numId w:val="16"/>
        </w:numPr>
        <w:spacing w:beforeLines="0" w:afterLines="0" w:line="360" w:lineRule="auto"/>
        <w:ind w:left="0" w:firstLine="0"/>
        <w:rPr>
          <w:color w:val="auto"/>
        </w:rPr>
      </w:pPr>
      <w:r>
        <w:rPr>
          <w:color w:val="auto"/>
          <w:lang w:eastAsia="en-US"/>
        </w:rPr>
        <w:t xml:space="preserve">Fica eleito o Foro da Comarca de Andaraí - BA, </w:t>
      </w:r>
      <w:r>
        <w:t xml:space="preserve">para dirimir os litígios que decorrerem da execução deste Termo de Contrato que não puderem ser compostos pela conciliação, </w:t>
      </w:r>
      <w:r>
        <w:rPr>
          <w:color w:val="auto"/>
        </w:rPr>
        <w:t xml:space="preserve">conforme </w:t>
      </w:r>
      <w:r>
        <w:fldChar w:fldCharType="begin"/>
      </w:r>
      <w:r>
        <w:instrText xml:space="preserve"> HYPERLINK "http://www.planalto.gov.br/ccivil_03/_ato2019-2022/2021/lei/L14133.htm" \l "art92§1" </w:instrText>
      </w:r>
      <w:r>
        <w:fldChar w:fldCharType="separate"/>
      </w:r>
      <w:r>
        <w:rPr>
          <w:rStyle w:val="16"/>
          <w:color w:val="auto"/>
        </w:rPr>
        <w:t>art. 92, §1º, da Lei nº 14.133/21</w:t>
      </w:r>
      <w:r>
        <w:rPr>
          <w:rStyle w:val="16"/>
          <w:color w:val="auto"/>
        </w:rPr>
        <w:fldChar w:fldCharType="end"/>
      </w:r>
      <w:r>
        <w:rPr>
          <w:color w:val="auto"/>
        </w:rPr>
        <w:t>.</w:t>
      </w:r>
    </w:p>
    <w:p w14:paraId="0FCEFA82">
      <w:pPr>
        <w:pStyle w:val="38"/>
        <w:numPr>
          <w:ilvl w:val="0"/>
          <w:numId w:val="16"/>
        </w:numPr>
        <w:spacing w:before="360" w:after="360" w:line="240" w:lineRule="auto"/>
        <w:jc w:val="both"/>
        <w:rPr>
          <w:b/>
          <w:color w:val="000000"/>
          <w:sz w:val="24"/>
          <w:szCs w:val="24"/>
        </w:rPr>
      </w:pPr>
      <w:r>
        <w:rPr>
          <w:b/>
          <w:color w:val="000000"/>
          <w:sz w:val="24"/>
          <w:szCs w:val="24"/>
        </w:rPr>
        <w:t xml:space="preserve">CLÁUSULA DÉCIMA SEXTA - OUTRAS DISPOSIÇÕES </w:t>
      </w:r>
    </w:p>
    <w:p w14:paraId="1589C217">
      <w:pPr>
        <w:pStyle w:val="32"/>
        <w:numPr>
          <w:ilvl w:val="1"/>
          <w:numId w:val="16"/>
        </w:numPr>
        <w:spacing w:beforeLines="0" w:afterLines="0" w:line="360" w:lineRule="auto"/>
        <w:ind w:left="0" w:firstLine="0"/>
        <w:rPr>
          <w:color w:val="auto"/>
          <w:lang w:eastAsia="en-US"/>
        </w:rPr>
      </w:pPr>
      <w:r>
        <w:rPr>
          <w:color w:val="auto"/>
          <w:lang w:eastAsia="en-US"/>
        </w:rPr>
        <w:t xml:space="preserve"> Os casos omissos ou situações não explicitadas na presente Ata serão decididos pelas partes, no que couber, segundo as disposições da Lei 14.133/21 e suas alterações posteriores, bem como nos regulamentos municipais.</w:t>
      </w:r>
    </w:p>
    <w:p w14:paraId="75580650">
      <w:pPr>
        <w:pStyle w:val="32"/>
        <w:tabs>
          <w:tab w:val="clear" w:pos="1440"/>
        </w:tabs>
        <w:spacing w:beforeLines="0" w:afterLines="0" w:line="360" w:lineRule="auto"/>
        <w:ind w:firstLine="0"/>
        <w:rPr>
          <w:color w:val="auto"/>
          <w:lang w:eastAsia="en-US"/>
        </w:rPr>
      </w:pPr>
    </w:p>
    <w:p w14:paraId="7C04A6F7">
      <w:pPr>
        <w:pStyle w:val="32"/>
        <w:numPr>
          <w:ilvl w:val="1"/>
          <w:numId w:val="16"/>
        </w:numPr>
        <w:spacing w:beforeLines="0" w:afterLines="0" w:line="360" w:lineRule="auto"/>
        <w:ind w:left="0" w:firstLine="0"/>
        <w:rPr>
          <w:color w:val="auto"/>
          <w:lang w:eastAsia="en-US"/>
        </w:rPr>
      </w:pPr>
      <w:r>
        <w:t>Assim, justo e de acordo, as partes assinam a presente ATA, que servirá de instrumento para fins de contratação.</w:t>
      </w:r>
    </w:p>
    <w:p w14:paraId="508BFC7E">
      <w:pPr>
        <w:spacing w:after="240" w:line="240" w:lineRule="auto"/>
        <w:rPr>
          <w:rFonts w:ascii="Times New Roman" w:hAnsi="Times New Roman" w:eastAsia="Times New Roman"/>
          <w:sz w:val="24"/>
          <w:szCs w:val="24"/>
        </w:rPr>
      </w:pPr>
    </w:p>
    <w:tbl>
      <w:tblPr>
        <w:tblStyle w:val="92"/>
        <w:tblW w:w="8504" w:type="dxa"/>
        <w:tblInd w:w="55" w:type="dxa"/>
        <w:tblLayout w:type="fixed"/>
        <w:tblCellMar>
          <w:top w:w="15" w:type="dxa"/>
          <w:left w:w="15" w:type="dxa"/>
          <w:bottom w:w="15" w:type="dxa"/>
          <w:right w:w="15" w:type="dxa"/>
        </w:tblCellMar>
      </w:tblPr>
      <w:tblGrid>
        <w:gridCol w:w="4089"/>
        <w:gridCol w:w="130"/>
        <w:gridCol w:w="4285"/>
      </w:tblGrid>
      <w:tr w14:paraId="5A5B2064">
        <w:tblPrEx>
          <w:tblCellMar>
            <w:top w:w="15" w:type="dxa"/>
            <w:left w:w="15" w:type="dxa"/>
            <w:bottom w:w="15" w:type="dxa"/>
            <w:right w:w="15" w:type="dxa"/>
          </w:tblCellMar>
        </w:tblPrEx>
        <w:trPr>
          <w:trHeight w:val="1331" w:hRule="atLeast"/>
        </w:trPr>
        <w:tc>
          <w:tcPr>
            <w:tcW w:w="4089" w:type="dxa"/>
            <w:tcBorders>
              <w:top w:val="single" w:color="000000" w:sz="4" w:space="0"/>
            </w:tcBorders>
            <w:tcMar>
              <w:top w:w="55" w:type="dxa"/>
              <w:left w:w="55" w:type="dxa"/>
              <w:bottom w:w="55" w:type="dxa"/>
              <w:right w:w="55" w:type="dxa"/>
            </w:tcMar>
          </w:tcPr>
          <w:p w14:paraId="6B3708EE">
            <w:pPr>
              <w:spacing w:before="57" w:line="240" w:lineRule="auto"/>
              <w:jc w:val="center"/>
              <w:rPr>
                <w:color w:val="C9211E"/>
                <w:sz w:val="20"/>
                <w:szCs w:val="20"/>
                <w:highlight w:val="yellow"/>
              </w:rPr>
            </w:pPr>
            <w:r>
              <w:rPr>
                <w:color w:val="C9211E"/>
                <w:sz w:val="20"/>
                <w:szCs w:val="20"/>
                <w:highlight w:val="yellow"/>
              </w:rPr>
              <w:t>AUTORIDADE COMPETENTE</w:t>
            </w:r>
          </w:p>
          <w:p w14:paraId="044A8633">
            <w:pPr>
              <w:spacing w:before="57" w:line="240" w:lineRule="auto"/>
              <w:jc w:val="center"/>
              <w:rPr>
                <w:color w:val="C9211E"/>
                <w:sz w:val="20"/>
                <w:szCs w:val="20"/>
                <w:highlight w:val="yellow"/>
              </w:rPr>
            </w:pPr>
          </w:p>
          <w:p w14:paraId="20E93AC5">
            <w:pPr>
              <w:spacing w:before="57" w:line="240" w:lineRule="auto"/>
              <w:jc w:val="center"/>
              <w:rPr>
                <w:color w:val="C9211E"/>
                <w:sz w:val="20"/>
                <w:szCs w:val="20"/>
                <w:highlight w:val="yellow"/>
              </w:rPr>
            </w:pPr>
          </w:p>
        </w:tc>
        <w:tc>
          <w:tcPr>
            <w:tcW w:w="130" w:type="dxa"/>
            <w:tcMar>
              <w:top w:w="55" w:type="dxa"/>
              <w:left w:w="55" w:type="dxa"/>
              <w:bottom w:w="55" w:type="dxa"/>
              <w:right w:w="55" w:type="dxa"/>
            </w:tcMar>
          </w:tcPr>
          <w:p w14:paraId="2C838475">
            <w:pPr>
              <w:spacing w:before="57" w:line="240" w:lineRule="auto"/>
              <w:jc w:val="center"/>
              <w:rPr>
                <w:color w:val="C9211E"/>
                <w:sz w:val="20"/>
                <w:szCs w:val="20"/>
                <w:highlight w:val="yellow"/>
              </w:rPr>
            </w:pPr>
          </w:p>
        </w:tc>
        <w:tc>
          <w:tcPr>
            <w:tcW w:w="4285" w:type="dxa"/>
            <w:tcBorders>
              <w:top w:val="single" w:color="000000" w:sz="4" w:space="0"/>
            </w:tcBorders>
            <w:tcMar>
              <w:top w:w="55" w:type="dxa"/>
              <w:left w:w="55" w:type="dxa"/>
              <w:bottom w:w="55" w:type="dxa"/>
              <w:right w:w="55" w:type="dxa"/>
            </w:tcMar>
          </w:tcPr>
          <w:p w14:paraId="7246714F">
            <w:pPr>
              <w:spacing w:before="57" w:line="240" w:lineRule="auto"/>
              <w:jc w:val="center"/>
              <w:rPr>
                <w:color w:val="C9211E"/>
                <w:sz w:val="20"/>
                <w:szCs w:val="20"/>
                <w:highlight w:val="yellow"/>
              </w:rPr>
            </w:pPr>
            <w:r>
              <w:rPr>
                <w:color w:val="C9211E"/>
                <w:sz w:val="20"/>
                <w:szCs w:val="20"/>
                <w:highlight w:val="yellow"/>
              </w:rPr>
              <w:t>GESTOR DA ATA DE REGISTRO DE PREÇOS</w:t>
            </w:r>
          </w:p>
          <w:p w14:paraId="5A8341C8">
            <w:pPr>
              <w:spacing w:before="57" w:line="240" w:lineRule="auto"/>
              <w:jc w:val="center"/>
              <w:rPr>
                <w:color w:val="C9211E"/>
                <w:sz w:val="20"/>
                <w:szCs w:val="20"/>
                <w:highlight w:val="yellow"/>
              </w:rPr>
            </w:pPr>
          </w:p>
          <w:p w14:paraId="58093F7D">
            <w:pPr>
              <w:spacing w:before="57" w:line="240" w:lineRule="auto"/>
              <w:jc w:val="center"/>
              <w:rPr>
                <w:color w:val="C9211E"/>
                <w:sz w:val="20"/>
                <w:szCs w:val="20"/>
                <w:highlight w:val="yellow"/>
              </w:rPr>
            </w:pPr>
          </w:p>
        </w:tc>
      </w:tr>
    </w:tbl>
    <w:tbl>
      <w:tblPr>
        <w:tblStyle w:val="93"/>
        <w:tblW w:w="4296" w:type="dxa"/>
        <w:tblInd w:w="55" w:type="dxa"/>
        <w:tblLayout w:type="fixed"/>
        <w:tblCellMar>
          <w:top w:w="15" w:type="dxa"/>
          <w:left w:w="15" w:type="dxa"/>
          <w:bottom w:w="15" w:type="dxa"/>
          <w:right w:w="15" w:type="dxa"/>
        </w:tblCellMar>
      </w:tblPr>
      <w:tblGrid>
        <w:gridCol w:w="259"/>
        <w:gridCol w:w="4037"/>
      </w:tblGrid>
      <w:tr w14:paraId="0428D640">
        <w:tblPrEx>
          <w:tblCellMar>
            <w:top w:w="15" w:type="dxa"/>
            <w:left w:w="15" w:type="dxa"/>
            <w:bottom w:w="15" w:type="dxa"/>
            <w:right w:w="15" w:type="dxa"/>
          </w:tblCellMar>
        </w:tblPrEx>
        <w:trPr>
          <w:trHeight w:val="755" w:hRule="atLeast"/>
        </w:trPr>
        <w:tc>
          <w:tcPr>
            <w:tcW w:w="259" w:type="dxa"/>
            <w:tcMar>
              <w:top w:w="55" w:type="dxa"/>
              <w:left w:w="55" w:type="dxa"/>
              <w:bottom w:w="55" w:type="dxa"/>
              <w:right w:w="55" w:type="dxa"/>
            </w:tcMar>
          </w:tcPr>
          <w:p w14:paraId="6E9CAE0F">
            <w:pPr>
              <w:spacing w:before="57" w:line="240" w:lineRule="auto"/>
              <w:jc w:val="center"/>
              <w:rPr>
                <w:color w:val="C9211E"/>
                <w:sz w:val="20"/>
                <w:szCs w:val="20"/>
                <w:highlight w:val="yellow"/>
              </w:rPr>
            </w:pPr>
          </w:p>
        </w:tc>
        <w:tc>
          <w:tcPr>
            <w:tcW w:w="4037" w:type="dxa"/>
            <w:tcBorders>
              <w:top w:val="single" w:color="000000" w:sz="4" w:space="0"/>
            </w:tcBorders>
            <w:tcMar>
              <w:top w:w="55" w:type="dxa"/>
              <w:left w:w="55" w:type="dxa"/>
              <w:bottom w:w="55" w:type="dxa"/>
              <w:right w:w="55" w:type="dxa"/>
            </w:tcMar>
          </w:tcPr>
          <w:p w14:paraId="3FA7B258">
            <w:pPr>
              <w:spacing w:before="57" w:line="240" w:lineRule="auto"/>
              <w:jc w:val="center"/>
              <w:rPr>
                <w:color w:val="C9211E"/>
                <w:sz w:val="20"/>
                <w:szCs w:val="20"/>
                <w:highlight w:val="yellow"/>
              </w:rPr>
            </w:pPr>
            <w:r>
              <w:rPr>
                <w:color w:val="C9211E"/>
                <w:sz w:val="20"/>
                <w:szCs w:val="20"/>
                <w:highlight w:val="yellow"/>
              </w:rPr>
              <w:t>FORNECEDOR</w:t>
            </w:r>
          </w:p>
        </w:tc>
      </w:tr>
    </w:tbl>
    <w:p w14:paraId="7C045C4A">
      <w:pPr>
        <w:spacing w:before="120" w:after="280" w:line="312" w:lineRule="auto"/>
        <w:jc w:val="both"/>
        <w:rPr>
          <w:rFonts w:cs="Arial" w:eastAsiaTheme="minorEastAsia"/>
          <w:color w:val="000000"/>
          <w:szCs w:val="20"/>
        </w:rPr>
      </w:pPr>
      <w:r>
        <w:rPr>
          <w:rFonts w:cs="Arial" w:eastAsiaTheme="minorEastAsia"/>
          <w:color w:val="000000"/>
          <w:szCs w:val="20"/>
        </w:rPr>
        <w:t>TESTEMUNHAS:</w:t>
      </w:r>
    </w:p>
    <w:p w14:paraId="5CB8BEF4">
      <w:pPr>
        <w:spacing w:before="120" w:after="280" w:line="312" w:lineRule="auto"/>
        <w:jc w:val="both"/>
        <w:rPr>
          <w:highlight w:val="white"/>
        </w:rPr>
      </w:pPr>
      <w:r>
        <w:rPr>
          <w:rFonts w:cs="Arial" w:eastAsiaTheme="minorEastAsia"/>
          <w:color w:val="000000"/>
          <w:szCs w:val="20"/>
        </w:rPr>
        <w:t>1-</w:t>
      </w:r>
      <w:r>
        <w:rPr>
          <w:rFonts w:cs="Arial" w:eastAsiaTheme="minorEastAsia"/>
          <w:color w:val="000000"/>
          <w:szCs w:val="20"/>
        </w:rPr>
        <w:tab/>
      </w:r>
      <w:r>
        <w:rPr>
          <w:rFonts w:cs="Arial" w:eastAsiaTheme="minorEastAsia"/>
          <w:color w:val="000000"/>
          <w:szCs w:val="20"/>
        </w:rPr>
        <w:tab/>
      </w:r>
      <w:r>
        <w:rPr>
          <w:rFonts w:cs="Arial" w:eastAsiaTheme="minorEastAsia"/>
          <w:color w:val="000000"/>
          <w:szCs w:val="20"/>
        </w:rPr>
        <w:tab/>
      </w:r>
      <w:r>
        <w:rPr>
          <w:rFonts w:cs="Arial" w:eastAsiaTheme="minorEastAsia"/>
          <w:color w:val="000000"/>
          <w:szCs w:val="20"/>
        </w:rPr>
        <w:tab/>
      </w:r>
      <w:r>
        <w:rPr>
          <w:rFonts w:cs="Arial" w:eastAsiaTheme="minorEastAsia"/>
          <w:color w:val="000000"/>
          <w:szCs w:val="20"/>
        </w:rPr>
        <w:tab/>
      </w:r>
      <w:r>
        <w:rPr>
          <w:rFonts w:cs="Arial" w:eastAsiaTheme="minorEastAsia"/>
          <w:color w:val="000000"/>
          <w:szCs w:val="20"/>
        </w:rPr>
        <w:tab/>
      </w:r>
      <w:r>
        <w:rPr>
          <w:rFonts w:cs="Arial" w:eastAsiaTheme="minorEastAsia"/>
          <w:color w:val="000000"/>
          <w:szCs w:val="20"/>
        </w:rPr>
        <w:tab/>
      </w:r>
      <w:r>
        <w:rPr>
          <w:rFonts w:cs="Arial" w:eastAsiaTheme="minorEastAsia"/>
          <w:color w:val="000000"/>
          <w:szCs w:val="20"/>
        </w:rPr>
        <w:t>2-</w:t>
      </w:r>
    </w:p>
    <w:sectPr>
      <w:headerReference r:id="rId5" w:type="default"/>
      <w:pgSz w:w="11906" w:h="16838"/>
      <w:pgMar w:top="1417" w:right="1701" w:bottom="1417" w:left="1701" w:header="1134" w:footer="124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等线">
    <w:altName w:val="Microsoft YaHei"/>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Arial MT">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Baskerville Old Face">
    <w:altName w:val="Segoe Print"/>
    <w:panose1 w:val="02020602080505020303"/>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5FBE6">
    <w:pPr>
      <w:pStyle w:val="21"/>
    </w:pPr>
    <w:r>
      <w:rPr>
        <w:rFonts w:cs="Arial"/>
        <w:b/>
        <w:sz w:val="16"/>
      </w:rPr>
      <w:drawing>
        <wp:anchor distT="0" distB="0" distL="114300" distR="114300" simplePos="0" relativeHeight="251659264" behindDoc="0" locked="0" layoutInCell="1" allowOverlap="1">
          <wp:simplePos x="0" y="0"/>
          <wp:positionH relativeFrom="margin">
            <wp:posOffset>4644390</wp:posOffset>
          </wp:positionH>
          <wp:positionV relativeFrom="paragraph">
            <wp:posOffset>-549910</wp:posOffset>
          </wp:positionV>
          <wp:extent cx="962025" cy="838200"/>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2025" cy="838200"/>
                  </a:xfrm>
                  <a:prstGeom prst="rect">
                    <a:avLst/>
                  </a:prstGeom>
                  <a:noFill/>
                  <a:ln>
                    <a:noFill/>
                  </a:ln>
                </pic:spPr>
              </pic:pic>
            </a:graphicData>
          </a:graphic>
        </wp:anchor>
      </w:drawing>
    </w:r>
    <w:r>
      <w:rPr>
        <w:b/>
        <w:sz w:val="28"/>
      </w:rPr>
      <w:drawing>
        <wp:anchor distT="0" distB="0" distL="114300" distR="114300" simplePos="0" relativeHeight="251661312" behindDoc="0" locked="0" layoutInCell="1" allowOverlap="1">
          <wp:simplePos x="0" y="0"/>
          <wp:positionH relativeFrom="margin">
            <wp:posOffset>-89535</wp:posOffset>
          </wp:positionH>
          <wp:positionV relativeFrom="paragraph">
            <wp:posOffset>-547370</wp:posOffset>
          </wp:positionV>
          <wp:extent cx="971550" cy="951230"/>
          <wp:effectExtent l="0" t="0" r="0" b="0"/>
          <wp:wrapNone/>
          <wp:docPr id="58536216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362164" name="Imagem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71550" cy="951230"/>
                  </a:xfrm>
                  <a:prstGeom prst="rect">
                    <a:avLst/>
                  </a:prstGeom>
                </pic:spPr>
              </pic:pic>
            </a:graphicData>
          </a:graphic>
        </wp:anchor>
      </w:drawing>
    </w:r>
    <w:r>
      <w:rPr>
        <w:b/>
        <w:sz w:val="28"/>
        <w:szCs w:val="20"/>
      </w:rPr>
      <mc:AlternateContent>
        <mc:Choice Requires="wps">
          <w:drawing>
            <wp:anchor distT="0" distB="0" distL="114300" distR="114300" simplePos="0" relativeHeight="251660288" behindDoc="0" locked="0" layoutInCell="1" allowOverlap="1">
              <wp:simplePos x="0" y="0"/>
              <wp:positionH relativeFrom="margin">
                <wp:posOffset>939165</wp:posOffset>
              </wp:positionH>
              <wp:positionV relativeFrom="paragraph">
                <wp:posOffset>-558165</wp:posOffset>
              </wp:positionV>
              <wp:extent cx="3448050" cy="838200"/>
              <wp:effectExtent l="0" t="0" r="19050" b="19050"/>
              <wp:wrapNone/>
              <wp:docPr id="1" name="Caixa de Texto 1"/>
              <wp:cNvGraphicFramePr/>
              <a:graphic xmlns:a="http://schemas.openxmlformats.org/drawingml/2006/main">
                <a:graphicData uri="http://schemas.microsoft.com/office/word/2010/wordprocessingShape">
                  <wps:wsp>
                    <wps:cNvSpPr txBox="1">
                      <a:spLocks noChangeArrowheads="1"/>
                    </wps:cNvSpPr>
                    <wps:spPr bwMode="auto">
                      <a:xfrm>
                        <a:off x="0" y="0"/>
                        <a:ext cx="3448050" cy="838200"/>
                      </a:xfrm>
                      <a:prstGeom prst="rect">
                        <a:avLst/>
                      </a:prstGeom>
                      <a:solidFill>
                        <a:srgbClr val="FFFFFF"/>
                      </a:solidFill>
                      <a:ln w="9525">
                        <a:solidFill>
                          <a:srgbClr val="FFFFFF"/>
                        </a:solidFill>
                        <a:miter lim="800000"/>
                      </a:ln>
                    </wps:spPr>
                    <wps:txbx>
                      <w:txbxContent>
                        <w:p w14:paraId="5056CCFB">
                          <w:pPr>
                            <w:spacing w:line="240" w:lineRule="auto"/>
                            <w:ind w:left="-1843" w:right="-1877"/>
                            <w:jc w:val="center"/>
                            <w:rPr>
                              <w:rFonts w:ascii="Baskerville Old Face" w:hAnsi="Baskerville Old Face"/>
                              <w:b/>
                              <w:i/>
                              <w:sz w:val="28"/>
                              <w:szCs w:val="28"/>
                            </w:rPr>
                          </w:pPr>
                        </w:p>
                        <w:p w14:paraId="5B5289A9">
                          <w:pPr>
                            <w:spacing w:line="240" w:lineRule="auto"/>
                            <w:ind w:left="-1843" w:right="-1877"/>
                            <w:jc w:val="center"/>
                            <w:rPr>
                              <w:rFonts w:ascii="Baskerville Old Face" w:hAnsi="Baskerville Old Face"/>
                              <w:b/>
                              <w:i/>
                              <w:sz w:val="28"/>
                              <w:szCs w:val="28"/>
                            </w:rPr>
                          </w:pPr>
                          <w:r>
                            <w:rPr>
                              <w:rFonts w:ascii="Baskerville Old Face" w:hAnsi="Baskerville Old Face"/>
                              <w:b/>
                              <w:i/>
                              <w:sz w:val="28"/>
                              <w:szCs w:val="28"/>
                            </w:rPr>
                            <w:t>MUNICÍPIO DE ANDARAÍ</w:t>
                          </w:r>
                        </w:p>
                        <w:p w14:paraId="4EBE0330">
                          <w:pPr>
                            <w:spacing w:line="240" w:lineRule="auto"/>
                            <w:ind w:left="-1843" w:right="-1877"/>
                            <w:jc w:val="center"/>
                            <w:rPr>
                              <w:rFonts w:ascii="Bookman Old Style" w:hAnsi="Bookman Old Style"/>
                              <w:i/>
                              <w:sz w:val="20"/>
                            </w:rPr>
                          </w:pPr>
                          <w:r>
                            <w:rPr>
                              <w:rFonts w:ascii="Bookman Old Style" w:hAnsi="Bookman Old Style"/>
                              <w:i/>
                              <w:sz w:val="20"/>
                            </w:rPr>
                            <w:t>ESTADO DA BAHIA</w:t>
                          </w:r>
                        </w:p>
                        <w:p w14:paraId="5135C2AB">
                          <w:pPr>
                            <w:spacing w:line="240" w:lineRule="auto"/>
                            <w:ind w:left="-1843" w:right="-1877"/>
                            <w:jc w:val="center"/>
                            <w:rPr>
                              <w:rFonts w:ascii="Bookman Old Style" w:hAnsi="Bookman Old Style"/>
                              <w:i/>
                              <w:sz w:val="20"/>
                              <w:szCs w:val="20"/>
                            </w:rPr>
                          </w:pPr>
                          <w:r>
                            <w:rPr>
                              <w:rFonts w:ascii="Bookman Old Style" w:hAnsi="Bookman Old Style"/>
                              <w:sz w:val="20"/>
                              <w:szCs w:val="20"/>
                            </w:rPr>
                            <w:t>SECRETARIA MUNICIPAL DE ADMINISTRAÇÃO</w:t>
                          </w:r>
                        </w:p>
                        <w:p w14:paraId="28EB86C1">
                          <w:pPr>
                            <w:rPr>
                              <w:rFonts w:ascii="Bookman Old Style" w:hAnsi="Bookman Old Style"/>
                              <w:i/>
                              <w:sz w:val="20"/>
                              <w:szCs w:val="20"/>
                              <w:vertAlign w:val="subscript"/>
                            </w:rPr>
                          </w:pP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p>
                        <w:p w14:paraId="12FFC751">
                          <w:pPr>
                            <w:rPr>
                              <w:rFonts w:ascii="Bookman Old Style" w:hAnsi="Bookman Old Style"/>
                              <w:i/>
                              <w:sz w:val="20"/>
                              <w:szCs w:val="20"/>
                              <w:vertAlign w:val="subscript"/>
                            </w:rPr>
                          </w:pPr>
                        </w:p>
                        <w:p w14:paraId="172E787E">
                          <w:pPr>
                            <w:jc w:val="center"/>
                            <w:rPr>
                              <w:i/>
                              <w:sz w:val="20"/>
                              <w:szCs w:val="20"/>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3.95pt;margin-top:-43.95pt;height:66pt;width:271.5pt;mso-position-horizontal-relative:margin;z-index:251660288;mso-width-relative:page;mso-height-relative:page;" fillcolor="#FFFFFF" filled="t" stroked="t" coordsize="21600,21600" o:gfxdata="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BEmFdcAAAAKAQAADwAAAAAAAAABACAAAAAiAAAAZHJzL2Rvd25yZXYueG1s&#10;UEsBAhQAFAAAAAgAh07iQGyqHx0yAgAAjAQAAA4AAAAAAAAAAQAgAAAAJgEAAGRycy9lMm9Eb2Mu&#10;eG1sUEsFBgAAAAAGAAYAWQEAAMoFAAAAAA==&#10;">
              <v:fill on="t" focussize="0,0"/>
              <v:stroke color="#FFFFFF" miterlimit="8" joinstyle="miter"/>
              <v:imagedata o:title=""/>
              <o:lock v:ext="edit" aspectratio="f"/>
              <v:textbox>
                <w:txbxContent>
                  <w:p w14:paraId="5056CCFB">
                    <w:pPr>
                      <w:spacing w:line="240" w:lineRule="auto"/>
                      <w:ind w:left="-1843" w:right="-1877"/>
                      <w:jc w:val="center"/>
                      <w:rPr>
                        <w:rFonts w:ascii="Baskerville Old Face" w:hAnsi="Baskerville Old Face"/>
                        <w:b/>
                        <w:i/>
                        <w:sz w:val="28"/>
                        <w:szCs w:val="28"/>
                      </w:rPr>
                    </w:pPr>
                  </w:p>
                  <w:p w14:paraId="5B5289A9">
                    <w:pPr>
                      <w:spacing w:line="240" w:lineRule="auto"/>
                      <w:ind w:left="-1843" w:right="-1877"/>
                      <w:jc w:val="center"/>
                      <w:rPr>
                        <w:rFonts w:ascii="Baskerville Old Face" w:hAnsi="Baskerville Old Face"/>
                        <w:b/>
                        <w:i/>
                        <w:sz w:val="28"/>
                        <w:szCs w:val="28"/>
                      </w:rPr>
                    </w:pPr>
                    <w:r>
                      <w:rPr>
                        <w:rFonts w:ascii="Baskerville Old Face" w:hAnsi="Baskerville Old Face"/>
                        <w:b/>
                        <w:i/>
                        <w:sz w:val="28"/>
                        <w:szCs w:val="28"/>
                      </w:rPr>
                      <w:t>MUNICÍPIO DE ANDARAÍ</w:t>
                    </w:r>
                  </w:p>
                  <w:p w14:paraId="4EBE0330">
                    <w:pPr>
                      <w:spacing w:line="240" w:lineRule="auto"/>
                      <w:ind w:left="-1843" w:right="-1877"/>
                      <w:jc w:val="center"/>
                      <w:rPr>
                        <w:rFonts w:ascii="Bookman Old Style" w:hAnsi="Bookman Old Style"/>
                        <w:i/>
                        <w:sz w:val="20"/>
                      </w:rPr>
                    </w:pPr>
                    <w:r>
                      <w:rPr>
                        <w:rFonts w:ascii="Bookman Old Style" w:hAnsi="Bookman Old Style"/>
                        <w:i/>
                        <w:sz w:val="20"/>
                      </w:rPr>
                      <w:t>ESTADO DA BAHIA</w:t>
                    </w:r>
                  </w:p>
                  <w:p w14:paraId="5135C2AB">
                    <w:pPr>
                      <w:spacing w:line="240" w:lineRule="auto"/>
                      <w:ind w:left="-1843" w:right="-1877"/>
                      <w:jc w:val="center"/>
                      <w:rPr>
                        <w:rFonts w:ascii="Bookman Old Style" w:hAnsi="Bookman Old Style"/>
                        <w:i/>
                        <w:sz w:val="20"/>
                        <w:szCs w:val="20"/>
                      </w:rPr>
                    </w:pPr>
                    <w:r>
                      <w:rPr>
                        <w:rFonts w:ascii="Bookman Old Style" w:hAnsi="Bookman Old Style"/>
                        <w:sz w:val="20"/>
                        <w:szCs w:val="20"/>
                      </w:rPr>
                      <w:t>SECRETARIA MUNICIPAL DE ADMINISTRAÇÃO</w:t>
                    </w:r>
                  </w:p>
                  <w:p w14:paraId="28EB86C1">
                    <w:pPr>
                      <w:rPr>
                        <w:rFonts w:ascii="Bookman Old Style" w:hAnsi="Bookman Old Style"/>
                        <w:i/>
                        <w:sz w:val="20"/>
                        <w:szCs w:val="20"/>
                        <w:vertAlign w:val="subscript"/>
                      </w:rPr>
                    </w:pP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p>
                  <w:p w14:paraId="12FFC751">
                    <w:pPr>
                      <w:rPr>
                        <w:rFonts w:ascii="Bookman Old Style" w:hAnsi="Bookman Old Style"/>
                        <w:i/>
                        <w:sz w:val="20"/>
                        <w:szCs w:val="20"/>
                        <w:vertAlign w:val="subscript"/>
                      </w:rPr>
                    </w:pPr>
                  </w:p>
                  <w:p w14:paraId="172E787E">
                    <w:pPr>
                      <w:jc w:val="center"/>
                      <w:rPr>
                        <w:i/>
                        <w:sz w:val="20"/>
                        <w:szCs w:val="20"/>
                      </w:rPr>
                    </w:pPr>
                  </w:p>
                </w:txbxContent>
              </v:textbox>
            </v:shape>
          </w:pict>
        </mc:Fallback>
      </mc:AlternateContent>
    </w:r>
  </w:p>
  <w:p w14:paraId="5DEE8FB8">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4158B"/>
    <w:multiLevelType w:val="multilevel"/>
    <w:tmpl w:val="0104158B"/>
    <w:lvl w:ilvl="0" w:tentative="0">
      <w:start w:val="1"/>
      <w:numFmt w:val="decimal"/>
      <w:lvlText w:val="%1."/>
      <w:lvlJc w:val="left"/>
      <w:pPr>
        <w:ind w:left="360" w:hanging="360"/>
      </w:pPr>
      <w:rPr>
        <w:rFonts w:hint="default" w:ascii="Arial" w:hAnsi="Arial" w:eastAsia="Arial"/>
        <w:color w:val="000000"/>
      </w:rPr>
    </w:lvl>
    <w:lvl w:ilvl="1" w:tentative="0">
      <w:start w:val="1"/>
      <w:numFmt w:val="decimal"/>
      <w:lvlText w:val="%1.%2."/>
      <w:lvlJc w:val="left"/>
      <w:pPr>
        <w:ind w:left="360" w:hanging="360"/>
      </w:pPr>
      <w:rPr>
        <w:rFonts w:hint="default" w:ascii="Arial" w:hAnsi="Arial" w:eastAsia="Arial"/>
        <w:color w:val="000000"/>
      </w:rPr>
    </w:lvl>
    <w:lvl w:ilvl="2" w:tentative="0">
      <w:start w:val="1"/>
      <w:numFmt w:val="decimal"/>
      <w:lvlText w:val="%1.%2.%3."/>
      <w:lvlJc w:val="left"/>
      <w:pPr>
        <w:ind w:left="720" w:hanging="720"/>
      </w:pPr>
      <w:rPr>
        <w:rFonts w:hint="default" w:ascii="Arial" w:hAnsi="Arial" w:eastAsia="Arial"/>
        <w:color w:val="000000"/>
      </w:rPr>
    </w:lvl>
    <w:lvl w:ilvl="3" w:tentative="0">
      <w:start w:val="1"/>
      <w:numFmt w:val="decimal"/>
      <w:lvlText w:val="%1.%2.%3.%4."/>
      <w:lvlJc w:val="left"/>
      <w:pPr>
        <w:ind w:left="720" w:hanging="720"/>
      </w:pPr>
      <w:rPr>
        <w:rFonts w:hint="default" w:ascii="Arial" w:hAnsi="Arial" w:eastAsia="Arial"/>
        <w:color w:val="000000"/>
      </w:rPr>
    </w:lvl>
    <w:lvl w:ilvl="4" w:tentative="0">
      <w:start w:val="1"/>
      <w:numFmt w:val="decimal"/>
      <w:lvlText w:val="%1.%2.%3.%4.%5."/>
      <w:lvlJc w:val="left"/>
      <w:pPr>
        <w:ind w:left="1080" w:hanging="1080"/>
      </w:pPr>
      <w:rPr>
        <w:rFonts w:hint="default" w:ascii="Arial" w:hAnsi="Arial" w:eastAsia="Arial"/>
        <w:color w:val="000000"/>
      </w:rPr>
    </w:lvl>
    <w:lvl w:ilvl="5" w:tentative="0">
      <w:start w:val="1"/>
      <w:numFmt w:val="decimal"/>
      <w:lvlText w:val="%1.%2.%3.%4.%5.%6."/>
      <w:lvlJc w:val="left"/>
      <w:pPr>
        <w:ind w:left="1080" w:hanging="1080"/>
      </w:pPr>
      <w:rPr>
        <w:rFonts w:hint="default" w:ascii="Arial" w:hAnsi="Arial" w:eastAsia="Arial"/>
        <w:color w:val="000000"/>
      </w:rPr>
    </w:lvl>
    <w:lvl w:ilvl="6" w:tentative="0">
      <w:start w:val="1"/>
      <w:numFmt w:val="decimal"/>
      <w:lvlText w:val="%1.%2.%3.%4.%5.%6.%7."/>
      <w:lvlJc w:val="left"/>
      <w:pPr>
        <w:ind w:left="1440" w:hanging="1440"/>
      </w:pPr>
      <w:rPr>
        <w:rFonts w:hint="default" w:ascii="Arial" w:hAnsi="Arial" w:eastAsia="Arial"/>
        <w:color w:val="000000"/>
      </w:rPr>
    </w:lvl>
    <w:lvl w:ilvl="7" w:tentative="0">
      <w:start w:val="1"/>
      <w:numFmt w:val="decimal"/>
      <w:lvlText w:val="%1.%2.%3.%4.%5.%6.%7.%8."/>
      <w:lvlJc w:val="left"/>
      <w:pPr>
        <w:ind w:left="1440" w:hanging="1440"/>
      </w:pPr>
      <w:rPr>
        <w:rFonts w:hint="default" w:ascii="Arial" w:hAnsi="Arial" w:eastAsia="Arial"/>
        <w:color w:val="000000"/>
      </w:rPr>
    </w:lvl>
    <w:lvl w:ilvl="8" w:tentative="0">
      <w:start w:val="1"/>
      <w:numFmt w:val="decimal"/>
      <w:lvlText w:val="%1.%2.%3.%4.%5.%6.%7.%8.%9."/>
      <w:lvlJc w:val="left"/>
      <w:pPr>
        <w:ind w:left="1800" w:hanging="1800"/>
      </w:pPr>
      <w:rPr>
        <w:rFonts w:hint="default" w:ascii="Arial" w:hAnsi="Arial" w:eastAsia="Arial"/>
        <w:color w:val="000000"/>
      </w:rPr>
    </w:lvl>
  </w:abstractNum>
  <w:abstractNum w:abstractNumId="1">
    <w:nsid w:val="067D185B"/>
    <w:multiLevelType w:val="multilevel"/>
    <w:tmpl w:val="067D18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6F87756"/>
    <w:multiLevelType w:val="multilevel"/>
    <w:tmpl w:val="06F87756"/>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7212410"/>
    <w:multiLevelType w:val="multilevel"/>
    <w:tmpl w:val="07212410"/>
    <w:lvl w:ilvl="0" w:tentative="0">
      <w:start w:val="5"/>
      <w:numFmt w:val="decimal"/>
      <w:lvlText w:val="%1."/>
      <w:lvlJc w:val="left"/>
      <w:pPr>
        <w:ind w:left="360" w:hanging="36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4">
    <w:nsid w:val="101C25D3"/>
    <w:multiLevelType w:val="multilevel"/>
    <w:tmpl w:val="101C25D3"/>
    <w:lvl w:ilvl="0" w:tentative="0">
      <w:start w:val="7"/>
      <w:numFmt w:val="decimal"/>
      <w:lvlText w:val="%1."/>
      <w:lvlJc w:val="left"/>
      <w:pPr>
        <w:ind w:left="390" w:hanging="390"/>
      </w:pPr>
      <w:rPr>
        <w:rFonts w:hint="default"/>
        <w:b/>
        <w:sz w:val="24"/>
      </w:rPr>
    </w:lvl>
    <w:lvl w:ilvl="1" w:tentative="0">
      <w:start w:val="1"/>
      <w:numFmt w:val="decimal"/>
      <w:lvlText w:val="%1.%2."/>
      <w:lvlJc w:val="left"/>
      <w:pPr>
        <w:ind w:left="2280" w:hanging="720"/>
      </w:pPr>
      <w:rPr>
        <w:rFonts w:hint="default"/>
        <w:b/>
        <w:sz w:val="24"/>
      </w:rPr>
    </w:lvl>
    <w:lvl w:ilvl="2" w:tentative="0">
      <w:start w:val="1"/>
      <w:numFmt w:val="decimal"/>
      <w:lvlText w:val="%1.%2.%3."/>
      <w:lvlJc w:val="left"/>
      <w:pPr>
        <w:ind w:left="720" w:hanging="720"/>
      </w:pPr>
      <w:rPr>
        <w:rFonts w:hint="default"/>
        <w:b/>
        <w:sz w:val="24"/>
      </w:rPr>
    </w:lvl>
    <w:lvl w:ilvl="3" w:tentative="0">
      <w:start w:val="1"/>
      <w:numFmt w:val="decimal"/>
      <w:lvlText w:val="%1.%2.%3.%4."/>
      <w:lvlJc w:val="left"/>
      <w:pPr>
        <w:ind w:left="1080" w:hanging="1080"/>
      </w:pPr>
      <w:rPr>
        <w:rFonts w:hint="default"/>
        <w:b/>
        <w:sz w:val="24"/>
      </w:rPr>
    </w:lvl>
    <w:lvl w:ilvl="4" w:tentative="0">
      <w:start w:val="1"/>
      <w:numFmt w:val="decimal"/>
      <w:lvlText w:val="%1.%2.%3.%4.%5."/>
      <w:lvlJc w:val="left"/>
      <w:pPr>
        <w:ind w:left="1080" w:hanging="1080"/>
      </w:pPr>
      <w:rPr>
        <w:rFonts w:hint="default"/>
        <w:b/>
        <w:sz w:val="24"/>
      </w:rPr>
    </w:lvl>
    <w:lvl w:ilvl="5" w:tentative="0">
      <w:start w:val="1"/>
      <w:numFmt w:val="decimal"/>
      <w:lvlText w:val="%1.%2.%3.%4.%5.%6."/>
      <w:lvlJc w:val="left"/>
      <w:pPr>
        <w:ind w:left="1440" w:hanging="1440"/>
      </w:pPr>
      <w:rPr>
        <w:rFonts w:hint="default"/>
        <w:b/>
        <w:sz w:val="24"/>
      </w:rPr>
    </w:lvl>
    <w:lvl w:ilvl="6" w:tentative="0">
      <w:start w:val="1"/>
      <w:numFmt w:val="decimal"/>
      <w:lvlText w:val="%1.%2.%3.%4.%5.%6.%7."/>
      <w:lvlJc w:val="left"/>
      <w:pPr>
        <w:ind w:left="1440" w:hanging="1440"/>
      </w:pPr>
      <w:rPr>
        <w:rFonts w:hint="default"/>
        <w:b/>
        <w:sz w:val="24"/>
      </w:rPr>
    </w:lvl>
    <w:lvl w:ilvl="7" w:tentative="0">
      <w:start w:val="1"/>
      <w:numFmt w:val="decimal"/>
      <w:lvlText w:val="%1.%2.%3.%4.%5.%6.%7.%8."/>
      <w:lvlJc w:val="left"/>
      <w:pPr>
        <w:ind w:left="1800" w:hanging="1800"/>
      </w:pPr>
      <w:rPr>
        <w:rFonts w:hint="default"/>
        <w:b/>
        <w:sz w:val="24"/>
      </w:rPr>
    </w:lvl>
    <w:lvl w:ilvl="8" w:tentative="0">
      <w:start w:val="1"/>
      <w:numFmt w:val="decimal"/>
      <w:lvlText w:val="%1.%2.%3.%4.%5.%6.%7.%8.%9."/>
      <w:lvlJc w:val="left"/>
      <w:pPr>
        <w:ind w:left="1800" w:hanging="1800"/>
      </w:pPr>
      <w:rPr>
        <w:rFonts w:hint="default"/>
        <w:b/>
        <w:sz w:val="24"/>
      </w:rPr>
    </w:lvl>
  </w:abstractNum>
  <w:abstractNum w:abstractNumId="5">
    <w:nsid w:val="38747C63"/>
    <w:multiLevelType w:val="multilevel"/>
    <w:tmpl w:val="38747C63"/>
    <w:lvl w:ilvl="0" w:tentative="0">
      <w:start w:val="6"/>
      <w:numFmt w:val="decimal"/>
      <w:lvlText w:val="%1."/>
      <w:lvlJc w:val="left"/>
      <w:pPr>
        <w:ind w:left="360" w:hanging="360"/>
      </w:pPr>
      <w:rPr>
        <w:rFonts w:hint="default"/>
      </w:rPr>
    </w:lvl>
    <w:lvl w:ilvl="1" w:tentative="0">
      <w:start w:val="2"/>
      <w:numFmt w:val="decimal"/>
      <w:lvlText w:val="%1.%2."/>
      <w:lvlJc w:val="left"/>
      <w:pPr>
        <w:ind w:left="720" w:hanging="72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420923FD"/>
    <w:multiLevelType w:val="multilevel"/>
    <w:tmpl w:val="420923FD"/>
    <w:lvl w:ilvl="0" w:tentative="0">
      <w:start w:val="3"/>
      <w:numFmt w:val="decimal"/>
      <w:lvlText w:val="%1."/>
      <w:lvlJc w:val="left"/>
      <w:pPr>
        <w:ind w:left="360" w:hanging="360"/>
      </w:pPr>
      <w:rPr>
        <w:rFonts w:hint="default"/>
      </w:rPr>
    </w:lvl>
    <w:lvl w:ilvl="1" w:tentative="0">
      <w:start w:val="1"/>
      <w:numFmt w:val="decimal"/>
      <w:lvlText w:val="%1.%2."/>
      <w:lvlJc w:val="left"/>
      <w:pPr>
        <w:ind w:left="720" w:hanging="72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7">
    <w:nsid w:val="43B836C7"/>
    <w:multiLevelType w:val="multilevel"/>
    <w:tmpl w:val="43B836C7"/>
    <w:lvl w:ilvl="0" w:tentative="0">
      <w:start w:val="10"/>
      <w:numFmt w:val="decimal"/>
      <w:lvlText w:val="%1."/>
      <w:lvlJc w:val="left"/>
      <w:pPr>
        <w:ind w:left="480" w:hanging="480"/>
      </w:pPr>
      <w:rPr>
        <w:rFonts w:hint="default" w:ascii="Arial" w:hAnsi="Arial" w:cs="Arial"/>
        <w:b/>
      </w:rPr>
    </w:lvl>
    <w:lvl w:ilvl="1" w:tentative="0">
      <w:start w:val="1"/>
      <w:numFmt w:val="decimal"/>
      <w:lvlText w:val="%1.%2."/>
      <w:lvlJc w:val="left"/>
      <w:pPr>
        <w:ind w:left="862" w:hanging="720"/>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8">
    <w:nsid w:val="61EE212C"/>
    <w:multiLevelType w:val="multilevel"/>
    <w:tmpl w:val="61EE212C"/>
    <w:lvl w:ilvl="0" w:tentative="0">
      <w:start w:val="6"/>
      <w:numFmt w:val="decimal"/>
      <w:lvlText w:val="%1."/>
      <w:lvlJc w:val="left"/>
      <w:pPr>
        <w:ind w:left="360" w:hanging="36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9">
    <w:nsid w:val="62EB2293"/>
    <w:multiLevelType w:val="multilevel"/>
    <w:tmpl w:val="62EB2293"/>
    <w:lvl w:ilvl="0" w:tentative="0">
      <w:start w:val="8"/>
      <w:numFmt w:val="decimal"/>
      <w:lvlText w:val="%1."/>
      <w:lvlJc w:val="left"/>
      <w:pPr>
        <w:ind w:left="360" w:hanging="360"/>
      </w:pPr>
      <w:rPr>
        <w:rFonts w:hint="default"/>
      </w:rPr>
    </w:lvl>
    <w:lvl w:ilvl="1" w:tentative="0">
      <w:start w:val="1"/>
      <w:numFmt w:val="decimal"/>
      <w:lvlText w:val="%1.%2."/>
      <w:lvlJc w:val="left"/>
      <w:pPr>
        <w:ind w:left="720" w:hanging="720"/>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0">
    <w:nsid w:val="70D61EC9"/>
    <w:multiLevelType w:val="multilevel"/>
    <w:tmpl w:val="70D61EC9"/>
    <w:lvl w:ilvl="0" w:tentative="0">
      <w:start w:val="1"/>
      <w:numFmt w:val="decimal"/>
      <w:lvlText w:val="%1."/>
      <w:lvlJc w:val="left"/>
      <w:pPr>
        <w:ind w:left="360" w:hanging="360"/>
      </w:pPr>
      <w:rPr>
        <w:rFonts w:hint="default" w:ascii="Arial" w:hAnsi="Arial" w:eastAsia="Arial"/>
        <w:b/>
        <w:color w:val="000000"/>
      </w:rPr>
    </w:lvl>
    <w:lvl w:ilvl="1" w:tentative="0">
      <w:start w:val="1"/>
      <w:numFmt w:val="decimal"/>
      <w:lvlText w:val="%2."/>
      <w:lvlJc w:val="left"/>
      <w:pPr>
        <w:ind w:left="360" w:hanging="360"/>
      </w:pPr>
      <w:rPr>
        <w:rFonts w:ascii="Arial" w:hAnsi="Arial" w:eastAsia="Arial" w:cs="Times New Roman"/>
        <w:b/>
        <w:color w:val="000000"/>
      </w:rPr>
    </w:lvl>
    <w:lvl w:ilvl="2" w:tentative="0">
      <w:start w:val="1"/>
      <w:numFmt w:val="decimal"/>
      <w:lvlText w:val="%1.%2.%3."/>
      <w:lvlJc w:val="left"/>
      <w:pPr>
        <w:ind w:left="720" w:hanging="720"/>
      </w:pPr>
      <w:rPr>
        <w:rFonts w:hint="default" w:ascii="Arial" w:hAnsi="Arial" w:eastAsia="Arial"/>
        <w:b/>
        <w:color w:val="000000"/>
      </w:rPr>
    </w:lvl>
    <w:lvl w:ilvl="3" w:tentative="0">
      <w:start w:val="1"/>
      <w:numFmt w:val="decimal"/>
      <w:lvlText w:val="%1.%2.%3.%4."/>
      <w:lvlJc w:val="left"/>
      <w:pPr>
        <w:ind w:left="720" w:hanging="720"/>
      </w:pPr>
      <w:rPr>
        <w:rFonts w:hint="default" w:ascii="Arial" w:hAnsi="Arial" w:eastAsia="Arial"/>
        <w:b/>
        <w:color w:val="000000"/>
      </w:rPr>
    </w:lvl>
    <w:lvl w:ilvl="4" w:tentative="0">
      <w:start w:val="1"/>
      <w:numFmt w:val="decimal"/>
      <w:lvlText w:val="%1.%2.%3.%4.%5."/>
      <w:lvlJc w:val="left"/>
      <w:pPr>
        <w:ind w:left="1080" w:hanging="1080"/>
      </w:pPr>
      <w:rPr>
        <w:rFonts w:hint="default" w:ascii="Arial" w:hAnsi="Arial" w:eastAsia="Arial"/>
        <w:b/>
        <w:color w:val="000000"/>
      </w:rPr>
    </w:lvl>
    <w:lvl w:ilvl="5" w:tentative="0">
      <w:start w:val="1"/>
      <w:numFmt w:val="decimal"/>
      <w:lvlText w:val="%1.%2.%3.%4.%5.%6."/>
      <w:lvlJc w:val="left"/>
      <w:pPr>
        <w:ind w:left="1080" w:hanging="1080"/>
      </w:pPr>
      <w:rPr>
        <w:rFonts w:hint="default" w:ascii="Arial" w:hAnsi="Arial" w:eastAsia="Arial"/>
        <w:b/>
        <w:color w:val="000000"/>
      </w:rPr>
    </w:lvl>
    <w:lvl w:ilvl="6" w:tentative="0">
      <w:start w:val="1"/>
      <w:numFmt w:val="decimal"/>
      <w:lvlText w:val="%1.%2.%3.%4.%5.%6.%7."/>
      <w:lvlJc w:val="left"/>
      <w:pPr>
        <w:ind w:left="1440" w:hanging="1440"/>
      </w:pPr>
      <w:rPr>
        <w:rFonts w:hint="default" w:ascii="Arial" w:hAnsi="Arial" w:eastAsia="Arial"/>
        <w:b/>
        <w:color w:val="000000"/>
      </w:rPr>
    </w:lvl>
    <w:lvl w:ilvl="7" w:tentative="0">
      <w:start w:val="1"/>
      <w:numFmt w:val="decimal"/>
      <w:lvlText w:val="%1.%2.%3.%4.%5.%6.%7.%8."/>
      <w:lvlJc w:val="left"/>
      <w:pPr>
        <w:ind w:left="1440" w:hanging="1440"/>
      </w:pPr>
      <w:rPr>
        <w:rFonts w:hint="default" w:ascii="Arial" w:hAnsi="Arial" w:eastAsia="Arial"/>
        <w:b/>
        <w:color w:val="000000"/>
      </w:rPr>
    </w:lvl>
    <w:lvl w:ilvl="8" w:tentative="0">
      <w:start w:val="1"/>
      <w:numFmt w:val="decimal"/>
      <w:lvlText w:val="%1.%2.%3.%4.%5.%6.%7.%8.%9."/>
      <w:lvlJc w:val="left"/>
      <w:pPr>
        <w:ind w:left="1800" w:hanging="1800"/>
      </w:pPr>
      <w:rPr>
        <w:rFonts w:hint="default" w:ascii="Arial" w:hAnsi="Arial" w:eastAsia="Arial"/>
        <w:b/>
        <w:color w:val="000000"/>
      </w:rPr>
    </w:lvl>
  </w:abstractNum>
  <w:abstractNum w:abstractNumId="11">
    <w:nsid w:val="723479A9"/>
    <w:multiLevelType w:val="multilevel"/>
    <w:tmpl w:val="723479A9"/>
    <w:lvl w:ilvl="0" w:tentative="0">
      <w:start w:val="4"/>
      <w:numFmt w:val="decimal"/>
      <w:lvlText w:val="%1."/>
      <w:lvlJc w:val="left"/>
      <w:pPr>
        <w:ind w:left="390" w:hanging="390"/>
      </w:pPr>
      <w:rPr>
        <w:rFonts w:hint="default" w:eastAsia="Arial" w:cs="Times New Roman"/>
        <w:b/>
        <w:sz w:val="24"/>
      </w:rPr>
    </w:lvl>
    <w:lvl w:ilvl="1" w:tentative="0">
      <w:start w:val="1"/>
      <w:numFmt w:val="decimal"/>
      <w:lvlText w:val="%1.%2."/>
      <w:lvlJc w:val="left"/>
      <w:pPr>
        <w:ind w:left="720" w:hanging="720"/>
      </w:pPr>
      <w:rPr>
        <w:rFonts w:hint="default" w:eastAsia="Arial" w:cs="Times New Roman"/>
        <w:b/>
        <w:sz w:val="24"/>
      </w:rPr>
    </w:lvl>
    <w:lvl w:ilvl="2" w:tentative="0">
      <w:start w:val="1"/>
      <w:numFmt w:val="decimal"/>
      <w:lvlText w:val="%1.%2.%3."/>
      <w:lvlJc w:val="left"/>
      <w:pPr>
        <w:ind w:left="720" w:hanging="720"/>
      </w:pPr>
      <w:rPr>
        <w:rFonts w:hint="default" w:eastAsia="Arial" w:cs="Times New Roman"/>
        <w:b/>
        <w:sz w:val="24"/>
      </w:rPr>
    </w:lvl>
    <w:lvl w:ilvl="3" w:tentative="0">
      <w:start w:val="1"/>
      <w:numFmt w:val="decimal"/>
      <w:lvlText w:val="%1.%2.%3.%4."/>
      <w:lvlJc w:val="left"/>
      <w:pPr>
        <w:ind w:left="1080" w:hanging="1080"/>
      </w:pPr>
      <w:rPr>
        <w:rFonts w:hint="default" w:eastAsia="Arial" w:cs="Times New Roman"/>
        <w:b/>
        <w:sz w:val="24"/>
      </w:rPr>
    </w:lvl>
    <w:lvl w:ilvl="4" w:tentative="0">
      <w:start w:val="1"/>
      <w:numFmt w:val="decimal"/>
      <w:lvlText w:val="%1.%2.%3.%4.%5."/>
      <w:lvlJc w:val="left"/>
      <w:pPr>
        <w:ind w:left="1080" w:hanging="1080"/>
      </w:pPr>
      <w:rPr>
        <w:rFonts w:hint="default" w:eastAsia="Arial" w:cs="Times New Roman"/>
        <w:b/>
        <w:sz w:val="24"/>
      </w:rPr>
    </w:lvl>
    <w:lvl w:ilvl="5" w:tentative="0">
      <w:start w:val="1"/>
      <w:numFmt w:val="decimal"/>
      <w:lvlText w:val="%1.%2.%3.%4.%5.%6."/>
      <w:lvlJc w:val="left"/>
      <w:pPr>
        <w:ind w:left="1440" w:hanging="1440"/>
      </w:pPr>
      <w:rPr>
        <w:rFonts w:hint="default" w:eastAsia="Arial" w:cs="Times New Roman"/>
        <w:b/>
        <w:sz w:val="24"/>
      </w:rPr>
    </w:lvl>
    <w:lvl w:ilvl="6" w:tentative="0">
      <w:start w:val="1"/>
      <w:numFmt w:val="decimal"/>
      <w:lvlText w:val="%1.%2.%3.%4.%5.%6.%7."/>
      <w:lvlJc w:val="left"/>
      <w:pPr>
        <w:ind w:left="1440" w:hanging="1440"/>
      </w:pPr>
      <w:rPr>
        <w:rFonts w:hint="default" w:eastAsia="Arial" w:cs="Times New Roman"/>
        <w:b/>
        <w:sz w:val="24"/>
      </w:rPr>
    </w:lvl>
    <w:lvl w:ilvl="7" w:tentative="0">
      <w:start w:val="1"/>
      <w:numFmt w:val="decimal"/>
      <w:lvlText w:val="%1.%2.%3.%4.%5.%6.%7.%8."/>
      <w:lvlJc w:val="left"/>
      <w:pPr>
        <w:ind w:left="1800" w:hanging="1800"/>
      </w:pPr>
      <w:rPr>
        <w:rFonts w:hint="default" w:eastAsia="Arial" w:cs="Times New Roman"/>
        <w:b/>
        <w:sz w:val="24"/>
      </w:rPr>
    </w:lvl>
    <w:lvl w:ilvl="8" w:tentative="0">
      <w:start w:val="1"/>
      <w:numFmt w:val="decimal"/>
      <w:lvlText w:val="%1.%2.%3.%4.%5.%6.%7.%8.%9."/>
      <w:lvlJc w:val="left"/>
      <w:pPr>
        <w:ind w:left="1800" w:hanging="1800"/>
      </w:pPr>
      <w:rPr>
        <w:rFonts w:hint="default" w:eastAsia="Arial" w:cs="Times New Roman"/>
        <w:b/>
        <w:sz w:val="24"/>
      </w:rPr>
    </w:lvl>
  </w:abstractNum>
  <w:abstractNum w:abstractNumId="12">
    <w:nsid w:val="79481C99"/>
    <w:multiLevelType w:val="multilevel"/>
    <w:tmpl w:val="79481C99"/>
    <w:lvl w:ilvl="0" w:tentative="0">
      <w:start w:val="2"/>
      <w:numFmt w:val="decimal"/>
      <w:lvlText w:val="%1."/>
      <w:lvlJc w:val="left"/>
      <w:pPr>
        <w:ind w:left="360" w:hanging="36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7C2A2A29"/>
    <w:multiLevelType w:val="multilevel"/>
    <w:tmpl w:val="7C2A2A29"/>
    <w:lvl w:ilvl="0" w:tentative="0">
      <w:start w:val="1"/>
      <w:numFmt w:val="decimal"/>
      <w:pStyle w:val="2"/>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pStyle w:val="4"/>
      <w:lvlText w:val="%3."/>
      <w:lvlJc w:val="left"/>
      <w:pPr>
        <w:tabs>
          <w:tab w:val="left" w:pos="2160"/>
        </w:tabs>
        <w:ind w:left="2160" w:hanging="720"/>
      </w:pPr>
    </w:lvl>
    <w:lvl w:ilvl="3" w:tentative="0">
      <w:start w:val="1"/>
      <w:numFmt w:val="decimal"/>
      <w:pStyle w:val="5"/>
      <w:lvlText w:val="%4."/>
      <w:lvlJc w:val="left"/>
      <w:pPr>
        <w:tabs>
          <w:tab w:val="left" w:pos="2880"/>
        </w:tabs>
        <w:ind w:left="2880" w:hanging="720"/>
      </w:pPr>
    </w:lvl>
    <w:lvl w:ilvl="4" w:tentative="0">
      <w:start w:val="1"/>
      <w:numFmt w:val="decimal"/>
      <w:pStyle w:val="6"/>
      <w:lvlText w:val="%5."/>
      <w:lvlJc w:val="left"/>
      <w:pPr>
        <w:tabs>
          <w:tab w:val="left" w:pos="3600"/>
        </w:tabs>
        <w:ind w:left="3600" w:hanging="720"/>
      </w:pPr>
    </w:lvl>
    <w:lvl w:ilvl="5" w:tentative="0">
      <w:start w:val="1"/>
      <w:numFmt w:val="decimal"/>
      <w:pStyle w:val="7"/>
      <w:lvlText w:val="%6."/>
      <w:lvlJc w:val="left"/>
      <w:pPr>
        <w:tabs>
          <w:tab w:val="left" w:pos="4320"/>
        </w:tabs>
        <w:ind w:left="4320" w:hanging="720"/>
      </w:pPr>
    </w:lvl>
    <w:lvl w:ilvl="6" w:tentative="0">
      <w:start w:val="1"/>
      <w:numFmt w:val="decimal"/>
      <w:pStyle w:val="8"/>
      <w:lvlText w:val="%7."/>
      <w:lvlJc w:val="left"/>
      <w:pPr>
        <w:tabs>
          <w:tab w:val="left" w:pos="5040"/>
        </w:tabs>
        <w:ind w:left="5040" w:hanging="720"/>
      </w:pPr>
    </w:lvl>
    <w:lvl w:ilvl="7" w:tentative="0">
      <w:start w:val="1"/>
      <w:numFmt w:val="decimal"/>
      <w:pStyle w:val="9"/>
      <w:lvlText w:val="%8."/>
      <w:lvlJc w:val="left"/>
      <w:pPr>
        <w:tabs>
          <w:tab w:val="left" w:pos="5760"/>
        </w:tabs>
        <w:ind w:left="5760" w:hanging="720"/>
      </w:pPr>
    </w:lvl>
    <w:lvl w:ilvl="8" w:tentative="0">
      <w:start w:val="1"/>
      <w:numFmt w:val="decimal"/>
      <w:pStyle w:val="10"/>
      <w:lvlText w:val="%9."/>
      <w:lvlJc w:val="left"/>
      <w:pPr>
        <w:tabs>
          <w:tab w:val="left" w:pos="6480"/>
        </w:tabs>
        <w:ind w:left="6480" w:hanging="720"/>
      </w:pPr>
    </w:lvl>
  </w:abstractNum>
  <w:abstractNum w:abstractNumId="14">
    <w:nsid w:val="7E9E4660"/>
    <w:multiLevelType w:val="multilevel"/>
    <w:tmpl w:val="7E9E4660"/>
    <w:lvl w:ilvl="0" w:tentative="0">
      <w:start w:val="9"/>
      <w:numFmt w:val="decimal"/>
      <w:lvlText w:val="%1."/>
      <w:lvlJc w:val="left"/>
      <w:pPr>
        <w:ind w:left="360" w:hanging="360"/>
      </w:pPr>
      <w:rPr>
        <w:rFonts w:hint="default"/>
      </w:rPr>
    </w:lvl>
    <w:lvl w:ilvl="1" w:tentative="0">
      <w:start w:val="1"/>
      <w:numFmt w:val="decimal"/>
      <w:lvlText w:val="%1.%2."/>
      <w:lvlJc w:val="left"/>
      <w:pPr>
        <w:ind w:left="1440" w:hanging="72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3240" w:hanging="108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5040" w:hanging="144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840" w:hanging="1800"/>
      </w:pPr>
      <w:rPr>
        <w:rFonts w:hint="default"/>
      </w:rPr>
    </w:lvl>
    <w:lvl w:ilvl="8" w:tentative="0">
      <w:start w:val="1"/>
      <w:numFmt w:val="decimal"/>
      <w:lvlText w:val="%1.%2.%3.%4.%5.%6.%7.%8.%9."/>
      <w:lvlJc w:val="left"/>
      <w:pPr>
        <w:ind w:left="7560" w:hanging="1800"/>
      </w:pPr>
      <w:rPr>
        <w:rFont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num>
  <w:num w:numId="5">
    <w:abstractNumId w:val="12"/>
  </w:num>
  <w:num w:numId="6">
    <w:abstractNumId w:val="6"/>
  </w:num>
  <w:num w:numId="7">
    <w:abstractNumId w:val="11"/>
  </w:num>
  <w:num w:numId="8">
    <w:abstractNumId w:val="3"/>
  </w:num>
  <w:num w:numId="9">
    <w:abstractNumId w:val="8"/>
  </w:num>
  <w:num w:numId="10">
    <w:abstractNumId w:val="5"/>
  </w:num>
  <w:num w:numId="11">
    <w:abstractNumId w:val="4"/>
  </w:num>
  <w:num w:numId="12">
    <w:abstractNumId w:val="1"/>
  </w:num>
  <w:num w:numId="13">
    <w:abstractNumId w:val="9"/>
  </w:num>
  <w:num w:numId="14">
    <w:abstractNumId w:val="2"/>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DB0"/>
    <w:rsid w:val="00035D98"/>
    <w:rsid w:val="000439E1"/>
    <w:rsid w:val="00047E76"/>
    <w:rsid w:val="000A19D3"/>
    <w:rsid w:val="000D0DB7"/>
    <w:rsid w:val="000F6AE8"/>
    <w:rsid w:val="00130E36"/>
    <w:rsid w:val="00165402"/>
    <w:rsid w:val="001C3BC3"/>
    <w:rsid w:val="002215FF"/>
    <w:rsid w:val="00233973"/>
    <w:rsid w:val="0029086B"/>
    <w:rsid w:val="00297EC3"/>
    <w:rsid w:val="002C18DB"/>
    <w:rsid w:val="002D5D9F"/>
    <w:rsid w:val="00315761"/>
    <w:rsid w:val="00325080"/>
    <w:rsid w:val="00347D72"/>
    <w:rsid w:val="00393DE2"/>
    <w:rsid w:val="003B5FB1"/>
    <w:rsid w:val="003E4A16"/>
    <w:rsid w:val="003F16D8"/>
    <w:rsid w:val="003F7A14"/>
    <w:rsid w:val="00425012"/>
    <w:rsid w:val="004A269E"/>
    <w:rsid w:val="004D0264"/>
    <w:rsid w:val="004F0045"/>
    <w:rsid w:val="004F1527"/>
    <w:rsid w:val="005140AE"/>
    <w:rsid w:val="005315C4"/>
    <w:rsid w:val="00543011"/>
    <w:rsid w:val="00580B42"/>
    <w:rsid w:val="0059517D"/>
    <w:rsid w:val="005A5C7A"/>
    <w:rsid w:val="005E062F"/>
    <w:rsid w:val="005F7AB4"/>
    <w:rsid w:val="0060356D"/>
    <w:rsid w:val="006307C9"/>
    <w:rsid w:val="00631D5D"/>
    <w:rsid w:val="00664A77"/>
    <w:rsid w:val="006D43A5"/>
    <w:rsid w:val="006D48EC"/>
    <w:rsid w:val="006F3A1E"/>
    <w:rsid w:val="00770887"/>
    <w:rsid w:val="00794DB0"/>
    <w:rsid w:val="00814928"/>
    <w:rsid w:val="0082042A"/>
    <w:rsid w:val="00881A81"/>
    <w:rsid w:val="008A054E"/>
    <w:rsid w:val="008B03AE"/>
    <w:rsid w:val="00902524"/>
    <w:rsid w:val="009439B0"/>
    <w:rsid w:val="00987956"/>
    <w:rsid w:val="009E40C8"/>
    <w:rsid w:val="009E6CF5"/>
    <w:rsid w:val="009F21B7"/>
    <w:rsid w:val="009F31A1"/>
    <w:rsid w:val="009F3DFE"/>
    <w:rsid w:val="00A04272"/>
    <w:rsid w:val="00A2208A"/>
    <w:rsid w:val="00A546C6"/>
    <w:rsid w:val="00AA2489"/>
    <w:rsid w:val="00AC43AC"/>
    <w:rsid w:val="00AC4456"/>
    <w:rsid w:val="00AF008E"/>
    <w:rsid w:val="00B22786"/>
    <w:rsid w:val="00B644E4"/>
    <w:rsid w:val="00B77BBB"/>
    <w:rsid w:val="00B87E48"/>
    <w:rsid w:val="00BF3085"/>
    <w:rsid w:val="00BF42A2"/>
    <w:rsid w:val="00C3005B"/>
    <w:rsid w:val="00C85220"/>
    <w:rsid w:val="00CA0742"/>
    <w:rsid w:val="00CD6DA1"/>
    <w:rsid w:val="00CF35C6"/>
    <w:rsid w:val="00CF60C2"/>
    <w:rsid w:val="00D126FF"/>
    <w:rsid w:val="00D32F38"/>
    <w:rsid w:val="00D73271"/>
    <w:rsid w:val="00D9498B"/>
    <w:rsid w:val="00DD58D0"/>
    <w:rsid w:val="00DE62FD"/>
    <w:rsid w:val="00DF01B7"/>
    <w:rsid w:val="00E60496"/>
    <w:rsid w:val="00EC6B9C"/>
    <w:rsid w:val="00EE053D"/>
    <w:rsid w:val="00F35874"/>
    <w:rsid w:val="00F40E02"/>
    <w:rsid w:val="00F56952"/>
    <w:rsid w:val="00FA00E5"/>
    <w:rsid w:val="00FB4C4A"/>
    <w:rsid w:val="00FC57BE"/>
    <w:rsid w:val="4F8270C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line="360" w:lineRule="auto"/>
    </w:pPr>
    <w:rPr>
      <w:rFonts w:ascii="Arial" w:hAnsi="Arial" w:eastAsia="Arial" w:cs="Times New Roman"/>
      <w:sz w:val="22"/>
      <w:szCs w:val="22"/>
      <w:lang w:val="pt-BR" w:eastAsia="pt-BR" w:bidi="ar-SA"/>
    </w:rPr>
  </w:style>
  <w:style w:type="paragraph" w:styleId="2">
    <w:name w:val="heading 1"/>
    <w:basedOn w:val="1"/>
    <w:next w:val="1"/>
    <w:link w:val="37"/>
    <w:qFormat/>
    <w:uiPriority w:val="0"/>
    <w:pPr>
      <w:keepNext/>
      <w:keepLines/>
      <w:numPr>
        <w:ilvl w:val="0"/>
        <w:numId w:val="1"/>
      </w:numPr>
      <w:spacing w:before="240"/>
      <w:outlineLvl w:val="0"/>
    </w:pPr>
    <w:rPr>
      <w:rFonts w:eastAsiaTheme="majorEastAsia" w:cstheme="majorBidi"/>
      <w:b/>
      <w:color w:val="000000" w:themeColor="text1"/>
      <w:sz w:val="24"/>
      <w:szCs w:val="32"/>
      <w14:textFill>
        <w14:solidFill>
          <w14:schemeClr w14:val="tx1"/>
        </w14:solidFill>
      </w14:textFill>
    </w:rPr>
  </w:style>
  <w:style w:type="paragraph" w:styleId="3">
    <w:name w:val="heading 2"/>
    <w:basedOn w:val="1"/>
    <w:next w:val="1"/>
    <w:link w:val="40"/>
    <w:unhideWhenUsed/>
    <w:qFormat/>
    <w:uiPriority w:val="9"/>
    <w:pPr>
      <w:keepNext/>
      <w:keepLines/>
      <w:numPr>
        <w:ilvl w:val="1"/>
        <w:numId w:val="2"/>
      </w:numPr>
      <w:pBdr>
        <w:top w:val="none" w:color="auto" w:sz="0" w:space="0"/>
        <w:left w:val="none" w:color="auto" w:sz="0" w:space="0"/>
        <w:bottom w:val="none" w:color="auto" w:sz="0" w:space="0"/>
        <w:right w:val="none" w:color="auto" w:sz="0" w:space="0"/>
        <w:between w:val="none" w:color="auto" w:sz="0" w:space="0"/>
      </w:pBdr>
      <w:tabs>
        <w:tab w:val="left" w:pos="1440"/>
      </w:tabs>
      <w:spacing w:before="288" w:after="288" w:line="312" w:lineRule="auto"/>
      <w:outlineLvl w:val="1"/>
    </w:pPr>
    <w:rPr>
      <w:rFonts w:cs="Arial" w:eastAsiaTheme="majorEastAsia"/>
      <w:b/>
      <w:color w:val="000000"/>
      <w:sz w:val="24"/>
      <w:szCs w:val="24"/>
    </w:rPr>
  </w:style>
  <w:style w:type="paragraph" w:styleId="4">
    <w:name w:val="heading 3"/>
    <w:basedOn w:val="1"/>
    <w:next w:val="1"/>
    <w:link w:val="41"/>
    <w:semiHidden/>
    <w:unhideWhenUsed/>
    <w:qFormat/>
    <w:uiPriority w:val="9"/>
    <w:pPr>
      <w:keepNext/>
      <w:keepLines/>
      <w:numPr>
        <w:ilvl w:val="2"/>
        <w:numId w:val="1"/>
      </w:numPr>
      <w:spacing w:before="40"/>
      <w:outlineLvl w:val="2"/>
    </w:pPr>
    <w:rPr>
      <w:rFonts w:asciiTheme="majorHAnsi" w:hAnsiTheme="majorHAnsi" w:eastAsiaTheme="majorEastAsia" w:cstheme="majorBidi"/>
      <w:color w:val="203864" w:themeColor="accent1" w:themeShade="80"/>
      <w:sz w:val="24"/>
    </w:rPr>
  </w:style>
  <w:style w:type="paragraph" w:styleId="5">
    <w:name w:val="heading 4"/>
    <w:basedOn w:val="1"/>
    <w:next w:val="1"/>
    <w:link w:val="42"/>
    <w:semiHidden/>
    <w:unhideWhenUsed/>
    <w:qFormat/>
    <w:uiPriority w:val="9"/>
    <w:pPr>
      <w:keepNext/>
      <w:keepLines/>
      <w:numPr>
        <w:ilvl w:val="3"/>
        <w:numId w:val="1"/>
      </w:numPr>
      <w:spacing w:before="4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43"/>
    <w:semiHidden/>
    <w:unhideWhenUsed/>
    <w:qFormat/>
    <w:uiPriority w:val="9"/>
    <w:pPr>
      <w:keepNext/>
      <w:keepLines/>
      <w:numPr>
        <w:ilvl w:val="4"/>
        <w:numId w:val="1"/>
      </w:numPr>
      <w:spacing w:before="4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44"/>
    <w:semiHidden/>
    <w:unhideWhenUsed/>
    <w:qFormat/>
    <w:uiPriority w:val="9"/>
    <w:pPr>
      <w:keepNext/>
      <w:keepLines/>
      <w:numPr>
        <w:ilvl w:val="5"/>
        <w:numId w:val="1"/>
      </w:numPr>
      <w:spacing w:before="4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45"/>
    <w:semiHidden/>
    <w:unhideWhenUsed/>
    <w:qFormat/>
    <w:uiPriority w:val="9"/>
    <w:pPr>
      <w:keepNext/>
      <w:keepLines/>
      <w:numPr>
        <w:ilvl w:val="6"/>
        <w:numId w:val="1"/>
      </w:numPr>
      <w:spacing w:before="4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46"/>
    <w:semiHidden/>
    <w:unhideWhenUsed/>
    <w:qFormat/>
    <w:uiPriority w:val="9"/>
    <w:pPr>
      <w:keepNext/>
      <w:keepLines/>
      <w:numPr>
        <w:ilvl w:val="7"/>
        <w:numId w:val="1"/>
      </w:numPr>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47"/>
    <w:semiHidden/>
    <w:unhideWhenUsed/>
    <w:qFormat/>
    <w:uiPriority w:val="9"/>
    <w:pPr>
      <w:keepNext/>
      <w:keepLines/>
      <w:numPr>
        <w:ilvl w:val="8"/>
        <w:numId w:val="1"/>
      </w:numPr>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basedOn w:val="11"/>
    <w:semiHidden/>
    <w:unhideWhenUsed/>
    <w:uiPriority w:val="99"/>
    <w:rPr>
      <w:color w:val="954F72" w:themeColor="followedHyperlink"/>
      <w:u w:val="single"/>
      <w14:textFill>
        <w14:solidFill>
          <w14:schemeClr w14:val="folHlink"/>
        </w14:solidFill>
      </w14:textFill>
    </w:rPr>
  </w:style>
  <w:style w:type="character" w:styleId="16">
    <w:name w:val="Hyperlink"/>
    <w:basedOn w:val="11"/>
    <w:unhideWhenUsed/>
    <w:uiPriority w:val="99"/>
    <w:rPr>
      <w:color w:val="0563C1" w:themeColor="hyperlink"/>
      <w:u w:val="single"/>
      <w14:textFill>
        <w14:solidFill>
          <w14:schemeClr w14:val="hlink"/>
        </w14:solidFill>
      </w14:textFill>
    </w:rPr>
  </w:style>
  <w:style w:type="paragraph" w:styleId="17">
    <w:name w:val="Body Text"/>
    <w:basedOn w:val="1"/>
    <w:link w:val="106"/>
    <w:semiHidden/>
    <w:unhideWhenUsed/>
    <w:qFormat/>
    <w:uiPriority w:val="99"/>
    <w:pPr>
      <w:spacing w:after="120"/>
    </w:pPr>
  </w:style>
  <w:style w:type="paragraph" w:styleId="18">
    <w:name w:val="annotation text"/>
    <w:basedOn w:val="1"/>
    <w:link w:val="29"/>
    <w:unhideWhenUsed/>
    <w:qFormat/>
    <w:uiPriority w:val="0"/>
    <w:pPr>
      <w:spacing w:line="240" w:lineRule="auto"/>
    </w:pPr>
    <w:rPr>
      <w:rFonts w:ascii="Ecofont_Spranq_eco_Sans" w:hAnsi="Ecofont_Spranq_eco_Sans" w:cs="Tahoma" w:eastAsiaTheme="minorEastAsia"/>
      <w:sz w:val="20"/>
      <w:szCs w:val="20"/>
    </w:rPr>
  </w:style>
  <w:style w:type="paragraph" w:styleId="19">
    <w:name w:val="Title"/>
    <w:basedOn w:val="1"/>
    <w:next w:val="1"/>
    <w:qFormat/>
    <w:uiPriority w:val="10"/>
    <w:pPr>
      <w:keepNext/>
      <w:keepLines/>
      <w:spacing w:before="480" w:after="120"/>
    </w:pPr>
    <w:rPr>
      <w:b/>
      <w:sz w:val="72"/>
      <w:szCs w:val="72"/>
    </w:rPr>
  </w:style>
  <w:style w:type="paragraph" w:styleId="20">
    <w:name w:val="Normal (Web)"/>
    <w:basedOn w:val="1"/>
    <w:unhideWhenUsed/>
    <w:uiPriority w:val="99"/>
    <w:pPr>
      <w:spacing w:before="100" w:beforeAutospacing="1" w:after="100" w:afterAutospacing="1" w:line="240" w:lineRule="auto"/>
    </w:pPr>
    <w:rPr>
      <w:rFonts w:ascii="Times New Roman" w:hAnsi="Times New Roman" w:eastAsia="Times New Roman"/>
      <w:sz w:val="24"/>
    </w:rPr>
  </w:style>
  <w:style w:type="paragraph" w:styleId="21">
    <w:name w:val="header"/>
    <w:basedOn w:val="1"/>
    <w:link w:val="99"/>
    <w:unhideWhenUsed/>
    <w:qFormat/>
    <w:uiPriority w:val="99"/>
    <w:pPr>
      <w:tabs>
        <w:tab w:val="center" w:pos="4252"/>
        <w:tab w:val="right" w:pos="8504"/>
      </w:tabs>
      <w:spacing w:line="240" w:lineRule="auto"/>
    </w:pPr>
  </w:style>
  <w:style w:type="paragraph" w:styleId="22">
    <w:name w:val="annotation subject"/>
    <w:basedOn w:val="18"/>
    <w:next w:val="18"/>
    <w:link w:val="48"/>
    <w:semiHidden/>
    <w:unhideWhenUsed/>
    <w:uiPriority w:val="99"/>
    <w:rPr>
      <w:rFonts w:ascii="Arial" w:hAnsi="Arial" w:eastAsia="Calibri" w:cs="Times New Roman"/>
      <w:b/>
      <w:bCs/>
    </w:rPr>
  </w:style>
  <w:style w:type="paragraph" w:styleId="23">
    <w:name w:val="footer"/>
    <w:basedOn w:val="1"/>
    <w:link w:val="100"/>
    <w:unhideWhenUsed/>
    <w:qFormat/>
    <w:uiPriority w:val="99"/>
    <w:pPr>
      <w:tabs>
        <w:tab w:val="center" w:pos="4252"/>
        <w:tab w:val="right" w:pos="8504"/>
      </w:tabs>
      <w:spacing w:line="240" w:lineRule="auto"/>
    </w:pPr>
  </w:style>
  <w:style w:type="paragraph" w:styleId="24">
    <w:name w:val="Body Text Indent 3"/>
    <w:basedOn w:val="1"/>
    <w:link w:val="105"/>
    <w:qFormat/>
    <w:uiPriority w:val="0"/>
    <w:pPr>
      <w:spacing w:after="120" w:line="240" w:lineRule="auto"/>
      <w:ind w:left="283"/>
    </w:pPr>
    <w:rPr>
      <w:rFonts w:ascii="Times New Roman" w:hAnsi="Times New Roman" w:eastAsia="Times New Roman"/>
      <w:sz w:val="16"/>
      <w:szCs w:val="16"/>
      <w:lang w:val="zh-CN" w:eastAsia="zh-CN"/>
    </w:rPr>
  </w:style>
  <w:style w:type="paragraph" w:styleId="25">
    <w:name w:val="Subtitle"/>
    <w:basedOn w:val="1"/>
    <w:next w:val="1"/>
    <w:uiPriority w:val="0"/>
    <w:pPr>
      <w:keepNext/>
      <w:keepLines/>
      <w:spacing w:before="360" w:after="80"/>
    </w:pPr>
    <w:rPr>
      <w:rFonts w:ascii="Georgia" w:hAnsi="Georgia" w:eastAsia="Georgia" w:cs="Georgia"/>
      <w:i/>
      <w:color w:val="666666"/>
      <w:sz w:val="48"/>
      <w:szCs w:val="48"/>
    </w:rPr>
  </w:style>
  <w:style w:type="table" w:styleId="26">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Normal"/>
    <w:uiPriority w:val="0"/>
    <w:tblPr>
      <w:tblCellMar>
        <w:top w:w="0" w:type="dxa"/>
        <w:left w:w="0" w:type="dxa"/>
        <w:bottom w:w="0" w:type="dxa"/>
        <w:right w:w="0" w:type="dxa"/>
      </w:tblCellMar>
    </w:tblPr>
  </w:style>
  <w:style w:type="character" w:customStyle="1" w:styleId="28">
    <w:name w:val="Unresolved Mention"/>
    <w:basedOn w:val="11"/>
    <w:semiHidden/>
    <w:unhideWhenUsed/>
    <w:uiPriority w:val="99"/>
    <w:rPr>
      <w:color w:val="605E5C"/>
      <w:shd w:val="clear" w:color="auto" w:fill="E1DFDD"/>
    </w:rPr>
  </w:style>
  <w:style w:type="character" w:customStyle="1" w:styleId="29">
    <w:name w:val="Texto de comentário Char"/>
    <w:basedOn w:val="11"/>
    <w:link w:val="18"/>
    <w:qFormat/>
    <w:uiPriority w:val="0"/>
    <w:rPr>
      <w:rFonts w:ascii="Ecofont_Spranq_eco_Sans" w:hAnsi="Ecofont_Spranq_eco_Sans" w:cs="Tahoma" w:eastAsiaTheme="minorEastAsia"/>
      <w:sz w:val="20"/>
      <w:szCs w:val="20"/>
      <w:lang w:eastAsia="pt-BR"/>
    </w:rPr>
  </w:style>
  <w:style w:type="paragraph" w:customStyle="1" w:styleId="30">
    <w:name w:val="Nivel 01"/>
    <w:basedOn w:val="2"/>
    <w:next w:val="1"/>
    <w:link w:val="31"/>
    <w:qFormat/>
    <w:uiPriority w:val="0"/>
    <w:pPr>
      <w:numPr>
        <w:ilvl w:val="0"/>
        <w:numId w:val="0"/>
      </w:numPr>
      <w:tabs>
        <w:tab w:val="left" w:pos="567"/>
      </w:tabs>
      <w:spacing w:line="240" w:lineRule="auto"/>
      <w:ind w:left="720" w:hanging="720"/>
      <w:jc w:val="both"/>
    </w:pPr>
    <w:rPr>
      <w:rFonts w:cs="Arial"/>
      <w:b w:val="0"/>
      <w:bCs/>
      <w:color w:val="auto"/>
      <w:sz w:val="20"/>
      <w:szCs w:val="20"/>
    </w:rPr>
  </w:style>
  <w:style w:type="character" w:customStyle="1" w:styleId="31">
    <w:name w:val="Nivel 01 Char"/>
    <w:basedOn w:val="11"/>
    <w:link w:val="30"/>
    <w:qFormat/>
    <w:uiPriority w:val="0"/>
    <w:rPr>
      <w:rFonts w:eastAsiaTheme="majorEastAsia"/>
      <w:bCs/>
      <w:sz w:val="20"/>
      <w:szCs w:val="20"/>
    </w:rPr>
  </w:style>
  <w:style w:type="paragraph" w:customStyle="1" w:styleId="32">
    <w:name w:val="Nivel 2"/>
    <w:basedOn w:val="1"/>
    <w:link w:val="36"/>
    <w:qFormat/>
    <w:uiPriority w:val="0"/>
    <w:pPr>
      <w:tabs>
        <w:tab w:val="left" w:pos="1440"/>
      </w:tabs>
      <w:spacing w:beforeLines="120" w:afterLines="120" w:line="312" w:lineRule="auto"/>
      <w:ind w:firstLine="567"/>
      <w:jc w:val="both"/>
    </w:pPr>
    <w:rPr>
      <w:rFonts w:cs="Arial" w:eastAsiaTheme="minorEastAsia"/>
      <w:color w:val="000000"/>
      <w:szCs w:val="20"/>
    </w:rPr>
  </w:style>
  <w:style w:type="paragraph" w:customStyle="1" w:styleId="33">
    <w:name w:val="Nivel 3"/>
    <w:basedOn w:val="1"/>
    <w:link w:val="39"/>
    <w:qFormat/>
    <w:uiPriority w:val="0"/>
    <w:pPr>
      <w:tabs>
        <w:tab w:val="left" w:pos="2160"/>
      </w:tabs>
      <w:spacing w:before="120" w:after="120" w:line="276" w:lineRule="auto"/>
      <w:ind w:left="2160" w:hanging="720"/>
      <w:jc w:val="both"/>
    </w:pPr>
    <w:rPr>
      <w:rFonts w:cs="Arial" w:eastAsiaTheme="minorEastAsia"/>
      <w:color w:val="000000"/>
      <w:sz w:val="20"/>
      <w:szCs w:val="20"/>
    </w:rPr>
  </w:style>
  <w:style w:type="paragraph" w:customStyle="1" w:styleId="34">
    <w:name w:val="Nivel 4"/>
    <w:basedOn w:val="33"/>
    <w:link w:val="50"/>
    <w:qFormat/>
    <w:uiPriority w:val="0"/>
    <w:pPr>
      <w:ind w:left="2491" w:hanging="720"/>
    </w:pPr>
    <w:rPr>
      <w:color w:val="auto"/>
    </w:rPr>
  </w:style>
  <w:style w:type="paragraph" w:customStyle="1" w:styleId="35">
    <w:name w:val="Nivel 5"/>
    <w:basedOn w:val="34"/>
    <w:qFormat/>
    <w:uiPriority w:val="0"/>
    <w:pPr>
      <w:ind w:left="2491" w:hanging="720"/>
    </w:pPr>
  </w:style>
  <w:style w:type="character" w:customStyle="1" w:styleId="36">
    <w:name w:val="Nivel 2 Char"/>
    <w:basedOn w:val="11"/>
    <w:link w:val="32"/>
    <w:qFormat/>
    <w:locked/>
    <w:uiPriority w:val="0"/>
    <w:rPr>
      <w:rFonts w:eastAsiaTheme="minorEastAsia"/>
      <w:color w:val="000000"/>
      <w:szCs w:val="20"/>
    </w:rPr>
  </w:style>
  <w:style w:type="character" w:customStyle="1" w:styleId="37">
    <w:name w:val="Título 1 Char"/>
    <w:basedOn w:val="11"/>
    <w:link w:val="2"/>
    <w:qFormat/>
    <w:uiPriority w:val="9"/>
    <w:rPr>
      <w:rFonts w:eastAsiaTheme="majorEastAsia" w:cstheme="majorBidi"/>
      <w:b/>
      <w:color w:val="000000" w:themeColor="text1"/>
      <w:sz w:val="24"/>
      <w:szCs w:val="32"/>
      <w14:textFill>
        <w14:solidFill>
          <w14:schemeClr w14:val="tx1"/>
        </w14:solidFill>
      </w14:textFill>
    </w:rPr>
  </w:style>
  <w:style w:type="paragraph" w:styleId="38">
    <w:name w:val="List Paragraph"/>
    <w:basedOn w:val="1"/>
    <w:link w:val="95"/>
    <w:qFormat/>
    <w:uiPriority w:val="34"/>
    <w:pPr>
      <w:ind w:left="720"/>
      <w:contextualSpacing/>
    </w:pPr>
  </w:style>
  <w:style w:type="character" w:customStyle="1" w:styleId="39">
    <w:name w:val="Nivel 3 Char"/>
    <w:basedOn w:val="11"/>
    <w:link w:val="33"/>
    <w:qFormat/>
    <w:uiPriority w:val="0"/>
    <w:rPr>
      <w:rFonts w:eastAsiaTheme="minorEastAsia"/>
      <w:color w:val="000000"/>
      <w:sz w:val="20"/>
      <w:szCs w:val="20"/>
    </w:rPr>
  </w:style>
  <w:style w:type="character" w:customStyle="1" w:styleId="40">
    <w:name w:val="Título 2 Char"/>
    <w:basedOn w:val="11"/>
    <w:link w:val="3"/>
    <w:qFormat/>
    <w:uiPriority w:val="9"/>
    <w:rPr>
      <w:rFonts w:eastAsiaTheme="majorEastAsia"/>
      <w:b/>
      <w:color w:val="000000"/>
      <w:sz w:val="24"/>
      <w:szCs w:val="24"/>
    </w:rPr>
  </w:style>
  <w:style w:type="character" w:customStyle="1" w:styleId="41">
    <w:name w:val="Título 3 Char"/>
    <w:basedOn w:val="11"/>
    <w:link w:val="4"/>
    <w:semiHidden/>
    <w:qFormat/>
    <w:uiPriority w:val="9"/>
    <w:rPr>
      <w:rFonts w:asciiTheme="majorHAnsi" w:hAnsiTheme="majorHAnsi" w:eastAsiaTheme="majorEastAsia" w:cstheme="majorBidi"/>
      <w:color w:val="203864" w:themeColor="accent1" w:themeShade="80"/>
      <w:lang w:eastAsia="pt-BR"/>
    </w:rPr>
  </w:style>
  <w:style w:type="character" w:customStyle="1" w:styleId="42">
    <w:name w:val="Título 4 Char"/>
    <w:basedOn w:val="11"/>
    <w:link w:val="5"/>
    <w:semiHidden/>
    <w:qFormat/>
    <w:uiPriority w:val="9"/>
    <w:rPr>
      <w:rFonts w:asciiTheme="majorHAnsi" w:hAnsiTheme="majorHAnsi" w:eastAsiaTheme="majorEastAsia" w:cstheme="majorBidi"/>
      <w:i/>
      <w:iCs/>
      <w:color w:val="2F5597" w:themeColor="accent1" w:themeShade="BF"/>
      <w:sz w:val="22"/>
      <w:lang w:eastAsia="pt-BR"/>
    </w:rPr>
  </w:style>
  <w:style w:type="character" w:customStyle="1" w:styleId="43">
    <w:name w:val="Título 5 Char"/>
    <w:basedOn w:val="11"/>
    <w:link w:val="6"/>
    <w:semiHidden/>
    <w:uiPriority w:val="9"/>
    <w:rPr>
      <w:rFonts w:asciiTheme="majorHAnsi" w:hAnsiTheme="majorHAnsi" w:eastAsiaTheme="majorEastAsia" w:cstheme="majorBidi"/>
      <w:color w:val="2F5597" w:themeColor="accent1" w:themeShade="BF"/>
      <w:sz w:val="22"/>
      <w:lang w:eastAsia="pt-BR"/>
    </w:rPr>
  </w:style>
  <w:style w:type="character" w:customStyle="1" w:styleId="44">
    <w:name w:val="Título 6 Char"/>
    <w:basedOn w:val="11"/>
    <w:link w:val="7"/>
    <w:semiHidden/>
    <w:qFormat/>
    <w:uiPriority w:val="9"/>
    <w:rPr>
      <w:rFonts w:asciiTheme="majorHAnsi" w:hAnsiTheme="majorHAnsi" w:eastAsiaTheme="majorEastAsia" w:cstheme="majorBidi"/>
      <w:color w:val="203864" w:themeColor="accent1" w:themeShade="80"/>
      <w:sz w:val="22"/>
      <w:lang w:eastAsia="pt-BR"/>
    </w:rPr>
  </w:style>
  <w:style w:type="character" w:customStyle="1" w:styleId="45">
    <w:name w:val="Título 7 Char"/>
    <w:basedOn w:val="11"/>
    <w:link w:val="8"/>
    <w:semiHidden/>
    <w:uiPriority w:val="9"/>
    <w:rPr>
      <w:rFonts w:asciiTheme="majorHAnsi" w:hAnsiTheme="majorHAnsi" w:eastAsiaTheme="majorEastAsia" w:cstheme="majorBidi"/>
      <w:i/>
      <w:iCs/>
      <w:color w:val="203864" w:themeColor="accent1" w:themeShade="80"/>
      <w:sz w:val="22"/>
      <w:lang w:eastAsia="pt-BR"/>
    </w:rPr>
  </w:style>
  <w:style w:type="character" w:customStyle="1" w:styleId="46">
    <w:name w:val="Título 8 Char"/>
    <w:basedOn w:val="11"/>
    <w:link w:val="9"/>
    <w:semiHidden/>
    <w:qFormat/>
    <w:uiPriority w:val="9"/>
    <w:rPr>
      <w:rFonts w:asciiTheme="majorHAnsi" w:hAnsiTheme="majorHAnsi" w:eastAsiaTheme="majorEastAsia" w:cstheme="majorBidi"/>
      <w:color w:val="262626" w:themeColor="text1" w:themeTint="D9"/>
      <w:sz w:val="21"/>
      <w:szCs w:val="21"/>
      <w:lang w:eastAsia="pt-BR"/>
      <w14:textFill>
        <w14:solidFill>
          <w14:schemeClr w14:val="tx1">
            <w14:lumMod w14:val="85000"/>
            <w14:lumOff w14:val="15000"/>
          </w14:schemeClr>
        </w14:solidFill>
      </w14:textFill>
    </w:rPr>
  </w:style>
  <w:style w:type="character" w:customStyle="1" w:styleId="47">
    <w:name w:val="Título 9 Char"/>
    <w:basedOn w:val="11"/>
    <w:link w:val="10"/>
    <w:semiHidden/>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character" w:customStyle="1" w:styleId="48">
    <w:name w:val="Assunto do comentário Char"/>
    <w:basedOn w:val="29"/>
    <w:link w:val="22"/>
    <w:semiHidden/>
    <w:qFormat/>
    <w:uiPriority w:val="99"/>
    <w:rPr>
      <w:rFonts w:ascii="Arial" w:hAnsi="Arial" w:cs="Times New Roman" w:eastAsiaTheme="minorEastAsia"/>
      <w:b/>
      <w:bCs/>
      <w:sz w:val="20"/>
      <w:szCs w:val="20"/>
      <w:lang w:eastAsia="pt-BR"/>
    </w:rPr>
  </w:style>
  <w:style w:type="paragraph" w:customStyle="1" w:styleId="49">
    <w:name w:val="dou-paragraph"/>
    <w:basedOn w:val="1"/>
    <w:uiPriority w:val="0"/>
    <w:pPr>
      <w:spacing w:before="100" w:beforeAutospacing="1" w:after="100" w:afterAutospacing="1" w:line="240" w:lineRule="auto"/>
    </w:pPr>
    <w:rPr>
      <w:rFonts w:ascii="Times New Roman" w:hAnsi="Times New Roman" w:eastAsia="Times New Roman"/>
      <w:sz w:val="24"/>
    </w:rPr>
  </w:style>
  <w:style w:type="character" w:customStyle="1" w:styleId="50">
    <w:name w:val="Nivel 4 Char"/>
    <w:basedOn w:val="11"/>
    <w:link w:val="34"/>
    <w:uiPriority w:val="0"/>
    <w:rPr>
      <w:rFonts w:ascii="Arial" w:hAnsi="Arial" w:cs="Arial" w:eastAsiaTheme="minorEastAsia"/>
      <w:sz w:val="20"/>
      <w:szCs w:val="20"/>
      <w:lang w:eastAsia="pt-BR"/>
    </w:rPr>
  </w:style>
  <w:style w:type="table" w:customStyle="1" w:styleId="51">
    <w:name w:val="_Style 49"/>
    <w:basedOn w:val="27"/>
    <w:qFormat/>
    <w:uiPriority w:val="0"/>
    <w:tblPr>
      <w:tblCellMar>
        <w:top w:w="100" w:type="dxa"/>
        <w:left w:w="100" w:type="dxa"/>
        <w:bottom w:w="100" w:type="dxa"/>
        <w:right w:w="100" w:type="dxa"/>
      </w:tblCellMar>
    </w:tblPr>
  </w:style>
  <w:style w:type="table" w:customStyle="1" w:styleId="52">
    <w:name w:val="_Style 50"/>
    <w:basedOn w:val="27"/>
    <w:qFormat/>
    <w:uiPriority w:val="0"/>
    <w:tblPr>
      <w:tblCellMar>
        <w:top w:w="100" w:type="dxa"/>
        <w:left w:w="100" w:type="dxa"/>
        <w:bottom w:w="100" w:type="dxa"/>
        <w:right w:w="100" w:type="dxa"/>
      </w:tblCellMar>
    </w:tblPr>
  </w:style>
  <w:style w:type="table" w:customStyle="1" w:styleId="53">
    <w:name w:val="_Style 51"/>
    <w:basedOn w:val="27"/>
    <w:qFormat/>
    <w:uiPriority w:val="0"/>
    <w:tblPr>
      <w:tblCellMar>
        <w:top w:w="100" w:type="dxa"/>
        <w:left w:w="100" w:type="dxa"/>
        <w:bottom w:w="100" w:type="dxa"/>
        <w:right w:w="100" w:type="dxa"/>
      </w:tblCellMar>
    </w:tblPr>
  </w:style>
  <w:style w:type="table" w:customStyle="1" w:styleId="54">
    <w:name w:val="_Style 52"/>
    <w:basedOn w:val="27"/>
    <w:qFormat/>
    <w:uiPriority w:val="0"/>
    <w:tblPr>
      <w:tblCellMar>
        <w:top w:w="100" w:type="dxa"/>
        <w:left w:w="100" w:type="dxa"/>
        <w:bottom w:w="100" w:type="dxa"/>
        <w:right w:w="100" w:type="dxa"/>
      </w:tblCellMar>
    </w:tblPr>
  </w:style>
  <w:style w:type="table" w:customStyle="1" w:styleId="55">
    <w:name w:val="_Style 53"/>
    <w:basedOn w:val="27"/>
    <w:uiPriority w:val="0"/>
    <w:tblPr>
      <w:tblCellMar>
        <w:top w:w="100" w:type="dxa"/>
        <w:left w:w="100" w:type="dxa"/>
        <w:bottom w:w="100" w:type="dxa"/>
        <w:right w:w="100" w:type="dxa"/>
      </w:tblCellMar>
    </w:tblPr>
  </w:style>
  <w:style w:type="table" w:customStyle="1" w:styleId="56">
    <w:name w:val="_Style 54"/>
    <w:basedOn w:val="27"/>
    <w:qFormat/>
    <w:uiPriority w:val="0"/>
    <w:tblPr>
      <w:tblCellMar>
        <w:top w:w="100" w:type="dxa"/>
        <w:left w:w="100" w:type="dxa"/>
        <w:bottom w:w="100" w:type="dxa"/>
        <w:right w:w="100" w:type="dxa"/>
      </w:tblCellMar>
    </w:tblPr>
  </w:style>
  <w:style w:type="table" w:customStyle="1" w:styleId="57">
    <w:name w:val="_Style 55"/>
    <w:basedOn w:val="27"/>
    <w:qFormat/>
    <w:uiPriority w:val="0"/>
    <w:tblPr>
      <w:tblCellMar>
        <w:top w:w="100" w:type="dxa"/>
        <w:left w:w="100" w:type="dxa"/>
        <w:bottom w:w="100" w:type="dxa"/>
        <w:right w:w="100" w:type="dxa"/>
      </w:tblCellMar>
    </w:tblPr>
  </w:style>
  <w:style w:type="table" w:customStyle="1" w:styleId="58">
    <w:name w:val="_Style 56"/>
    <w:basedOn w:val="27"/>
    <w:uiPriority w:val="0"/>
    <w:tblPr>
      <w:tblCellMar>
        <w:top w:w="100" w:type="dxa"/>
        <w:left w:w="100" w:type="dxa"/>
        <w:bottom w:w="100" w:type="dxa"/>
        <w:right w:w="100" w:type="dxa"/>
      </w:tblCellMar>
    </w:tblPr>
  </w:style>
  <w:style w:type="table" w:customStyle="1" w:styleId="59">
    <w:name w:val="_Style 57"/>
    <w:basedOn w:val="27"/>
    <w:uiPriority w:val="0"/>
    <w:tblPr>
      <w:tblCellMar>
        <w:top w:w="100" w:type="dxa"/>
        <w:left w:w="100" w:type="dxa"/>
        <w:bottom w:w="100" w:type="dxa"/>
        <w:right w:w="100" w:type="dxa"/>
      </w:tblCellMar>
    </w:tblPr>
  </w:style>
  <w:style w:type="table" w:customStyle="1" w:styleId="60">
    <w:name w:val="_Style 58"/>
    <w:basedOn w:val="27"/>
    <w:qFormat/>
    <w:uiPriority w:val="0"/>
    <w:tblPr>
      <w:tblCellMar>
        <w:top w:w="100" w:type="dxa"/>
        <w:left w:w="100" w:type="dxa"/>
        <w:bottom w:w="100" w:type="dxa"/>
        <w:right w:w="100" w:type="dxa"/>
      </w:tblCellMar>
    </w:tblPr>
  </w:style>
  <w:style w:type="table" w:customStyle="1" w:styleId="61">
    <w:name w:val="_Style 59"/>
    <w:basedOn w:val="27"/>
    <w:qFormat/>
    <w:uiPriority w:val="0"/>
    <w:tblPr>
      <w:tblCellMar>
        <w:top w:w="100" w:type="dxa"/>
        <w:left w:w="100" w:type="dxa"/>
        <w:bottom w:w="100" w:type="dxa"/>
        <w:right w:w="100" w:type="dxa"/>
      </w:tblCellMar>
    </w:tblPr>
  </w:style>
  <w:style w:type="table" w:customStyle="1" w:styleId="62">
    <w:name w:val="_Style 60"/>
    <w:basedOn w:val="27"/>
    <w:qFormat/>
    <w:uiPriority w:val="0"/>
    <w:tblPr>
      <w:tblCellMar>
        <w:top w:w="100" w:type="dxa"/>
        <w:left w:w="100" w:type="dxa"/>
        <w:bottom w:w="100" w:type="dxa"/>
        <w:right w:w="100" w:type="dxa"/>
      </w:tblCellMar>
    </w:tblPr>
  </w:style>
  <w:style w:type="paragraph" w:customStyle="1" w:styleId="63">
    <w:name w:val="Default"/>
    <w:qFormat/>
    <w:uiPriority w:val="0"/>
    <w:pPr>
      <w:autoSpaceDE w:val="0"/>
      <w:autoSpaceDN w:val="0"/>
      <w:adjustRightInd w:val="0"/>
      <w:spacing w:line="240" w:lineRule="auto"/>
    </w:pPr>
    <w:rPr>
      <w:rFonts w:ascii="Arial" w:hAnsi="Arial" w:eastAsia="Arial" w:cs="Arial"/>
      <w:color w:val="000000"/>
      <w:sz w:val="24"/>
      <w:szCs w:val="24"/>
      <w:lang w:val="pt-BR" w:eastAsia="pt-BR" w:bidi="ar-SA"/>
    </w:rPr>
  </w:style>
  <w:style w:type="paragraph" w:customStyle="1" w:styleId="64">
    <w:name w:val="INÍCIO DOCUMENTO"/>
    <w:basedOn w:val="1"/>
    <w:qFormat/>
    <w:uiPriority w:val="0"/>
    <w:rPr>
      <w:b/>
      <w:bCs/>
    </w:rPr>
  </w:style>
  <w:style w:type="table" w:customStyle="1" w:styleId="65">
    <w:name w:val="_Style 63"/>
    <w:basedOn w:val="27"/>
    <w:uiPriority w:val="0"/>
    <w:tblPr>
      <w:tblCellMar>
        <w:left w:w="115" w:type="dxa"/>
        <w:right w:w="115" w:type="dxa"/>
      </w:tblCellMar>
    </w:tblPr>
  </w:style>
  <w:style w:type="table" w:customStyle="1" w:styleId="66">
    <w:name w:val="_Style 64"/>
    <w:basedOn w:val="27"/>
    <w:uiPriority w:val="0"/>
    <w:tblPr>
      <w:tblCellMar>
        <w:left w:w="115" w:type="dxa"/>
        <w:right w:w="115" w:type="dxa"/>
      </w:tblCellMar>
    </w:tblPr>
  </w:style>
  <w:style w:type="table" w:customStyle="1" w:styleId="67">
    <w:name w:val="_Style 65"/>
    <w:basedOn w:val="27"/>
    <w:qFormat/>
    <w:uiPriority w:val="0"/>
    <w:tblPr>
      <w:tblCellMar>
        <w:left w:w="115" w:type="dxa"/>
        <w:right w:w="115" w:type="dxa"/>
      </w:tblCellMar>
    </w:tblPr>
  </w:style>
  <w:style w:type="table" w:customStyle="1" w:styleId="68">
    <w:name w:val="_Style 66"/>
    <w:basedOn w:val="27"/>
    <w:qFormat/>
    <w:uiPriority w:val="0"/>
    <w:tblPr>
      <w:tblCellMar>
        <w:left w:w="115" w:type="dxa"/>
        <w:right w:w="115" w:type="dxa"/>
      </w:tblCellMar>
    </w:tblPr>
  </w:style>
  <w:style w:type="table" w:customStyle="1" w:styleId="69">
    <w:name w:val="_Style 67"/>
    <w:basedOn w:val="27"/>
    <w:qFormat/>
    <w:uiPriority w:val="0"/>
    <w:tblPr>
      <w:tblCellMar>
        <w:left w:w="115" w:type="dxa"/>
        <w:right w:w="115" w:type="dxa"/>
      </w:tblCellMar>
    </w:tblPr>
  </w:style>
  <w:style w:type="table" w:customStyle="1" w:styleId="70">
    <w:name w:val="_Style 68"/>
    <w:basedOn w:val="27"/>
    <w:qFormat/>
    <w:uiPriority w:val="0"/>
    <w:tblPr>
      <w:tblCellMar>
        <w:left w:w="115" w:type="dxa"/>
        <w:right w:w="115" w:type="dxa"/>
      </w:tblCellMar>
    </w:tblPr>
  </w:style>
  <w:style w:type="table" w:customStyle="1" w:styleId="71">
    <w:name w:val="_Style 69"/>
    <w:basedOn w:val="27"/>
    <w:qFormat/>
    <w:uiPriority w:val="0"/>
    <w:tblPr>
      <w:tblCellMar>
        <w:left w:w="115" w:type="dxa"/>
        <w:right w:w="115" w:type="dxa"/>
      </w:tblCellMar>
    </w:tblPr>
  </w:style>
  <w:style w:type="table" w:customStyle="1" w:styleId="72">
    <w:name w:val="_Style 70"/>
    <w:basedOn w:val="27"/>
    <w:qFormat/>
    <w:uiPriority w:val="0"/>
    <w:tblPr>
      <w:tblCellMar>
        <w:left w:w="115" w:type="dxa"/>
        <w:right w:w="115" w:type="dxa"/>
      </w:tblCellMar>
    </w:tblPr>
  </w:style>
  <w:style w:type="table" w:customStyle="1" w:styleId="73">
    <w:name w:val="_Style 71"/>
    <w:basedOn w:val="27"/>
    <w:qFormat/>
    <w:uiPriority w:val="0"/>
    <w:tblPr>
      <w:tblCellMar>
        <w:left w:w="115" w:type="dxa"/>
        <w:right w:w="115" w:type="dxa"/>
      </w:tblCellMar>
    </w:tblPr>
  </w:style>
  <w:style w:type="table" w:customStyle="1" w:styleId="74">
    <w:name w:val="_Style 72"/>
    <w:basedOn w:val="27"/>
    <w:qFormat/>
    <w:uiPriority w:val="0"/>
    <w:tblPr>
      <w:tblCellMar>
        <w:left w:w="115" w:type="dxa"/>
        <w:right w:w="115" w:type="dxa"/>
      </w:tblCellMar>
    </w:tblPr>
  </w:style>
  <w:style w:type="table" w:customStyle="1" w:styleId="75">
    <w:name w:val="_Style 73"/>
    <w:basedOn w:val="27"/>
    <w:qFormat/>
    <w:uiPriority w:val="0"/>
    <w:tblPr>
      <w:tblCellMar>
        <w:left w:w="115" w:type="dxa"/>
        <w:right w:w="115" w:type="dxa"/>
      </w:tblCellMar>
    </w:tblPr>
  </w:style>
  <w:style w:type="table" w:customStyle="1" w:styleId="76">
    <w:name w:val="_Style 74"/>
    <w:basedOn w:val="27"/>
    <w:qFormat/>
    <w:uiPriority w:val="0"/>
    <w:tblPr>
      <w:tblCellMar>
        <w:left w:w="115" w:type="dxa"/>
        <w:right w:w="115" w:type="dxa"/>
      </w:tblCellMar>
    </w:tblPr>
  </w:style>
  <w:style w:type="table" w:customStyle="1" w:styleId="77">
    <w:name w:val="_Style 75"/>
    <w:basedOn w:val="27"/>
    <w:qFormat/>
    <w:uiPriority w:val="0"/>
    <w:tblPr>
      <w:tblCellMar>
        <w:top w:w="100" w:type="dxa"/>
        <w:left w:w="100" w:type="dxa"/>
        <w:bottom w:w="100" w:type="dxa"/>
        <w:right w:w="100" w:type="dxa"/>
      </w:tblCellMar>
    </w:tblPr>
  </w:style>
  <w:style w:type="table" w:customStyle="1" w:styleId="78">
    <w:name w:val="_Style 76"/>
    <w:basedOn w:val="27"/>
    <w:qFormat/>
    <w:uiPriority w:val="0"/>
    <w:tblPr>
      <w:tblCellMar>
        <w:top w:w="100" w:type="dxa"/>
        <w:left w:w="100" w:type="dxa"/>
        <w:bottom w:w="100" w:type="dxa"/>
        <w:right w:w="100" w:type="dxa"/>
      </w:tblCellMar>
    </w:tblPr>
  </w:style>
  <w:style w:type="table" w:customStyle="1" w:styleId="79">
    <w:name w:val="_Style 77"/>
    <w:basedOn w:val="27"/>
    <w:qFormat/>
    <w:uiPriority w:val="0"/>
    <w:tblPr>
      <w:tblCellMar>
        <w:top w:w="15" w:type="dxa"/>
        <w:left w:w="15" w:type="dxa"/>
        <w:bottom w:w="15" w:type="dxa"/>
        <w:right w:w="15" w:type="dxa"/>
      </w:tblCellMar>
    </w:tblPr>
  </w:style>
  <w:style w:type="table" w:customStyle="1" w:styleId="80">
    <w:name w:val="_Style 78"/>
    <w:basedOn w:val="27"/>
    <w:qFormat/>
    <w:uiPriority w:val="0"/>
    <w:tblPr>
      <w:tblCellMar>
        <w:top w:w="15" w:type="dxa"/>
        <w:left w:w="15" w:type="dxa"/>
        <w:bottom w:w="15" w:type="dxa"/>
        <w:right w:w="15" w:type="dxa"/>
      </w:tblCellMar>
    </w:tblPr>
  </w:style>
  <w:style w:type="table" w:customStyle="1" w:styleId="81">
    <w:name w:val="_Style 79"/>
    <w:basedOn w:val="27"/>
    <w:qFormat/>
    <w:uiPriority w:val="0"/>
    <w:tblPr>
      <w:tblCellMar>
        <w:top w:w="15" w:type="dxa"/>
        <w:left w:w="15" w:type="dxa"/>
        <w:bottom w:w="15" w:type="dxa"/>
        <w:right w:w="15" w:type="dxa"/>
      </w:tblCellMar>
    </w:tblPr>
  </w:style>
  <w:style w:type="table" w:customStyle="1" w:styleId="82">
    <w:name w:val="_Style 80"/>
    <w:basedOn w:val="27"/>
    <w:qFormat/>
    <w:uiPriority w:val="0"/>
    <w:tblPr>
      <w:tblCellMar>
        <w:top w:w="15" w:type="dxa"/>
        <w:left w:w="15" w:type="dxa"/>
        <w:bottom w:w="15" w:type="dxa"/>
        <w:right w:w="15" w:type="dxa"/>
      </w:tblCellMar>
    </w:tblPr>
  </w:style>
  <w:style w:type="table" w:customStyle="1" w:styleId="83">
    <w:name w:val="_Style 81"/>
    <w:basedOn w:val="27"/>
    <w:qFormat/>
    <w:uiPriority w:val="0"/>
    <w:tblPr>
      <w:tblCellMar>
        <w:top w:w="15" w:type="dxa"/>
        <w:left w:w="15" w:type="dxa"/>
        <w:bottom w:w="15" w:type="dxa"/>
        <w:right w:w="15" w:type="dxa"/>
      </w:tblCellMar>
    </w:tblPr>
  </w:style>
  <w:style w:type="table" w:customStyle="1" w:styleId="84">
    <w:name w:val="_Style 82"/>
    <w:basedOn w:val="27"/>
    <w:qFormat/>
    <w:uiPriority w:val="0"/>
    <w:tblPr>
      <w:tblCellMar>
        <w:top w:w="15" w:type="dxa"/>
        <w:left w:w="15" w:type="dxa"/>
        <w:bottom w:w="15" w:type="dxa"/>
        <w:right w:w="15" w:type="dxa"/>
      </w:tblCellMar>
    </w:tblPr>
  </w:style>
  <w:style w:type="table" w:customStyle="1" w:styleId="85">
    <w:name w:val="_Style 83"/>
    <w:basedOn w:val="27"/>
    <w:uiPriority w:val="0"/>
    <w:tblPr>
      <w:tblCellMar>
        <w:top w:w="15" w:type="dxa"/>
        <w:left w:w="15" w:type="dxa"/>
        <w:bottom w:w="15" w:type="dxa"/>
        <w:right w:w="15" w:type="dxa"/>
      </w:tblCellMar>
    </w:tblPr>
  </w:style>
  <w:style w:type="table" w:customStyle="1" w:styleId="86">
    <w:name w:val="_Style 84"/>
    <w:basedOn w:val="27"/>
    <w:qFormat/>
    <w:uiPriority w:val="0"/>
    <w:tblPr>
      <w:tblCellMar>
        <w:top w:w="15" w:type="dxa"/>
        <w:left w:w="15" w:type="dxa"/>
        <w:bottom w:w="15" w:type="dxa"/>
        <w:right w:w="15" w:type="dxa"/>
      </w:tblCellMar>
    </w:tblPr>
  </w:style>
  <w:style w:type="table" w:customStyle="1" w:styleId="87">
    <w:name w:val="_Style 85"/>
    <w:basedOn w:val="27"/>
    <w:qFormat/>
    <w:uiPriority w:val="0"/>
    <w:tblPr>
      <w:tblCellMar>
        <w:top w:w="15" w:type="dxa"/>
        <w:left w:w="15" w:type="dxa"/>
        <w:bottom w:w="15" w:type="dxa"/>
        <w:right w:w="15" w:type="dxa"/>
      </w:tblCellMar>
    </w:tblPr>
  </w:style>
  <w:style w:type="table" w:customStyle="1" w:styleId="88">
    <w:name w:val="_Style 86"/>
    <w:basedOn w:val="27"/>
    <w:qFormat/>
    <w:uiPriority w:val="0"/>
    <w:tblPr>
      <w:tblCellMar>
        <w:top w:w="15" w:type="dxa"/>
        <w:left w:w="15" w:type="dxa"/>
        <w:bottom w:w="15" w:type="dxa"/>
        <w:right w:w="15" w:type="dxa"/>
      </w:tblCellMar>
    </w:tblPr>
  </w:style>
  <w:style w:type="table" w:customStyle="1" w:styleId="89">
    <w:name w:val="_Style 87"/>
    <w:basedOn w:val="27"/>
    <w:qFormat/>
    <w:uiPriority w:val="0"/>
    <w:tblPr>
      <w:tblCellMar>
        <w:top w:w="15" w:type="dxa"/>
        <w:left w:w="15" w:type="dxa"/>
        <w:bottom w:w="15" w:type="dxa"/>
        <w:right w:w="15" w:type="dxa"/>
      </w:tblCellMar>
    </w:tblPr>
  </w:style>
  <w:style w:type="table" w:customStyle="1" w:styleId="90">
    <w:name w:val="_Style 88"/>
    <w:basedOn w:val="27"/>
    <w:qFormat/>
    <w:uiPriority w:val="0"/>
    <w:tblPr>
      <w:tblCellMar>
        <w:top w:w="15" w:type="dxa"/>
        <w:left w:w="15" w:type="dxa"/>
        <w:bottom w:w="15" w:type="dxa"/>
        <w:right w:w="15" w:type="dxa"/>
      </w:tblCellMar>
    </w:tblPr>
  </w:style>
  <w:style w:type="table" w:customStyle="1" w:styleId="91">
    <w:name w:val="_Style 89"/>
    <w:basedOn w:val="27"/>
    <w:qFormat/>
    <w:uiPriority w:val="0"/>
    <w:tblPr>
      <w:tblCellMar>
        <w:left w:w="108" w:type="dxa"/>
        <w:right w:w="108" w:type="dxa"/>
      </w:tblCellMar>
    </w:tblPr>
  </w:style>
  <w:style w:type="table" w:customStyle="1" w:styleId="92">
    <w:name w:val="_Style 90"/>
    <w:basedOn w:val="27"/>
    <w:qFormat/>
    <w:uiPriority w:val="0"/>
    <w:tblPr>
      <w:tblCellMar>
        <w:top w:w="15" w:type="dxa"/>
        <w:left w:w="15" w:type="dxa"/>
        <w:bottom w:w="15" w:type="dxa"/>
        <w:right w:w="15" w:type="dxa"/>
      </w:tblCellMar>
    </w:tblPr>
  </w:style>
  <w:style w:type="table" w:customStyle="1" w:styleId="93">
    <w:name w:val="_Style 91"/>
    <w:basedOn w:val="27"/>
    <w:qFormat/>
    <w:uiPriority w:val="0"/>
    <w:tblPr>
      <w:tblCellMar>
        <w:top w:w="15" w:type="dxa"/>
        <w:left w:w="15" w:type="dxa"/>
        <w:bottom w:w="15" w:type="dxa"/>
        <w:right w:w="15" w:type="dxa"/>
      </w:tblCellMar>
    </w:tblPr>
  </w:style>
  <w:style w:type="table" w:customStyle="1" w:styleId="94">
    <w:name w:val="_Style 92"/>
    <w:basedOn w:val="27"/>
    <w:qFormat/>
    <w:uiPriority w:val="0"/>
    <w:tblPr>
      <w:tblCellMar>
        <w:top w:w="15" w:type="dxa"/>
        <w:left w:w="15" w:type="dxa"/>
        <w:bottom w:w="15" w:type="dxa"/>
        <w:right w:w="15" w:type="dxa"/>
      </w:tblCellMar>
    </w:tblPr>
  </w:style>
  <w:style w:type="character" w:customStyle="1" w:styleId="95">
    <w:name w:val="Parágrafo da Lista Char"/>
    <w:link w:val="38"/>
    <w:qFormat/>
    <w:uiPriority w:val="1"/>
    <w:rPr>
      <w:rFonts w:cs="Times New Roman"/>
    </w:rPr>
  </w:style>
  <w:style w:type="paragraph" w:customStyle="1" w:styleId="96">
    <w:name w:val="Estilo1"/>
    <w:basedOn w:val="97"/>
    <w:link w:val="98"/>
    <w:qFormat/>
    <w:uiPriority w:val="0"/>
    <w:pPr>
      <w:spacing w:line="360" w:lineRule="auto"/>
      <w:ind w:firstLine="709"/>
      <w:jc w:val="both"/>
    </w:pPr>
    <w:rPr>
      <w:rFonts w:eastAsia="Times New Roman"/>
      <w:color w:val="000000"/>
      <w:sz w:val="24"/>
      <w:szCs w:val="24"/>
    </w:rPr>
  </w:style>
  <w:style w:type="paragraph" w:styleId="97">
    <w:name w:val="No Spacing"/>
    <w:qFormat/>
    <w:uiPriority w:val="1"/>
    <w:pPr>
      <w:spacing w:line="240" w:lineRule="auto"/>
    </w:pPr>
    <w:rPr>
      <w:rFonts w:ascii="Arial" w:hAnsi="Arial" w:eastAsia="Arial" w:cs="Times New Roman"/>
      <w:sz w:val="22"/>
      <w:szCs w:val="22"/>
      <w:lang w:val="pt-BR" w:eastAsia="pt-BR" w:bidi="ar-SA"/>
    </w:rPr>
  </w:style>
  <w:style w:type="character" w:customStyle="1" w:styleId="98">
    <w:name w:val="Estilo1 Char"/>
    <w:link w:val="96"/>
    <w:qFormat/>
    <w:uiPriority w:val="0"/>
    <w:rPr>
      <w:rFonts w:eastAsia="Times New Roman" w:cs="Times New Roman"/>
      <w:color w:val="000000"/>
      <w:sz w:val="24"/>
      <w:szCs w:val="24"/>
    </w:rPr>
  </w:style>
  <w:style w:type="character" w:customStyle="1" w:styleId="99">
    <w:name w:val="Cabeçalho Char"/>
    <w:basedOn w:val="11"/>
    <w:link w:val="21"/>
    <w:qFormat/>
    <w:uiPriority w:val="99"/>
    <w:rPr>
      <w:rFonts w:cs="Times New Roman"/>
    </w:rPr>
  </w:style>
  <w:style w:type="character" w:customStyle="1" w:styleId="100">
    <w:name w:val="Rodapé Char"/>
    <w:basedOn w:val="11"/>
    <w:link w:val="23"/>
    <w:qFormat/>
    <w:uiPriority w:val="99"/>
    <w:rPr>
      <w:rFonts w:cs="Times New Roman"/>
    </w:rPr>
  </w:style>
  <w:style w:type="paragraph" w:customStyle="1" w:styleId="101">
    <w:name w:val="Nível 2 -Red"/>
    <w:basedOn w:val="32"/>
    <w:link w:val="102"/>
    <w:qFormat/>
    <w:uiPriority w:val="0"/>
    <w:pPr>
      <w:tabs>
        <w:tab w:val="clear" w:pos="1440"/>
      </w:tabs>
      <w:spacing w:before="120" w:beforeLines="0" w:after="120" w:afterLines="0" w:line="276" w:lineRule="auto"/>
      <w:ind w:firstLine="0"/>
    </w:pPr>
    <w:rPr>
      <w:i/>
      <w:iCs/>
      <w:color w:val="FF0000"/>
      <w:sz w:val="20"/>
    </w:rPr>
  </w:style>
  <w:style w:type="character" w:customStyle="1" w:styleId="102">
    <w:name w:val="Nível 2 -Red Char"/>
    <w:basedOn w:val="36"/>
    <w:link w:val="101"/>
    <w:qFormat/>
    <w:uiPriority w:val="0"/>
    <w:rPr>
      <w:rFonts w:eastAsiaTheme="minorEastAsia"/>
      <w:i/>
      <w:iCs/>
      <w:color w:val="FF0000"/>
      <w:sz w:val="20"/>
      <w:szCs w:val="20"/>
    </w:rPr>
  </w:style>
  <w:style w:type="paragraph" w:customStyle="1" w:styleId="103">
    <w:name w:val="Nível 1-Sem Num Preto"/>
    <w:basedOn w:val="1"/>
    <w:link w:val="104"/>
    <w:qFormat/>
    <w:uiPriority w:val="0"/>
    <w:pPr>
      <w:keepNext/>
      <w:keepLines/>
      <w:tabs>
        <w:tab w:val="left" w:pos="567"/>
      </w:tabs>
      <w:spacing w:before="240" w:after="120" w:line="276" w:lineRule="auto"/>
      <w:jc w:val="both"/>
      <w:outlineLvl w:val="1"/>
    </w:pPr>
    <w:rPr>
      <w:rFonts w:cs="Arial" w:eastAsiaTheme="majorEastAsia"/>
      <w:b/>
      <w:bCs/>
      <w:sz w:val="20"/>
      <w:szCs w:val="20"/>
      <w:lang w:eastAsia="zh-CN" w:bidi="hi-IN"/>
    </w:rPr>
  </w:style>
  <w:style w:type="character" w:customStyle="1" w:styleId="104">
    <w:name w:val="Nível 1-Sem Num Preto Char"/>
    <w:basedOn w:val="11"/>
    <w:link w:val="103"/>
    <w:qFormat/>
    <w:uiPriority w:val="0"/>
    <w:rPr>
      <w:rFonts w:eastAsiaTheme="majorEastAsia"/>
      <w:b/>
      <w:bCs/>
      <w:sz w:val="20"/>
      <w:szCs w:val="20"/>
      <w:lang w:eastAsia="zh-CN" w:bidi="hi-IN"/>
    </w:rPr>
  </w:style>
  <w:style w:type="character" w:customStyle="1" w:styleId="105">
    <w:name w:val="Recuo de corpo de texto 3 Char"/>
    <w:basedOn w:val="11"/>
    <w:link w:val="24"/>
    <w:qFormat/>
    <w:uiPriority w:val="0"/>
    <w:rPr>
      <w:rFonts w:ascii="Times New Roman" w:hAnsi="Times New Roman" w:eastAsia="Times New Roman" w:cs="Times New Roman"/>
      <w:sz w:val="16"/>
      <w:szCs w:val="16"/>
      <w:lang w:val="zh-CN" w:eastAsia="zh-CN"/>
    </w:rPr>
  </w:style>
  <w:style w:type="character" w:customStyle="1" w:styleId="106">
    <w:name w:val="Corpo de texto Char"/>
    <w:basedOn w:val="11"/>
    <w:link w:val="17"/>
    <w:semiHidden/>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PWrJt/JrvgTniKjDQC43/nTz8A==">AMUW2mWDzrDHTLYepoT1jZ2af7hIZ+1dJVVwhuchgjQ8HIBeozDuiALZVHUwN0osTmli8F9hFK14PGqGKo2KjgP1DuqN/l/7cLJnka34oC6nmRhscf1/cHI=</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16</Pages>
  <Words>5034</Words>
  <Characters>27187</Characters>
  <Lines>226</Lines>
  <Paragraphs>64</Paragraphs>
  <TotalTime>1</TotalTime>
  <ScaleCrop>false</ScaleCrop>
  <LinksUpToDate>false</LinksUpToDate>
  <CharactersWithSpaces>32157</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2025-06-02T19:22:00Z</dcterms:created>
  <dc:creator>Nayara Lorena de Sousa Mizota</dc:creator>
  <cp:lastModifiedBy>darllyson.henrique</cp:lastModifiedBy>
  <cp:lastPrinted>2024-05-20T12:11:00Z</cp:lastPrinted>
  <dcterms:modified xsi:type="dcterms:W3CDTF">2025-06-06T19:05:27Z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C6C7E0C52B3543ECA8395BCE704673A0_13</vt:lpwstr>
  </property>
</Properties>
</file>