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B6A78">
      <w:pPr>
        <w:tabs>
          <w:tab w:val="left" w:pos="3641"/>
        </w:tabs>
        <w:spacing w:before="120" w:after="120" w:line="288" w:lineRule="auto"/>
        <w:jc w:val="center"/>
        <w:rPr>
          <w:b/>
        </w:rPr>
      </w:pPr>
      <w:bookmarkStart w:id="1" w:name="_GoBack"/>
      <w:bookmarkEnd w:id="1"/>
      <w:r>
        <w:rPr>
          <w:b/>
          <w:highlight w:val="yellow"/>
        </w:rPr>
        <w:t>ANEXO V</w:t>
      </w:r>
    </w:p>
    <w:p w14:paraId="6D4DBF00">
      <w:pPr>
        <w:tabs>
          <w:tab w:val="left" w:pos="3641"/>
        </w:tabs>
        <w:spacing w:before="120" w:after="120" w:line="288" w:lineRule="auto"/>
        <w:jc w:val="center"/>
        <w:rPr>
          <w:b/>
        </w:rPr>
      </w:pPr>
      <w:r>
        <w:rPr>
          <w:b/>
        </w:rPr>
        <w:t>MINUTA DE CONTRATO</w:t>
      </w:r>
    </w:p>
    <w:p w14:paraId="7DC943C0">
      <w:pPr>
        <w:pStyle w:val="20"/>
        <w:spacing w:before="120" w:after="120" w:line="288" w:lineRule="auto"/>
        <w:jc w:val="center"/>
        <w:rPr>
          <w:rFonts w:ascii="Arial" w:hAnsi="Arial" w:cs="Arial"/>
          <w:b/>
        </w:rPr>
      </w:pPr>
      <w:r>
        <w:rPr>
          <w:rFonts w:ascii="Arial" w:hAnsi="Arial" w:cs="Arial"/>
          <w:b/>
        </w:rPr>
        <w:t xml:space="preserve">TERMO DE CONTRATO ADMINISTRATIVO N.º </w:t>
      </w:r>
      <w:r>
        <w:rPr>
          <w:rFonts w:ascii="Arial" w:hAnsi="Arial" w:cs="Arial"/>
          <w:b/>
          <w:color w:val="FF0000"/>
        </w:rPr>
        <w:t>XXX/2025</w:t>
      </w:r>
    </w:p>
    <w:p w14:paraId="7EC33827">
      <w:pPr>
        <w:pStyle w:val="20"/>
        <w:spacing w:before="120" w:after="120" w:line="288" w:lineRule="auto"/>
        <w:jc w:val="center"/>
        <w:rPr>
          <w:rFonts w:ascii="Arial" w:hAnsi="Arial" w:cs="Arial"/>
        </w:rPr>
      </w:pPr>
      <w:r>
        <w:rPr>
          <w:rFonts w:ascii="Arial" w:hAnsi="Arial" w:cs="Arial"/>
        </w:rPr>
        <w:t>PROCESSO LICITATÓRIO N.º XXXXX</w:t>
      </w:r>
    </w:p>
    <w:p w14:paraId="6F24C453">
      <w:pPr>
        <w:pStyle w:val="20"/>
        <w:spacing w:before="120" w:after="120" w:line="288" w:lineRule="auto"/>
        <w:jc w:val="center"/>
        <w:rPr>
          <w:rFonts w:ascii="Arial" w:hAnsi="Arial" w:cs="Arial"/>
          <w:b/>
        </w:rPr>
      </w:pPr>
      <w:r>
        <w:rPr>
          <w:rFonts w:ascii="Arial" w:hAnsi="Arial" w:cs="Arial"/>
          <w:b/>
        </w:rPr>
        <w:t>PREGÃO ELETRÔNICO SRP N.º XXXXX</w:t>
      </w:r>
    </w:p>
    <w:p w14:paraId="46860A76">
      <w:pPr>
        <w:pStyle w:val="20"/>
        <w:spacing w:before="120" w:after="120" w:line="288" w:lineRule="auto"/>
        <w:jc w:val="center"/>
        <w:rPr>
          <w:rFonts w:ascii="Arial" w:hAnsi="Arial" w:cs="Arial"/>
          <w:b/>
        </w:rPr>
      </w:pPr>
    </w:p>
    <w:p w14:paraId="5230AFA2">
      <w:pPr>
        <w:spacing w:before="120" w:after="120" w:line="288" w:lineRule="auto"/>
        <w:jc w:val="both"/>
        <w:rPr>
          <w:rFonts w:cs="Arial"/>
          <w:sz w:val="20"/>
          <w:szCs w:val="20"/>
        </w:rPr>
      </w:pPr>
      <w:r>
        <w:rPr>
          <w:rFonts w:cs="Arial"/>
          <w:sz w:val="20"/>
          <w:szCs w:val="20"/>
        </w:rPr>
        <w:t xml:space="preserve">Pelo presente contrato, que entre si fazem, de um lado o </w:t>
      </w:r>
      <w:r>
        <w:rPr>
          <w:rFonts w:cs="Arial"/>
          <w:b/>
          <w:sz w:val="20"/>
          <w:szCs w:val="20"/>
        </w:rPr>
        <w:t xml:space="preserve">MUNICÍPIO DE ANDARAÍ/BA </w:t>
      </w:r>
      <w:r>
        <w:rPr>
          <w:rFonts w:cs="Arial"/>
          <w:sz w:val="20"/>
          <w:szCs w:val="20"/>
        </w:rPr>
        <w:t xml:space="preserve">com sede na Rua Marimbus, Alto da Bela Vista, CEP: 46.830-000, devidamente inscrito no Cadastro Nacional de Pessoas Jurídicas (CNPJ) sob o nº 13.922.570/0001-80, representado pelo, Sr. Wilson Paes Cardoso, inscrito no Cadastro de Pessoa Física (CPF) sob n° 054.695.385-91 e portador do RG n° 662766, doravante designado simplesmente de </w:t>
      </w:r>
      <w:r>
        <w:rPr>
          <w:rFonts w:cs="Arial"/>
          <w:b/>
          <w:sz w:val="20"/>
          <w:szCs w:val="20"/>
        </w:rPr>
        <w:t>CONTRATANTE</w:t>
      </w:r>
      <w:r>
        <w:rPr>
          <w:rFonts w:cs="Arial"/>
          <w:sz w:val="20"/>
          <w:szCs w:val="20"/>
        </w:rPr>
        <w:t xml:space="preserve"> e do outro lado, a empresa XXXX, pessoa jurídica de direito privado, com sede na XXX, inscrita no CNPJ/MF sob nº. XXXXX, neste ato representada por seu Sócio Diretor, XXXXX, portador do RG e CPF: XXXXXXXXX a seguir denominada </w:t>
      </w:r>
      <w:r>
        <w:rPr>
          <w:rFonts w:cs="Arial"/>
          <w:b/>
          <w:sz w:val="20"/>
          <w:szCs w:val="20"/>
        </w:rPr>
        <w:t>CONTRATADA</w:t>
      </w:r>
      <w:r>
        <w:rPr>
          <w:rFonts w:cs="Arial"/>
          <w:sz w:val="20"/>
          <w:szCs w:val="20"/>
        </w:rPr>
        <w:t xml:space="preserve">, têm entre si justo e acordado celebrar o presente contrato, vinculado ao Processo de Licitação </w:t>
      </w:r>
      <w:r>
        <w:rPr>
          <w:rFonts w:cs="Arial"/>
          <w:b/>
          <w:sz w:val="20"/>
          <w:szCs w:val="20"/>
        </w:rPr>
        <w:t>00x/20xx</w:t>
      </w:r>
      <w:r>
        <w:rPr>
          <w:rFonts w:cs="Arial"/>
          <w:sz w:val="20"/>
          <w:szCs w:val="20"/>
        </w:rPr>
        <w:t xml:space="preserve">, </w:t>
      </w:r>
      <w:r>
        <w:rPr>
          <w:rFonts w:cs="Arial"/>
          <w:b/>
          <w:sz w:val="20"/>
          <w:szCs w:val="20"/>
        </w:rPr>
        <w:t>Pregão Eletrônico SRP nº XXX</w:t>
      </w:r>
      <w:r>
        <w:rPr>
          <w:rFonts w:cs="Arial"/>
          <w:sz w:val="20"/>
          <w:szCs w:val="20"/>
        </w:rPr>
        <w:t>, Tipo menor preço por lote, autorizado pela autoridade competente, que se regerá pelas suas normas, pela Lei nº 14.133/21, Decreto Municipal n° 3455/2024, Decreto Municipal nº 3536/2024 e Decreto Municipal n° 3435/2024 e pelas demais disposições pertinentes, resolvem celebrar o presente Termo de Contrato, mediante as cláusulas e condições a seguir enunciadas:</w:t>
      </w:r>
    </w:p>
    <w:p w14:paraId="555A1B8E">
      <w:pPr>
        <w:pStyle w:val="20"/>
        <w:spacing w:before="120" w:after="120" w:line="288" w:lineRule="auto"/>
        <w:jc w:val="center"/>
        <w:rPr>
          <w:rFonts w:ascii="Arial" w:hAnsi="Arial" w:cs="Arial"/>
          <w:b/>
        </w:rPr>
      </w:pPr>
    </w:p>
    <w:p w14:paraId="430CB7F7">
      <w:pPr>
        <w:pStyle w:val="10"/>
        <w:numPr>
          <w:ilvl w:val="0"/>
          <w:numId w:val="2"/>
        </w:numPr>
        <w:spacing w:before="120" w:after="120" w:line="288" w:lineRule="auto"/>
        <w:rPr>
          <w:b/>
        </w:rPr>
      </w:pPr>
      <w:r>
        <w:rPr>
          <w:b/>
        </w:rPr>
        <w:t>CLÁUSULA PRIMEIRA – OBJETO</w:t>
      </w:r>
    </w:p>
    <w:p w14:paraId="573BB4C9">
      <w:pPr>
        <w:pStyle w:val="12"/>
        <w:numPr>
          <w:ilvl w:val="1"/>
          <w:numId w:val="2"/>
        </w:numPr>
        <w:tabs>
          <w:tab w:val="left" w:pos="426"/>
        </w:tabs>
        <w:spacing w:beforeLines="0" w:afterLines="0" w:line="288" w:lineRule="auto"/>
        <w:ind w:left="0" w:firstLine="0"/>
        <w:rPr>
          <w:rFonts w:eastAsia="Arial" w:cs="Arial"/>
          <w:color w:val="auto"/>
        </w:rPr>
      </w:pPr>
      <w:r>
        <w:rPr>
          <w:rFonts w:eastAsia="Arial" w:cs="Arial"/>
          <w:color w:val="auto"/>
        </w:rPr>
        <w:t xml:space="preserve">REGISTRAR OS PREÇOS para Registro de preços para eventual contratação de empresa especializada para aquisição dos medicamentos, materiais Penso e produtos sanitizantes, essa aquisição visa suprir as necessidades das Unidades de Saúde da Família e do Hospital Municipal, Através desta Secretaria Municipal de Saúde. </w:t>
      </w:r>
    </w:p>
    <w:p w14:paraId="50CE79EC">
      <w:pPr>
        <w:pStyle w:val="12"/>
        <w:widowControl w:val="0"/>
        <w:tabs>
          <w:tab w:val="left" w:pos="0"/>
        </w:tabs>
        <w:spacing w:beforeLines="0" w:afterLines="0" w:line="288" w:lineRule="auto"/>
        <w:ind w:firstLine="0"/>
        <w:rPr>
          <w:color w:val="auto"/>
        </w:rPr>
      </w:pPr>
    </w:p>
    <w:p w14:paraId="0A32782E">
      <w:pPr>
        <w:pStyle w:val="12"/>
        <w:widowControl w:val="0"/>
        <w:tabs>
          <w:tab w:val="left" w:pos="567"/>
        </w:tabs>
        <w:spacing w:beforeLines="0" w:afterLines="0" w:line="288" w:lineRule="auto"/>
        <w:ind w:firstLine="0"/>
        <w:rPr>
          <w:color w:val="auto"/>
        </w:rPr>
      </w:pPr>
    </w:p>
    <w:p w14:paraId="270E8BF8">
      <w:pPr>
        <w:pStyle w:val="12"/>
        <w:numPr>
          <w:ilvl w:val="1"/>
          <w:numId w:val="2"/>
        </w:numPr>
        <w:tabs>
          <w:tab w:val="left" w:pos="426"/>
        </w:tabs>
        <w:spacing w:beforeLines="0" w:afterLines="0" w:line="288" w:lineRule="auto"/>
        <w:ind w:left="0" w:firstLine="0"/>
        <w:rPr>
          <w:b/>
        </w:rPr>
      </w:pPr>
      <w:r>
        <w:rPr>
          <w:b/>
        </w:rPr>
        <w:t>Objeto da contratação:</w:t>
      </w:r>
    </w:p>
    <w:tbl>
      <w:tblPr>
        <w:tblStyle w:val="4"/>
        <w:tblW w:w="5000" w:type="pct"/>
        <w:tblInd w:w="0" w:type="dxa"/>
        <w:tblLayout w:type="autofit"/>
        <w:tblCellMar>
          <w:top w:w="0" w:type="dxa"/>
          <w:left w:w="108" w:type="dxa"/>
          <w:bottom w:w="0" w:type="dxa"/>
          <w:right w:w="108" w:type="dxa"/>
        </w:tblCellMar>
      </w:tblPr>
      <w:tblGrid>
        <w:gridCol w:w="706"/>
        <w:gridCol w:w="1130"/>
        <w:gridCol w:w="1763"/>
        <w:gridCol w:w="1116"/>
        <w:gridCol w:w="1517"/>
        <w:gridCol w:w="1170"/>
        <w:gridCol w:w="1318"/>
      </w:tblGrid>
      <w:tr w14:paraId="2EAEC0D7">
        <w:tblPrEx>
          <w:tblCellMar>
            <w:top w:w="0" w:type="dxa"/>
            <w:left w:w="108" w:type="dxa"/>
            <w:bottom w:w="0" w:type="dxa"/>
            <w:right w:w="108" w:type="dxa"/>
          </w:tblCellMar>
        </w:tblPrEx>
        <w:tc>
          <w:tcPr>
            <w:tcW w:w="405" w:type="pct"/>
            <w:tcBorders>
              <w:top w:val="single" w:color="000000" w:sz="4" w:space="0"/>
              <w:left w:val="single" w:color="000000" w:sz="4" w:space="0"/>
              <w:bottom w:val="single" w:color="000000" w:sz="4" w:space="0"/>
              <w:right w:val="single" w:color="000000" w:sz="4" w:space="0"/>
            </w:tcBorders>
          </w:tcPr>
          <w:p w14:paraId="0DDE2B4C">
            <w:pPr>
              <w:spacing w:before="120" w:after="120" w:line="288" w:lineRule="auto"/>
              <w:rPr>
                <w:rFonts w:cs="Arial"/>
                <w:sz w:val="20"/>
                <w:szCs w:val="20"/>
              </w:rPr>
            </w:pPr>
            <w:r>
              <w:rPr>
                <w:rFonts w:cs="Arial"/>
                <w:sz w:val="20"/>
                <w:szCs w:val="20"/>
              </w:rPr>
              <w:t xml:space="preserve">Item </w:t>
            </w:r>
          </w:p>
          <w:p w14:paraId="3AE54CAE">
            <w:pPr>
              <w:spacing w:before="120" w:after="120" w:line="288" w:lineRule="auto"/>
              <w:rPr>
                <w:rFonts w:cs="Arial"/>
                <w:sz w:val="20"/>
                <w:szCs w:val="20"/>
              </w:rPr>
            </w:pPr>
          </w:p>
        </w:tc>
        <w:tc>
          <w:tcPr>
            <w:tcW w:w="648" w:type="pct"/>
            <w:tcBorders>
              <w:top w:val="single" w:color="000000" w:sz="4" w:space="0"/>
              <w:left w:val="single" w:color="000000" w:sz="4" w:space="0"/>
              <w:bottom w:val="single" w:color="000000" w:sz="4" w:space="0"/>
              <w:right w:val="single" w:color="000000" w:sz="4" w:space="0"/>
            </w:tcBorders>
          </w:tcPr>
          <w:p w14:paraId="7ED01A04">
            <w:pPr>
              <w:spacing w:before="120" w:after="120" w:line="288" w:lineRule="auto"/>
              <w:rPr>
                <w:rFonts w:cs="Arial"/>
                <w:sz w:val="20"/>
                <w:szCs w:val="20"/>
              </w:rPr>
            </w:pPr>
            <w:r>
              <w:rPr>
                <w:rFonts w:cs="Arial"/>
                <w:sz w:val="20"/>
                <w:szCs w:val="20"/>
              </w:rPr>
              <w:t>Unidade</w:t>
            </w:r>
          </w:p>
        </w:tc>
        <w:tc>
          <w:tcPr>
            <w:tcW w:w="1011" w:type="pct"/>
            <w:tcBorders>
              <w:top w:val="single" w:color="000000" w:sz="4" w:space="0"/>
              <w:left w:val="single" w:color="000000" w:sz="4" w:space="0"/>
              <w:bottom w:val="single" w:color="000000" w:sz="4" w:space="0"/>
              <w:right w:val="single" w:color="000000" w:sz="4" w:space="0"/>
            </w:tcBorders>
          </w:tcPr>
          <w:p w14:paraId="536B41E2">
            <w:pPr>
              <w:spacing w:before="120" w:after="120" w:line="288" w:lineRule="auto"/>
              <w:rPr>
                <w:rFonts w:cs="Arial"/>
                <w:sz w:val="20"/>
                <w:szCs w:val="20"/>
              </w:rPr>
            </w:pPr>
            <w:r>
              <w:rPr>
                <w:rFonts w:cs="Arial"/>
                <w:sz w:val="20"/>
                <w:szCs w:val="20"/>
              </w:rPr>
              <w:t>Quantidade</w:t>
            </w:r>
          </w:p>
        </w:tc>
        <w:tc>
          <w:tcPr>
            <w:tcW w:w="640" w:type="pct"/>
            <w:tcBorders>
              <w:top w:val="single" w:color="000000" w:sz="4" w:space="0"/>
              <w:left w:val="single" w:color="000000" w:sz="4" w:space="0"/>
              <w:bottom w:val="single" w:color="000000" w:sz="4" w:space="0"/>
              <w:right w:val="single" w:color="000000" w:sz="4" w:space="0"/>
            </w:tcBorders>
          </w:tcPr>
          <w:p w14:paraId="37622050">
            <w:pPr>
              <w:spacing w:before="120" w:after="120" w:line="288" w:lineRule="auto"/>
              <w:rPr>
                <w:rFonts w:cs="Arial"/>
                <w:sz w:val="20"/>
                <w:szCs w:val="20"/>
              </w:rPr>
            </w:pPr>
            <w:r>
              <w:rPr>
                <w:rFonts w:cs="Arial"/>
                <w:sz w:val="20"/>
                <w:szCs w:val="20"/>
              </w:rPr>
              <w:t>Descrição</w:t>
            </w:r>
          </w:p>
        </w:tc>
        <w:tc>
          <w:tcPr>
            <w:tcW w:w="870" w:type="pct"/>
            <w:tcBorders>
              <w:top w:val="single" w:color="000000" w:sz="4" w:space="0"/>
              <w:left w:val="single" w:color="000000" w:sz="4" w:space="0"/>
              <w:bottom w:val="single" w:color="000000" w:sz="4" w:space="0"/>
              <w:right w:val="single" w:color="000000" w:sz="4" w:space="0"/>
            </w:tcBorders>
          </w:tcPr>
          <w:p w14:paraId="6DD14ED6">
            <w:pPr>
              <w:spacing w:before="120" w:after="120" w:line="288" w:lineRule="auto"/>
              <w:rPr>
                <w:rFonts w:cs="Arial"/>
                <w:sz w:val="20"/>
                <w:szCs w:val="20"/>
              </w:rPr>
            </w:pPr>
            <w:r>
              <w:rPr>
                <w:rFonts w:cs="Arial"/>
                <w:sz w:val="20"/>
                <w:szCs w:val="20"/>
              </w:rPr>
              <w:t>Marca</w:t>
            </w:r>
          </w:p>
        </w:tc>
        <w:tc>
          <w:tcPr>
            <w:tcW w:w="671" w:type="pct"/>
            <w:tcBorders>
              <w:top w:val="single" w:color="000000" w:sz="4" w:space="0"/>
              <w:left w:val="single" w:color="000000" w:sz="4" w:space="0"/>
              <w:bottom w:val="single" w:color="000000" w:sz="4" w:space="0"/>
              <w:right w:val="single" w:color="000000" w:sz="4" w:space="0"/>
            </w:tcBorders>
          </w:tcPr>
          <w:p w14:paraId="399C2D76">
            <w:pPr>
              <w:spacing w:before="120" w:after="120" w:line="288" w:lineRule="auto"/>
              <w:rPr>
                <w:rFonts w:cs="Arial"/>
                <w:sz w:val="20"/>
                <w:szCs w:val="20"/>
              </w:rPr>
            </w:pPr>
            <w:r>
              <w:rPr>
                <w:rFonts w:cs="Arial"/>
                <w:sz w:val="20"/>
                <w:szCs w:val="20"/>
              </w:rPr>
              <w:t>Valor unit.</w:t>
            </w:r>
          </w:p>
        </w:tc>
        <w:tc>
          <w:tcPr>
            <w:tcW w:w="756" w:type="pct"/>
            <w:tcBorders>
              <w:top w:val="single" w:color="000000" w:sz="4" w:space="0"/>
              <w:left w:val="single" w:color="000000" w:sz="4" w:space="0"/>
              <w:bottom w:val="single" w:color="000000" w:sz="4" w:space="0"/>
              <w:right w:val="single" w:color="000000" w:sz="4" w:space="0"/>
            </w:tcBorders>
          </w:tcPr>
          <w:p w14:paraId="6AD2F3E8">
            <w:pPr>
              <w:spacing w:before="120" w:after="120" w:line="288" w:lineRule="auto"/>
              <w:rPr>
                <w:rFonts w:cs="Arial"/>
                <w:sz w:val="20"/>
                <w:szCs w:val="20"/>
              </w:rPr>
            </w:pPr>
            <w:r>
              <w:rPr>
                <w:rFonts w:cs="Arial"/>
                <w:sz w:val="20"/>
                <w:szCs w:val="20"/>
              </w:rPr>
              <w:t>Valor total</w:t>
            </w:r>
          </w:p>
        </w:tc>
      </w:tr>
      <w:tr w14:paraId="7D4D2AA8">
        <w:tblPrEx>
          <w:tblCellMar>
            <w:top w:w="0" w:type="dxa"/>
            <w:left w:w="108" w:type="dxa"/>
            <w:bottom w:w="0" w:type="dxa"/>
            <w:right w:w="108" w:type="dxa"/>
          </w:tblCellMar>
        </w:tblPrEx>
        <w:tc>
          <w:tcPr>
            <w:tcW w:w="405" w:type="pct"/>
            <w:tcBorders>
              <w:top w:val="single" w:color="000000" w:sz="4" w:space="0"/>
              <w:left w:val="single" w:color="000000" w:sz="4" w:space="0"/>
              <w:bottom w:val="single" w:color="000000" w:sz="4" w:space="0"/>
              <w:right w:val="single" w:color="000000" w:sz="4" w:space="0"/>
            </w:tcBorders>
          </w:tcPr>
          <w:p w14:paraId="6A861AC3">
            <w:pPr>
              <w:spacing w:before="120" w:after="120" w:line="288" w:lineRule="auto"/>
              <w:rPr>
                <w:rFonts w:cs="Arial"/>
                <w:sz w:val="20"/>
                <w:szCs w:val="20"/>
              </w:rPr>
            </w:pPr>
            <w:r>
              <w:rPr>
                <w:rFonts w:cs="Arial"/>
                <w:sz w:val="20"/>
                <w:szCs w:val="20"/>
              </w:rPr>
              <w:t>1</w:t>
            </w:r>
          </w:p>
        </w:tc>
        <w:tc>
          <w:tcPr>
            <w:tcW w:w="648" w:type="pct"/>
            <w:tcBorders>
              <w:top w:val="single" w:color="000000" w:sz="4" w:space="0"/>
              <w:left w:val="single" w:color="000000" w:sz="4" w:space="0"/>
              <w:bottom w:val="single" w:color="000000" w:sz="4" w:space="0"/>
              <w:right w:val="single" w:color="000000" w:sz="4" w:space="0"/>
            </w:tcBorders>
          </w:tcPr>
          <w:p w14:paraId="4E60E618">
            <w:pPr>
              <w:spacing w:before="120" w:after="120" w:line="288" w:lineRule="auto"/>
              <w:rPr>
                <w:rFonts w:cs="Arial"/>
                <w:sz w:val="20"/>
                <w:szCs w:val="20"/>
              </w:rPr>
            </w:pPr>
          </w:p>
        </w:tc>
        <w:tc>
          <w:tcPr>
            <w:tcW w:w="1011" w:type="pct"/>
            <w:tcBorders>
              <w:top w:val="single" w:color="000000" w:sz="4" w:space="0"/>
              <w:left w:val="single" w:color="000000" w:sz="4" w:space="0"/>
              <w:bottom w:val="single" w:color="000000" w:sz="4" w:space="0"/>
              <w:right w:val="single" w:color="000000" w:sz="4" w:space="0"/>
            </w:tcBorders>
          </w:tcPr>
          <w:p w14:paraId="63431632">
            <w:pPr>
              <w:spacing w:before="120" w:after="120" w:line="288" w:lineRule="auto"/>
              <w:rPr>
                <w:rFonts w:cs="Arial"/>
                <w:sz w:val="20"/>
                <w:szCs w:val="20"/>
              </w:rPr>
            </w:pPr>
          </w:p>
        </w:tc>
        <w:tc>
          <w:tcPr>
            <w:tcW w:w="640" w:type="pct"/>
            <w:tcBorders>
              <w:top w:val="single" w:color="000000" w:sz="4" w:space="0"/>
              <w:left w:val="single" w:color="000000" w:sz="4" w:space="0"/>
              <w:bottom w:val="single" w:color="000000" w:sz="4" w:space="0"/>
              <w:right w:val="single" w:color="000000" w:sz="4" w:space="0"/>
            </w:tcBorders>
          </w:tcPr>
          <w:p w14:paraId="324C5ABF">
            <w:pPr>
              <w:spacing w:before="120" w:after="120" w:line="288" w:lineRule="auto"/>
              <w:rPr>
                <w:rFonts w:cs="Arial"/>
                <w:sz w:val="20"/>
                <w:szCs w:val="20"/>
              </w:rPr>
            </w:pPr>
          </w:p>
        </w:tc>
        <w:tc>
          <w:tcPr>
            <w:tcW w:w="870" w:type="pct"/>
            <w:tcBorders>
              <w:top w:val="single" w:color="000000" w:sz="4" w:space="0"/>
              <w:left w:val="single" w:color="000000" w:sz="4" w:space="0"/>
              <w:bottom w:val="single" w:color="000000" w:sz="4" w:space="0"/>
              <w:right w:val="single" w:color="000000" w:sz="4" w:space="0"/>
            </w:tcBorders>
          </w:tcPr>
          <w:p w14:paraId="33728D8C">
            <w:pPr>
              <w:spacing w:before="120" w:after="120" w:line="288" w:lineRule="auto"/>
              <w:rPr>
                <w:rFonts w:cs="Arial"/>
                <w:sz w:val="20"/>
                <w:szCs w:val="20"/>
              </w:rPr>
            </w:pPr>
          </w:p>
        </w:tc>
        <w:tc>
          <w:tcPr>
            <w:tcW w:w="671" w:type="pct"/>
            <w:tcBorders>
              <w:top w:val="single" w:color="000000" w:sz="4" w:space="0"/>
              <w:left w:val="single" w:color="000000" w:sz="4" w:space="0"/>
              <w:bottom w:val="single" w:color="000000" w:sz="4" w:space="0"/>
              <w:right w:val="single" w:color="000000" w:sz="4" w:space="0"/>
            </w:tcBorders>
          </w:tcPr>
          <w:p w14:paraId="4F770FDE">
            <w:pPr>
              <w:spacing w:before="120" w:after="120" w:line="288" w:lineRule="auto"/>
              <w:rPr>
                <w:rFonts w:cs="Arial"/>
                <w:sz w:val="20"/>
                <w:szCs w:val="20"/>
              </w:rPr>
            </w:pPr>
          </w:p>
        </w:tc>
        <w:tc>
          <w:tcPr>
            <w:tcW w:w="756" w:type="pct"/>
            <w:tcBorders>
              <w:top w:val="single" w:color="000000" w:sz="4" w:space="0"/>
              <w:left w:val="single" w:color="000000" w:sz="4" w:space="0"/>
              <w:bottom w:val="single" w:color="000000" w:sz="4" w:space="0"/>
              <w:right w:val="single" w:color="000000" w:sz="4" w:space="0"/>
            </w:tcBorders>
          </w:tcPr>
          <w:p w14:paraId="4176C691">
            <w:pPr>
              <w:spacing w:before="120" w:after="120" w:line="288" w:lineRule="auto"/>
              <w:rPr>
                <w:rFonts w:cs="Arial"/>
                <w:sz w:val="20"/>
                <w:szCs w:val="20"/>
              </w:rPr>
            </w:pPr>
          </w:p>
        </w:tc>
      </w:tr>
    </w:tbl>
    <w:p w14:paraId="1296326E">
      <w:pPr>
        <w:pStyle w:val="10"/>
        <w:numPr>
          <w:ilvl w:val="0"/>
          <w:numId w:val="0"/>
        </w:numPr>
        <w:tabs>
          <w:tab w:val="left" w:pos="284"/>
          <w:tab w:val="left" w:pos="426"/>
        </w:tabs>
        <w:spacing w:before="120" w:after="120" w:line="288" w:lineRule="auto"/>
      </w:pPr>
    </w:p>
    <w:p w14:paraId="017D9285">
      <w:pPr>
        <w:pStyle w:val="10"/>
        <w:numPr>
          <w:ilvl w:val="0"/>
          <w:numId w:val="2"/>
        </w:numPr>
        <w:spacing w:before="120" w:after="120" w:line="288" w:lineRule="auto"/>
        <w:rPr>
          <w:b/>
        </w:rPr>
      </w:pPr>
      <w:r>
        <w:rPr>
          <w:b/>
        </w:rPr>
        <w:t>CLÁUSULA SEGUNDA – DO VALOR</w:t>
      </w:r>
    </w:p>
    <w:p w14:paraId="269BC3E6">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O CONTRATANTE pagará ao CONTRATADO os preços previstos em sua proposta, que é parte integrante deste contrato</w:t>
      </w:r>
      <w:r>
        <w:rPr>
          <w:rFonts w:eastAsia="Arial"/>
          <w:szCs w:val="22"/>
        </w:rPr>
        <w:t>.</w:t>
      </w:r>
    </w:p>
    <w:p w14:paraId="04BA1EF2">
      <w:pPr>
        <w:pStyle w:val="12"/>
        <w:numPr>
          <w:ilvl w:val="1"/>
          <w:numId w:val="3"/>
        </w:numPr>
        <w:spacing w:beforeLines="0" w:afterLines="0" w:line="288" w:lineRule="auto"/>
      </w:pPr>
      <w:r>
        <w:t xml:space="preserve">O valor da contratação é de </w:t>
      </w:r>
      <w:r>
        <w:rPr>
          <w:color w:val="FF0000"/>
        </w:rPr>
        <w:t>R$ xxxxxx,xx (valor por extenso</w:t>
      </w:r>
      <w:r>
        <w:t>), já incluídas todas as despesas ordinárias diretas e indiretas decorrentes da execução do objeto, inclusive tributos e/ou impostos, encargos sociais, trabalhistas, previdenciários, fiscais e comerciais incidentes, taxa de administração, frete, seguro e outros necessários para a perfeita execução integral do objeto contratado.</w:t>
      </w:r>
    </w:p>
    <w:p w14:paraId="496B4587">
      <w:pPr>
        <w:pStyle w:val="12"/>
        <w:numPr>
          <w:ilvl w:val="1"/>
          <w:numId w:val="3"/>
        </w:numPr>
        <w:spacing w:beforeLines="0" w:afterLines="0" w:line="288" w:lineRule="auto"/>
        <w:ind w:left="0" w:firstLine="0"/>
      </w:pPr>
      <w:r>
        <w:t>Os preços contratados serão considerados completos e suficientes para o fornecimento dos itens objeto deste contrato, sendo desconsiderada qualquer reivindicação de pagamento adicional devido a erro ou má interpretação feita pelo CONTRATADO.</w:t>
      </w:r>
    </w:p>
    <w:p w14:paraId="64D8A663">
      <w:pPr>
        <w:pStyle w:val="10"/>
        <w:numPr>
          <w:ilvl w:val="0"/>
          <w:numId w:val="3"/>
        </w:numPr>
        <w:spacing w:before="120" w:after="120" w:line="288" w:lineRule="auto"/>
        <w:rPr>
          <w:rFonts w:eastAsia="Arial"/>
          <w:b/>
        </w:rPr>
      </w:pPr>
      <w:r>
        <w:rPr>
          <w:rFonts w:eastAsia="Arial"/>
          <w:b/>
        </w:rPr>
        <w:t xml:space="preserve">CLÁUSULA TERCEIRA – DOS DOCUMENTOS </w:t>
      </w:r>
    </w:p>
    <w:p w14:paraId="3B39E85E">
      <w:pPr>
        <w:pStyle w:val="12"/>
        <w:numPr>
          <w:ilvl w:val="1"/>
          <w:numId w:val="3"/>
        </w:numPr>
        <w:spacing w:beforeLines="0" w:afterLines="0" w:line="288" w:lineRule="auto"/>
        <w:ind w:left="0" w:firstLine="0"/>
      </w:pPr>
      <w:r>
        <w:rPr>
          <w:rFonts w:eastAsia="Arial"/>
        </w:rPr>
        <w:t>Vinculam esta contratação, independentemente de transcrição:</w:t>
      </w:r>
    </w:p>
    <w:p w14:paraId="22FA74C3">
      <w:pPr>
        <w:pStyle w:val="13"/>
        <w:numPr>
          <w:ilvl w:val="2"/>
          <w:numId w:val="3"/>
        </w:numPr>
        <w:spacing w:line="288" w:lineRule="auto"/>
        <w:ind w:left="284" w:firstLine="0"/>
      </w:pPr>
      <w:r>
        <w:rPr>
          <w:rFonts w:eastAsia="Arial"/>
        </w:rPr>
        <w:t>O Termo de Referência;</w:t>
      </w:r>
    </w:p>
    <w:p w14:paraId="576B3974">
      <w:pPr>
        <w:pStyle w:val="13"/>
        <w:numPr>
          <w:ilvl w:val="2"/>
          <w:numId w:val="3"/>
        </w:numPr>
        <w:spacing w:line="288" w:lineRule="auto"/>
        <w:ind w:left="284" w:firstLine="0"/>
      </w:pPr>
      <w:r>
        <w:rPr>
          <w:rFonts w:eastAsia="Arial"/>
        </w:rPr>
        <w:t>O Edital da Licitação;</w:t>
      </w:r>
    </w:p>
    <w:p w14:paraId="2602B52F">
      <w:pPr>
        <w:pStyle w:val="13"/>
        <w:numPr>
          <w:ilvl w:val="2"/>
          <w:numId w:val="3"/>
        </w:numPr>
        <w:spacing w:line="288" w:lineRule="auto"/>
        <w:ind w:left="284" w:firstLine="0"/>
      </w:pPr>
      <w:r>
        <w:rPr>
          <w:rFonts w:eastAsia="Arial"/>
        </w:rPr>
        <w:t xml:space="preserve">A Proposta do </w:t>
      </w:r>
      <w:r>
        <w:rPr>
          <w:rFonts w:eastAsia="Arial"/>
          <w:b/>
        </w:rPr>
        <w:t>CONTRATADO</w:t>
      </w:r>
      <w:r>
        <w:rPr>
          <w:rFonts w:eastAsia="Arial"/>
        </w:rPr>
        <w:t>;</w:t>
      </w:r>
    </w:p>
    <w:p w14:paraId="1E088E29">
      <w:pPr>
        <w:pStyle w:val="13"/>
        <w:numPr>
          <w:ilvl w:val="2"/>
          <w:numId w:val="3"/>
        </w:numPr>
        <w:spacing w:line="288" w:lineRule="auto"/>
        <w:ind w:left="284" w:firstLine="0"/>
      </w:pPr>
      <w:r>
        <w:rPr>
          <w:rFonts w:eastAsia="Arial"/>
        </w:rPr>
        <w:t>Eventuais anexos dos documentos supracitados.</w:t>
      </w:r>
    </w:p>
    <w:p w14:paraId="65DB07F0">
      <w:pPr>
        <w:pStyle w:val="12"/>
        <w:numPr>
          <w:ilvl w:val="1"/>
          <w:numId w:val="3"/>
        </w:numPr>
        <w:spacing w:beforeLines="0" w:afterLines="0" w:line="288" w:lineRule="auto"/>
        <w:ind w:left="0" w:firstLine="0"/>
      </w:pPr>
      <w:r>
        <w:rPr>
          <w:rFonts w:eastAsia="Arial"/>
        </w:rPr>
        <w:t xml:space="preserve">A formalização de contrato presume que o </w:t>
      </w:r>
      <w:r>
        <w:rPr>
          <w:rFonts w:eastAsia="Arial"/>
          <w:b/>
        </w:rPr>
        <w:t>CONTRATADO:</w:t>
      </w:r>
    </w:p>
    <w:p w14:paraId="4190DC4A">
      <w:pPr>
        <w:pStyle w:val="13"/>
        <w:numPr>
          <w:ilvl w:val="2"/>
          <w:numId w:val="3"/>
        </w:numPr>
        <w:spacing w:line="288" w:lineRule="auto"/>
        <w:ind w:left="284" w:firstLine="0"/>
      </w:pPr>
      <w:r>
        <w:rPr>
          <w:rFonts w:eastAsia="Arial"/>
        </w:rPr>
        <w:t xml:space="preserve">Examinou criteriosamente e detalhadamente todos os elementos técnicos instrutores, que os comparou entre si e obteve do </w:t>
      </w:r>
      <w:r>
        <w:rPr>
          <w:rFonts w:eastAsia="Arial"/>
          <w:b/>
          <w:smallCaps/>
        </w:rPr>
        <w:t>CONTRATANTE</w:t>
      </w:r>
      <w:r>
        <w:rPr>
          <w:rFonts w:eastAsia="Arial"/>
        </w:rPr>
        <w:t xml:space="preserve"> as informações necessárias à sua execução;</w:t>
      </w:r>
    </w:p>
    <w:p w14:paraId="5673C81F">
      <w:pPr>
        <w:pStyle w:val="13"/>
        <w:numPr>
          <w:ilvl w:val="2"/>
          <w:numId w:val="3"/>
        </w:numPr>
        <w:spacing w:line="288" w:lineRule="auto"/>
        <w:ind w:left="284" w:firstLine="0"/>
      </w:pPr>
      <w:r>
        <w:rPr>
          <w:rFonts w:eastAsia="Arial"/>
        </w:rPr>
        <w:t>Conhece o local e as condições de realização das entregas, ficando ciente de todos os detalhes e condições para fiel cumprimento.</w:t>
      </w:r>
    </w:p>
    <w:p w14:paraId="704745B9">
      <w:pPr>
        <w:pStyle w:val="12"/>
        <w:numPr>
          <w:ilvl w:val="1"/>
          <w:numId w:val="3"/>
        </w:numPr>
        <w:spacing w:beforeLines="0" w:afterLines="0" w:line="288" w:lineRule="auto"/>
        <w:ind w:left="0" w:firstLine="0"/>
      </w:pPr>
      <w:r>
        <w:rPr>
          <w:rFonts w:eastAsia="Arial"/>
        </w:rPr>
        <w:t xml:space="preserve"> Serão incorporados ao presente contrato, mediante TERMOS DE APOSTILAMENTO E ADITIVOS, modificações que sejam necessárias, especificações, prazos, atualização de preços.</w:t>
      </w:r>
    </w:p>
    <w:p w14:paraId="244FEC16">
      <w:pPr>
        <w:pStyle w:val="10"/>
        <w:numPr>
          <w:ilvl w:val="0"/>
          <w:numId w:val="2"/>
        </w:numPr>
        <w:spacing w:before="120" w:after="120" w:line="288" w:lineRule="auto"/>
        <w:rPr>
          <w:b/>
        </w:rPr>
      </w:pPr>
      <w:r>
        <w:rPr>
          <w:b/>
        </w:rPr>
        <w:t>CLÁUSULA QUARTA – VIGÊNCIA E PRORROGAÇÃO</w:t>
      </w:r>
    </w:p>
    <w:p w14:paraId="309F7342">
      <w:pPr>
        <w:pStyle w:val="12"/>
        <w:numPr>
          <w:ilvl w:val="1"/>
          <w:numId w:val="3"/>
        </w:numPr>
        <w:spacing w:beforeLines="0" w:afterLines="0" w:line="288" w:lineRule="auto"/>
        <w:ind w:left="0" w:firstLine="0"/>
        <w:rPr>
          <w:rFonts w:eastAsia="Arial"/>
        </w:rPr>
      </w:pPr>
      <w:r>
        <w:rPr>
          <w:rFonts w:eastAsia="Arial"/>
        </w:rPr>
        <w:t xml:space="preserve">O prazo de vigência da contratação será até </w:t>
      </w:r>
      <w:r>
        <w:rPr>
          <w:rFonts w:eastAsia="Arial"/>
          <w:color w:val="FF0000"/>
        </w:rPr>
        <w:t>xxxxxx</w:t>
      </w:r>
      <w:r>
        <w:rPr>
          <w:rFonts w:eastAsia="Arial"/>
        </w:rPr>
        <w:t xml:space="preserve">, podendo ser prorrogada, nas hipóteses e nos termos do </w:t>
      </w:r>
      <w:r>
        <w:fldChar w:fldCharType="begin"/>
      </w:r>
      <w:r>
        <w:instrText xml:space="preserve"> HYPERLINK "http://www.planalto.gov.br/ccivil_03/_ato2019-2022/2021/lei/L14133.htm" \l "art105" </w:instrText>
      </w:r>
      <w:r>
        <w:fldChar w:fldCharType="separate"/>
      </w:r>
      <w:r>
        <w:rPr>
          <w:rFonts w:eastAsia="Arial"/>
        </w:rPr>
        <w:t>artigo 105 a 114 da Lei n° 14.133, de 2021</w:t>
      </w:r>
      <w:r>
        <w:rPr>
          <w:rFonts w:eastAsia="Arial"/>
        </w:rPr>
        <w:fldChar w:fldCharType="end"/>
      </w:r>
      <w:r>
        <w:rPr>
          <w:rFonts w:eastAsia="Arial"/>
        </w:rPr>
        <w:t>.</w:t>
      </w:r>
    </w:p>
    <w:p w14:paraId="6310574E">
      <w:pPr>
        <w:pStyle w:val="12"/>
        <w:numPr>
          <w:ilvl w:val="1"/>
          <w:numId w:val="3"/>
        </w:numPr>
        <w:spacing w:beforeLines="0" w:afterLines="0" w:line="288" w:lineRule="auto"/>
        <w:ind w:left="0" w:firstLine="0"/>
        <w:rPr>
          <w:rFonts w:eastAsia="Arial"/>
        </w:rPr>
      </w:pPr>
      <w:r>
        <w:rPr>
          <w:rFonts w:eastAsia="Arial"/>
        </w:rPr>
        <w:t>O contratado não tem direito subjetivo à prorrogação contratual.</w:t>
      </w:r>
    </w:p>
    <w:p w14:paraId="0F9DB740">
      <w:pPr>
        <w:pStyle w:val="12"/>
        <w:numPr>
          <w:ilvl w:val="1"/>
          <w:numId w:val="3"/>
        </w:numPr>
        <w:spacing w:beforeLines="0" w:afterLines="0" w:line="288" w:lineRule="auto"/>
        <w:ind w:left="0" w:firstLine="0"/>
        <w:rPr>
          <w:rFonts w:eastAsia="Arial"/>
        </w:rPr>
      </w:pPr>
      <w:r>
        <w:rPr>
          <w:rFonts w:eastAsia="Arial"/>
        </w:rPr>
        <w:t>A prorrogação de contrato deverá ser promovida mediante celebração de termo aditivo.</w:t>
      </w:r>
    </w:p>
    <w:p w14:paraId="385D1FE0">
      <w:pPr>
        <w:pStyle w:val="12"/>
        <w:numPr>
          <w:ilvl w:val="1"/>
          <w:numId w:val="3"/>
        </w:numPr>
        <w:spacing w:beforeLines="0" w:afterLines="0" w:line="288" w:lineRule="auto"/>
        <w:ind w:left="0" w:firstLine="0"/>
        <w:rPr>
          <w:rFonts w:eastAsia="Arial"/>
        </w:rPr>
      </w:pPr>
      <w:r>
        <w:rPr>
          <w:rFonts w:eastAsia="Arial"/>
        </w:rPr>
        <w:t>O contrato não poderá ser prorrogado quando o contratado tiver sido penalizado nas sanções de declaração de inidoneidade ou impedimento de licitar e contratar com poder público, observadas as abrangências de aplicação.</w:t>
      </w:r>
    </w:p>
    <w:p w14:paraId="29EDCBF7">
      <w:pPr>
        <w:pStyle w:val="10"/>
        <w:numPr>
          <w:ilvl w:val="0"/>
          <w:numId w:val="2"/>
        </w:numPr>
        <w:spacing w:before="120" w:after="120" w:line="288" w:lineRule="auto"/>
        <w:rPr>
          <w:b/>
        </w:rPr>
      </w:pPr>
      <w:r>
        <w:rPr>
          <w:b/>
        </w:rPr>
        <w:t xml:space="preserve">CLÁUSULA QUINTA – MODELOS DE EXECUÇÃO E GESTÃO CONTRATUAIS </w:t>
      </w:r>
    </w:p>
    <w:p w14:paraId="2B75700C">
      <w:pPr>
        <w:pStyle w:val="12"/>
        <w:numPr>
          <w:ilvl w:val="1"/>
          <w:numId w:val="3"/>
        </w:numPr>
        <w:spacing w:beforeLines="0" w:afterLines="0" w:line="288" w:lineRule="auto"/>
        <w:ind w:left="0" w:firstLine="0"/>
        <w:rPr>
          <w:rFonts w:eastAsia="Arial"/>
        </w:rPr>
      </w:pPr>
      <w:r>
        <w:rPr>
          <w:rFonts w:eastAsia="Arial"/>
        </w:rPr>
        <w:t>O regime de execução contratual, os modelos de gestão e de execução, assim como os prazos e condições de conclusão, entrega, observação e recebimento do objeto constam no Termo de Referência, anexo a este Contrato.</w:t>
      </w:r>
    </w:p>
    <w:p w14:paraId="658D4298">
      <w:pPr>
        <w:pStyle w:val="12"/>
        <w:numPr>
          <w:ilvl w:val="1"/>
          <w:numId w:val="3"/>
        </w:numPr>
        <w:spacing w:beforeLines="0" w:afterLines="0" w:line="288" w:lineRule="auto"/>
        <w:ind w:left="0" w:firstLine="0"/>
        <w:rPr>
          <w:rFonts w:eastAsia="Arial"/>
        </w:rPr>
      </w:pPr>
      <w:r>
        <w:t>Entregar os produtos em perfeitas condições, conforme especificações;</w:t>
      </w:r>
    </w:p>
    <w:p w14:paraId="7FB3147E">
      <w:pPr>
        <w:pStyle w:val="12"/>
        <w:numPr>
          <w:ilvl w:val="1"/>
          <w:numId w:val="3"/>
        </w:numPr>
        <w:spacing w:beforeLines="0" w:afterLines="0" w:line="288" w:lineRule="auto"/>
        <w:ind w:left="0" w:firstLine="0"/>
        <w:rPr>
          <w:rFonts w:eastAsia="Arial"/>
        </w:rPr>
      </w:pPr>
      <w:r>
        <w:rPr>
          <w:rFonts w:eastAsia="Calibri"/>
          <w:b/>
        </w:rPr>
        <w:t xml:space="preserve"> </w:t>
      </w:r>
      <w:r>
        <w:rPr>
          <w:rFonts w:eastAsia="Calibri"/>
        </w:rPr>
        <w:t>Não prestar declarações ou informações sem prévia autorização por escrito da empresa vencedora a respeito do presente contrato/ata e/ou outras informações a ele inerentes; Responder, independentemente de culpa, por qualquer dano pessoal, ou ainda a terceiros, na execução do objeto deste Termo e da licitação, não sendo excluída, ou mesmo reduzida, a responsabilidade pelo fato de haver fiscalização ou acompanhamento pelo Município de Andaraí;</w:t>
      </w:r>
    </w:p>
    <w:p w14:paraId="13E8E9A4">
      <w:pPr>
        <w:pStyle w:val="12"/>
        <w:numPr>
          <w:ilvl w:val="1"/>
          <w:numId w:val="3"/>
        </w:numPr>
        <w:spacing w:beforeLines="0" w:afterLines="0" w:line="288" w:lineRule="auto"/>
        <w:ind w:left="0" w:firstLine="0"/>
        <w:rPr>
          <w:rFonts w:eastAsia="Arial"/>
        </w:rPr>
      </w:pPr>
      <w:r>
        <w:rPr>
          <w:rFonts w:eastAsia="Calibri"/>
        </w:rPr>
        <w:t xml:space="preserve"> Manter, durante todo o período da execução do objeto, todas as condições de habilitação e qualificação exigidas na licitação, quando da realização do pagamento pelo Município de Andaraí, comunicando, imediatamente, a superveniência de fato impeditivo da manutenção dessa condição, nos termos da Lei 14.1333/2021, e suas alterações posteriores;</w:t>
      </w:r>
    </w:p>
    <w:p w14:paraId="1B780413">
      <w:pPr>
        <w:pStyle w:val="12"/>
        <w:numPr>
          <w:ilvl w:val="1"/>
          <w:numId w:val="3"/>
        </w:numPr>
        <w:spacing w:beforeLines="0" w:afterLines="0" w:line="288" w:lineRule="auto"/>
        <w:ind w:left="0" w:firstLine="0"/>
        <w:rPr>
          <w:rFonts w:eastAsia="Arial"/>
        </w:rPr>
      </w:pPr>
      <w:r>
        <w:rPr>
          <w:rFonts w:eastAsia="Calibri"/>
        </w:rPr>
        <w:t>Cumprir outras obrigações previstas no Código de Proteção e Defesa do Consumidor que sejam compatíveis com o regime de direito público;</w:t>
      </w:r>
    </w:p>
    <w:p w14:paraId="275D07BE">
      <w:pPr>
        <w:pStyle w:val="12"/>
        <w:numPr>
          <w:ilvl w:val="1"/>
          <w:numId w:val="3"/>
        </w:numPr>
        <w:spacing w:beforeLines="0" w:afterLines="0" w:line="288" w:lineRule="auto"/>
        <w:ind w:left="0" w:firstLine="0"/>
        <w:rPr>
          <w:rFonts w:eastAsia="Arial"/>
        </w:rPr>
      </w:pPr>
      <w:r>
        <w:rPr>
          <w:rFonts w:eastAsia="Calibri"/>
        </w:rPr>
        <w:t>Responder, integralmente, por perdas e danos que vier a causar a esta Prefeitura ou a terceiros em razão de ação ou omissão, dolosa ou culposa, sua ou dos seus prepostos, independentemente de outras cominações contratuais ou legais a que estiver sujeita;</w:t>
      </w:r>
    </w:p>
    <w:p w14:paraId="01B7CF6D">
      <w:pPr>
        <w:pStyle w:val="12"/>
        <w:numPr>
          <w:ilvl w:val="1"/>
          <w:numId w:val="3"/>
        </w:numPr>
        <w:spacing w:beforeLines="0" w:afterLines="0" w:line="288" w:lineRule="auto"/>
        <w:ind w:left="0" w:firstLine="0"/>
        <w:rPr>
          <w:rFonts w:eastAsia="Arial"/>
        </w:rPr>
      </w:pPr>
      <w:r>
        <w:rPr>
          <w:rFonts w:eastAsia="Calibri"/>
        </w:rPr>
        <w:t>Prestar os esclarecimentos que forem solicitados pela Secretaria solicitante a Ordem de compra;</w:t>
      </w:r>
    </w:p>
    <w:p w14:paraId="136658B9">
      <w:pPr>
        <w:pStyle w:val="12"/>
        <w:numPr>
          <w:ilvl w:val="1"/>
          <w:numId w:val="3"/>
        </w:numPr>
        <w:spacing w:beforeLines="0" w:afterLines="0" w:line="288" w:lineRule="auto"/>
        <w:ind w:left="0" w:firstLine="0"/>
        <w:rPr>
          <w:rFonts w:eastAsia="Arial"/>
        </w:rPr>
      </w:pPr>
      <w:r>
        <w:rPr>
          <w:rFonts w:eastAsia="Calibri"/>
        </w:rPr>
        <w:t xml:space="preserve">Não transferir a terceiros, por qualquer forma, nem mesmo parcialmente, as obrigações assumidas, nem subcontratar qualquer das prestações a que está obrigada, exceto nas condições autorizadas no Termo de Referência ou na minuta de contrato; </w:t>
      </w:r>
    </w:p>
    <w:p w14:paraId="57DB5183">
      <w:pPr>
        <w:pStyle w:val="12"/>
        <w:numPr>
          <w:ilvl w:val="1"/>
          <w:numId w:val="3"/>
        </w:numPr>
        <w:spacing w:beforeLines="0" w:afterLines="0" w:line="288" w:lineRule="auto"/>
        <w:ind w:left="0" w:firstLine="0"/>
        <w:rPr>
          <w:rFonts w:eastAsia="Arial"/>
        </w:rPr>
      </w:pPr>
      <w:r>
        <w:rPr>
          <w:rFonts w:eastAsia="Calibri"/>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76A51783">
      <w:pPr>
        <w:pStyle w:val="12"/>
        <w:numPr>
          <w:ilvl w:val="1"/>
          <w:numId w:val="3"/>
        </w:numPr>
        <w:spacing w:beforeLines="0" w:afterLines="0" w:line="288" w:lineRule="auto"/>
        <w:ind w:left="0" w:firstLine="0"/>
        <w:rPr>
          <w:rFonts w:eastAsia="Arial"/>
        </w:rPr>
      </w:pPr>
      <w:r>
        <w:rPr>
          <w:rFonts w:eastAsia="Calibri"/>
        </w:rP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14:paraId="6EB6CF36">
      <w:pPr>
        <w:pStyle w:val="12"/>
        <w:numPr>
          <w:ilvl w:val="1"/>
          <w:numId w:val="3"/>
        </w:numPr>
        <w:spacing w:beforeLines="0" w:afterLines="0" w:line="288" w:lineRule="auto"/>
        <w:ind w:left="0" w:firstLine="0"/>
        <w:rPr>
          <w:rFonts w:eastAsia="Arial"/>
        </w:rPr>
      </w:pPr>
      <w:r>
        <w:rPr>
          <w:rFonts w:eastAsia="Calibri"/>
        </w:rPr>
        <w:t xml:space="preserve">A inadimplência com referência aos encargos e obrigações estabelecidos não transfere ao Município de Andaraí, a responsabilidade pelo seu pagamento, nem poderá onerar o fornecimento, razão pela qual a Empresa Vencedora renuncia expressamente a qualquer vínculo de solidariedade, ativa ou passiva, com a Contratante; </w:t>
      </w:r>
    </w:p>
    <w:p w14:paraId="5D4C6E48">
      <w:pPr>
        <w:pStyle w:val="12"/>
        <w:numPr>
          <w:ilvl w:val="1"/>
          <w:numId w:val="3"/>
        </w:numPr>
        <w:spacing w:beforeLines="0" w:afterLines="0" w:line="288" w:lineRule="auto"/>
        <w:ind w:left="0" w:firstLine="0"/>
        <w:rPr>
          <w:rFonts w:eastAsia="Arial"/>
        </w:rPr>
      </w:pPr>
      <w:r>
        <w:rPr>
          <w:rFonts w:eastAsia="Calibri"/>
        </w:rPr>
        <w:t xml:space="preserve">Quando for o caso, assumir a responsabilidade por todas as providências e obrigações estabelecidas na legislação de acidentes de trabalho, quando em ocorrência da espécie forem vítimas os seus empregados no desempenho de alguma atividade pertinente ao fornecimento ou em conexão ou contingência, na forma como a expressão; </w:t>
      </w:r>
    </w:p>
    <w:p w14:paraId="6349C51F">
      <w:pPr>
        <w:pStyle w:val="12"/>
        <w:numPr>
          <w:ilvl w:val="1"/>
          <w:numId w:val="3"/>
        </w:numPr>
        <w:spacing w:beforeLines="0" w:afterLines="0" w:line="288" w:lineRule="auto"/>
        <w:ind w:left="0" w:firstLine="0"/>
        <w:rPr>
          <w:rFonts w:eastAsia="Arial"/>
        </w:rPr>
      </w:pPr>
      <w:r>
        <w:rPr>
          <w:rFonts w:eastAsia="Calibri"/>
        </w:rPr>
        <w:t xml:space="preserve">Adotar todas as medidas preventivas no sentido de se minimizar acidentes ou danos que venham a comprometer a qualidade e a quantidade fornecida; </w:t>
      </w:r>
    </w:p>
    <w:p w14:paraId="0AFCEF5E">
      <w:pPr>
        <w:pStyle w:val="12"/>
        <w:numPr>
          <w:ilvl w:val="1"/>
          <w:numId w:val="3"/>
        </w:numPr>
        <w:spacing w:beforeLines="0" w:afterLines="0" w:line="288" w:lineRule="auto"/>
        <w:ind w:left="0" w:firstLine="0"/>
        <w:rPr>
          <w:rFonts w:eastAsia="Arial"/>
        </w:rPr>
      </w:pPr>
      <w:r>
        <w:rPr>
          <w:rFonts w:eastAsia="Calibri"/>
        </w:rPr>
        <w:t>Assumir inteira responsabilidade quanto à qualidade dos produtos fornecidos;</w:t>
      </w:r>
    </w:p>
    <w:p w14:paraId="2D9BE65F">
      <w:pPr>
        <w:pStyle w:val="12"/>
        <w:numPr>
          <w:ilvl w:val="1"/>
          <w:numId w:val="3"/>
        </w:numPr>
        <w:spacing w:beforeLines="0" w:afterLines="0" w:line="288" w:lineRule="auto"/>
        <w:ind w:left="0" w:firstLine="0"/>
        <w:rPr>
          <w:rFonts w:eastAsia="Arial"/>
        </w:rPr>
      </w:pPr>
      <w:r>
        <w:t>A empresa vencedora se compromete durante toda a execução do contrato/ata, a manter as condições de habilitação na licitação, especialmente a existência de profissionais devidamente habilitados a executar o objeto do presente contrato;</w:t>
      </w:r>
    </w:p>
    <w:p w14:paraId="30865B45">
      <w:pPr>
        <w:pStyle w:val="12"/>
        <w:numPr>
          <w:ilvl w:val="1"/>
          <w:numId w:val="3"/>
        </w:numPr>
        <w:spacing w:beforeLines="0" w:afterLines="0" w:line="288" w:lineRule="auto"/>
        <w:ind w:left="0" w:firstLine="0"/>
        <w:rPr>
          <w:rFonts w:eastAsia="Arial"/>
        </w:rPr>
      </w:pPr>
      <w:r>
        <w:t>Organizar tecnicamente e administrativamente de modo a cumprir com eficiência as obrigações assumidas;</w:t>
      </w:r>
    </w:p>
    <w:p w14:paraId="18F8A062">
      <w:pPr>
        <w:pStyle w:val="12"/>
        <w:numPr>
          <w:ilvl w:val="1"/>
          <w:numId w:val="3"/>
        </w:numPr>
        <w:spacing w:beforeLines="0" w:afterLines="0" w:line="288" w:lineRule="auto"/>
        <w:ind w:left="0" w:firstLine="0"/>
        <w:rPr>
          <w:rFonts w:eastAsia="Arial"/>
        </w:rPr>
      </w:pPr>
      <w:r>
        <w:t>Assegurar e facilitar ao MUNICÍPIO a fiscalização e acompanhamento da execução do contrato;</w:t>
      </w:r>
    </w:p>
    <w:p w14:paraId="7C0C0360">
      <w:pPr>
        <w:pStyle w:val="12"/>
        <w:numPr>
          <w:ilvl w:val="1"/>
          <w:numId w:val="3"/>
        </w:numPr>
        <w:spacing w:beforeLines="0" w:afterLines="0" w:line="288" w:lineRule="auto"/>
        <w:ind w:left="0" w:firstLine="0"/>
        <w:rPr>
          <w:rFonts w:eastAsia="Arial"/>
        </w:rPr>
      </w:pPr>
      <w:r>
        <w:t>Informar imediatamente após o recebimento da solicitação de pedido a ocorrência de qualquer situação que possa prejudicar a entrega do objeto no tempo fixado;</w:t>
      </w:r>
    </w:p>
    <w:p w14:paraId="689D5D10">
      <w:pPr>
        <w:pStyle w:val="12"/>
        <w:numPr>
          <w:ilvl w:val="1"/>
          <w:numId w:val="3"/>
        </w:numPr>
        <w:spacing w:beforeLines="0" w:afterLines="0" w:line="288" w:lineRule="auto"/>
        <w:ind w:left="0" w:firstLine="0"/>
        <w:rPr>
          <w:rFonts w:eastAsia="Arial"/>
        </w:rPr>
      </w:pPr>
      <w:r>
        <w:t>A empresa vencedora deve cumprir todas as obrigações, assumindo como exclusivamente seus os riscos e as despesas decorrentes da boa e perfeita execução do objeto;</w:t>
      </w:r>
    </w:p>
    <w:p w14:paraId="07D10F35">
      <w:pPr>
        <w:pStyle w:val="12"/>
        <w:numPr>
          <w:ilvl w:val="1"/>
          <w:numId w:val="3"/>
        </w:numPr>
        <w:spacing w:beforeLines="0" w:afterLines="0" w:line="288" w:lineRule="auto"/>
        <w:ind w:left="0" w:firstLine="0"/>
        <w:rPr>
          <w:rFonts w:eastAsia="Arial"/>
        </w:rPr>
      </w:pPr>
      <w:r>
        <w:t>Fornecer números telefônicos ou outros meios igualmente eficazes, para contato do MUNICÍPIO com o Preposto, ainda que fora do horário normal de expediente, sem que isto gere qualquer custo adicional;</w:t>
      </w:r>
    </w:p>
    <w:p w14:paraId="7D4935FE">
      <w:pPr>
        <w:pStyle w:val="12"/>
        <w:numPr>
          <w:ilvl w:val="1"/>
          <w:numId w:val="3"/>
        </w:numPr>
        <w:spacing w:beforeLines="0" w:afterLines="0" w:line="288" w:lineRule="auto"/>
        <w:ind w:left="0" w:firstLine="0"/>
        <w:rPr>
          <w:rFonts w:eastAsia="Arial"/>
        </w:rPr>
      </w:pPr>
      <w:r>
        <w:t>Fornecer toda mão de obra necessária à fiel e perfeita execução do objeto, bem como os encargos previdenciários, trabalhistas e outros de qualquer natureza de correntes da execução do contrato/ata;</w:t>
      </w:r>
    </w:p>
    <w:p w14:paraId="76DC3206">
      <w:pPr>
        <w:pStyle w:val="12"/>
        <w:numPr>
          <w:ilvl w:val="1"/>
          <w:numId w:val="3"/>
        </w:numPr>
        <w:spacing w:beforeLines="0" w:afterLines="0" w:line="288" w:lineRule="auto"/>
        <w:ind w:left="0" w:firstLine="0"/>
        <w:rPr>
          <w:rFonts w:eastAsia="Arial"/>
        </w:rPr>
      </w:pPr>
      <w:r>
        <w:rPr>
          <w:rFonts w:cs="Arial"/>
        </w:rPr>
        <w:t xml:space="preserve">O período de vigência será de 12 (doze) meses, contados a partir da assinatura do mesmo, podendo ser prorrogado conforme legislação vigente e de acordo entre as partes, mediante Termo de Aditamento. </w:t>
      </w:r>
    </w:p>
    <w:p w14:paraId="33C09BB3">
      <w:pPr>
        <w:pStyle w:val="12"/>
        <w:numPr>
          <w:ilvl w:val="1"/>
          <w:numId w:val="3"/>
        </w:numPr>
        <w:spacing w:beforeLines="0" w:afterLines="0" w:line="288" w:lineRule="auto"/>
        <w:ind w:left="0" w:firstLine="0"/>
        <w:rPr>
          <w:rFonts w:cs="Arial"/>
          <w:b/>
        </w:rPr>
      </w:pPr>
      <w:r>
        <w:rPr>
          <w:rFonts w:cs="Arial"/>
          <w:b/>
        </w:rPr>
        <w:t>Condições de execução:</w:t>
      </w:r>
    </w:p>
    <w:p w14:paraId="70560826">
      <w:pPr>
        <w:pStyle w:val="12"/>
        <w:numPr>
          <w:ilvl w:val="1"/>
          <w:numId w:val="3"/>
        </w:numPr>
        <w:spacing w:beforeLines="0" w:afterLines="0" w:line="288" w:lineRule="auto"/>
        <w:ind w:left="0" w:firstLine="0"/>
        <w:rPr>
          <w:rFonts w:cs="Arial"/>
        </w:rPr>
      </w:pPr>
      <w:r>
        <w:rPr>
          <w:rFonts w:cs="Arial"/>
        </w:rPr>
        <w:t>O início da execução do objeto dar-se-á a partir da data de assinatura da Ata de Registro de Preços e/ou do Contrato, mediante emissão de Ordens de Fornecimento enviadas conforme a necessidade da Secretaria Municipal de Saúde. O prazo para entrega dos itens será de:</w:t>
      </w:r>
    </w:p>
    <w:p w14:paraId="17C40696">
      <w:pPr>
        <w:pStyle w:val="25"/>
        <w:numPr>
          <w:ilvl w:val="0"/>
          <w:numId w:val="4"/>
        </w:numPr>
        <w:spacing w:before="100" w:beforeAutospacing="1" w:after="100" w:afterAutospacing="1" w:line="276" w:lineRule="auto"/>
        <w:contextualSpacing w:val="0"/>
        <w:jc w:val="both"/>
        <w:rPr>
          <w:rFonts w:eastAsia="Times New Roman" w:cs="Arial"/>
          <w:b/>
          <w:sz w:val="20"/>
          <w:szCs w:val="20"/>
        </w:rPr>
      </w:pPr>
      <w:r>
        <w:rPr>
          <w:rFonts w:eastAsia="Times New Roman" w:cs="Arial"/>
          <w:b/>
          <w:sz w:val="20"/>
          <w:szCs w:val="20"/>
        </w:rPr>
        <w:t>Entrega Inicial: Até10 (dez) dias corridos após assinatura do Contrato/ATA;</w:t>
      </w:r>
    </w:p>
    <w:p w14:paraId="6833BEDA">
      <w:pPr>
        <w:pStyle w:val="25"/>
        <w:numPr>
          <w:ilvl w:val="0"/>
          <w:numId w:val="4"/>
        </w:numPr>
        <w:spacing w:before="100" w:beforeAutospacing="1" w:after="100" w:afterAutospacing="1" w:line="276" w:lineRule="auto"/>
        <w:contextualSpacing w:val="0"/>
        <w:jc w:val="both"/>
        <w:rPr>
          <w:rFonts w:eastAsia="Times New Roman" w:cs="Arial"/>
          <w:b/>
          <w:sz w:val="20"/>
          <w:szCs w:val="20"/>
        </w:rPr>
      </w:pPr>
      <w:r>
        <w:rPr>
          <w:rFonts w:eastAsia="Times New Roman" w:cs="Arial"/>
          <w:b/>
          <w:sz w:val="20"/>
          <w:szCs w:val="20"/>
        </w:rPr>
        <w:t>Entrega regulares: Até sete (sete) dias corridos após recebimento da ordem de fornecimento.</w:t>
      </w:r>
    </w:p>
    <w:p w14:paraId="1931FCE8">
      <w:pPr>
        <w:pStyle w:val="25"/>
        <w:numPr>
          <w:ilvl w:val="0"/>
          <w:numId w:val="4"/>
        </w:numPr>
        <w:spacing w:before="100" w:beforeAutospacing="1" w:after="100" w:afterAutospacing="1" w:line="276" w:lineRule="auto"/>
        <w:contextualSpacing w:val="0"/>
        <w:jc w:val="both"/>
        <w:rPr>
          <w:rFonts w:eastAsia="Times New Roman" w:cs="Arial"/>
          <w:b/>
          <w:sz w:val="20"/>
          <w:szCs w:val="20"/>
        </w:rPr>
      </w:pPr>
      <w:r>
        <w:rPr>
          <w:rFonts w:eastAsia="Times New Roman" w:cs="Arial"/>
          <w:b/>
          <w:sz w:val="20"/>
          <w:szCs w:val="20"/>
        </w:rPr>
        <w:t xml:space="preserve">Entrega emergências; Até 48 (quarenta e oito) horas, mediante justificativa formal da Secretaria de Saúde. </w:t>
      </w:r>
    </w:p>
    <w:p w14:paraId="4FE992E0">
      <w:pPr>
        <w:pStyle w:val="12"/>
        <w:numPr>
          <w:ilvl w:val="1"/>
          <w:numId w:val="3"/>
        </w:numPr>
        <w:spacing w:beforeLines="0" w:afterLines="0" w:line="288" w:lineRule="auto"/>
        <w:ind w:left="0" w:firstLine="0"/>
        <w:rPr>
          <w:rFonts w:cs="Arial"/>
        </w:rPr>
      </w:pPr>
      <w:r>
        <w:rPr>
          <w:rFonts w:cs="Arial"/>
        </w:rPr>
        <w:t>O fornecimento dos medicamentos, materiais de penso e produtos sanitizantes ocorrerá de forma parcelada, conforme a necessidade de reabastecimento das Unidades de Saúde da Família (USFs), do Hospital Municipal e demais unidades vinculadas, observando-se a sazonalidade e a demanda dos serviços de saúde.</w:t>
      </w:r>
    </w:p>
    <w:p w14:paraId="1697194A">
      <w:pPr>
        <w:pStyle w:val="12"/>
        <w:numPr>
          <w:ilvl w:val="1"/>
          <w:numId w:val="3"/>
        </w:numPr>
        <w:spacing w:beforeLines="0" w:afterLines="0" w:line="288" w:lineRule="auto"/>
        <w:ind w:left="0" w:firstLine="0"/>
        <w:rPr>
          <w:rFonts w:cs="Arial"/>
        </w:rPr>
      </w:pPr>
      <w:r>
        <w:rPr>
          <w:rFonts w:cs="Arial"/>
        </w:rPr>
        <w:t>Na hipótese de impossibilidade de cumprimento do prazo de entrega estabelecido, a empresa contratada deverá comunicar formalmente à Secretaria Municipal de Saúde, com antecedência mínima de 24 (vinte e quatro) horas, informando as justificativas para o atraso, a fim de que se possa analisar eventual prorrogação de prazo. Situações de caso fortuito ou força maior serão avaliadas nos termos da legislação vigente.</w:t>
      </w:r>
    </w:p>
    <w:p w14:paraId="5AF2F32B">
      <w:pPr>
        <w:pStyle w:val="12"/>
        <w:numPr>
          <w:ilvl w:val="1"/>
          <w:numId w:val="3"/>
        </w:numPr>
        <w:spacing w:beforeLines="0" w:afterLines="0" w:line="288" w:lineRule="auto"/>
        <w:ind w:left="0" w:firstLine="0"/>
        <w:rPr>
          <w:rFonts w:cs="Arial"/>
        </w:rPr>
      </w:pPr>
      <w: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E4C91C2">
      <w:pPr>
        <w:pStyle w:val="12"/>
        <w:numPr>
          <w:ilvl w:val="1"/>
          <w:numId w:val="3"/>
        </w:numPr>
        <w:spacing w:beforeLines="0" w:afterLines="0" w:line="288" w:lineRule="auto"/>
        <w:ind w:left="0" w:firstLine="0"/>
        <w:rPr>
          <w:rFonts w:cs="Arial"/>
        </w:rPr>
      </w:pPr>
      <w:r>
        <w:t>Os bens poderão ser rejeitados,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14:paraId="174F702F">
      <w:pPr>
        <w:pStyle w:val="12"/>
        <w:numPr>
          <w:ilvl w:val="1"/>
          <w:numId w:val="3"/>
        </w:numPr>
        <w:spacing w:beforeLines="0" w:afterLines="0" w:line="288" w:lineRule="auto"/>
        <w:ind w:left="0" w:firstLine="0"/>
        <w:rPr>
          <w:rFonts w:cs="Arial"/>
        </w:rPr>
      </w:pPr>
      <w:r>
        <w:t>O recebimento definitivo ocorrerá no prazo de 24 (vinte e quatro) horas, a contar do recebimento da nota fiscal ou instrumento de cobrança equivalente pela Administração, após a verificação da qualidade e quantidade do material e consequente aceitação mediante atesto na Nota Fiscal.</w:t>
      </w:r>
    </w:p>
    <w:p w14:paraId="55EE35D0">
      <w:pPr>
        <w:pStyle w:val="12"/>
        <w:numPr>
          <w:ilvl w:val="1"/>
          <w:numId w:val="3"/>
        </w:numPr>
        <w:spacing w:beforeLines="0" w:afterLines="0" w:line="288" w:lineRule="auto"/>
        <w:ind w:left="0" w:firstLine="0"/>
        <w:rPr>
          <w:rFonts w:cs="Arial"/>
        </w:rPr>
      </w:pPr>
      <w:r>
        <w:rPr>
          <w:lang w:eastAsia="en-US"/>
        </w:rPr>
        <w:t>O prazo para recebimento definitivo poderá ser excepcionalmente prorrogado, de forma justificada, por igual período, quando houver necessidade de diligências para a aferição do atendimento das exigências contratuais.</w:t>
      </w:r>
    </w:p>
    <w:p w14:paraId="06FC20C0">
      <w:pPr>
        <w:pStyle w:val="10"/>
        <w:numPr>
          <w:ilvl w:val="0"/>
          <w:numId w:val="2"/>
        </w:numPr>
        <w:spacing w:before="120" w:after="120" w:line="288" w:lineRule="auto"/>
        <w:rPr>
          <w:b/>
          <w:color w:val="FFFFFF"/>
        </w:rPr>
      </w:pPr>
      <w:r>
        <w:rPr>
          <w:b/>
        </w:rPr>
        <w:t>CLÁUSULA SEXTA – SUBCONTRATAÇÃO</w:t>
      </w:r>
    </w:p>
    <w:p w14:paraId="63E3135F">
      <w:pPr>
        <w:pStyle w:val="12"/>
        <w:numPr>
          <w:ilvl w:val="1"/>
          <w:numId w:val="3"/>
        </w:numPr>
        <w:spacing w:beforeLines="0" w:afterLines="0" w:line="288" w:lineRule="auto"/>
        <w:ind w:left="0" w:firstLine="0"/>
      </w:pPr>
      <w:r>
        <w:t>Não será admitida a subcontratação do objeto contratual.</w:t>
      </w:r>
    </w:p>
    <w:p w14:paraId="51243C27">
      <w:pPr>
        <w:pStyle w:val="10"/>
        <w:numPr>
          <w:ilvl w:val="0"/>
          <w:numId w:val="2"/>
        </w:numPr>
        <w:spacing w:before="120" w:after="120" w:line="288" w:lineRule="auto"/>
        <w:rPr>
          <w:b/>
        </w:rPr>
      </w:pPr>
      <w:r>
        <w:rPr>
          <w:b/>
        </w:rPr>
        <w:t xml:space="preserve">CLÁUSULA SETIMA – DO PAGAMENTO </w:t>
      </w:r>
    </w:p>
    <w:p w14:paraId="5B189C19">
      <w:pPr>
        <w:pStyle w:val="12"/>
        <w:numPr>
          <w:ilvl w:val="1"/>
          <w:numId w:val="3"/>
        </w:numPr>
        <w:spacing w:beforeLines="0" w:afterLines="0" w:line="288" w:lineRule="auto"/>
        <w:ind w:left="0" w:firstLine="0"/>
      </w:pPr>
      <w:r>
        <w:t>Os pagamentos serão realizados em até 10 (dez) dias úteis após o recebimento definitivo do objeto.</w:t>
      </w:r>
    </w:p>
    <w:p w14:paraId="18FA8044">
      <w:pPr>
        <w:pStyle w:val="12"/>
        <w:numPr>
          <w:ilvl w:val="1"/>
          <w:numId w:val="3"/>
        </w:numPr>
        <w:spacing w:beforeLines="0" w:afterLines="0" w:line="288" w:lineRule="auto"/>
        <w:ind w:left="0" w:firstLine="0"/>
      </w:pPr>
      <w:r>
        <w:t>Serão retidos, na fonte, de tributos e contribuições exigidos na forma da Lei, exceto, quando o fornecedor comprovar, juntamente com os documentos exigidos para o pagamento, ser optante do Sistema Integrado de Pagamento de Impostos e Contribuições das Microempresas e Empresas de Pequeno Porte – Simples.</w:t>
      </w:r>
    </w:p>
    <w:p w14:paraId="358E46A3">
      <w:pPr>
        <w:pStyle w:val="12"/>
        <w:numPr>
          <w:ilvl w:val="1"/>
          <w:numId w:val="3"/>
        </w:numPr>
        <w:spacing w:beforeLines="0" w:afterLines="0" w:line="288" w:lineRule="auto"/>
        <w:ind w:left="0" w:firstLine="0"/>
      </w:pPr>
      <w:r>
        <w:t>Havendo alteração contratual que aumente ou diminua os encargos do CONTRATADO, deve ser reestabelecida a equação econômico-financeira por meio de apostilamento contratual nos casos autorizados pela Lei n.º 14.133/2021.</w:t>
      </w:r>
    </w:p>
    <w:p w14:paraId="548F2B6A">
      <w:pPr>
        <w:pStyle w:val="10"/>
        <w:numPr>
          <w:ilvl w:val="0"/>
          <w:numId w:val="2"/>
        </w:numPr>
        <w:spacing w:before="120" w:after="120" w:line="288" w:lineRule="auto"/>
        <w:rPr>
          <w:b/>
        </w:rPr>
      </w:pPr>
      <w:r>
        <w:rPr>
          <w:b/>
        </w:rPr>
        <w:t xml:space="preserve">CLÁUSULA OITAVA – EQUILÍBRIO ECONÔMICO E FINANCEIRO </w:t>
      </w:r>
    </w:p>
    <w:p w14:paraId="7D9A3811">
      <w:pPr>
        <w:pStyle w:val="12"/>
        <w:numPr>
          <w:ilvl w:val="1"/>
          <w:numId w:val="2"/>
        </w:numPr>
        <w:tabs>
          <w:tab w:val="left" w:pos="426"/>
        </w:tabs>
        <w:spacing w:beforeLines="0" w:afterLines="0" w:line="288" w:lineRule="auto"/>
        <w:ind w:left="0" w:firstLine="0"/>
      </w:pPr>
      <w:r>
        <w:rPr>
          <w:b/>
          <w:bCs/>
        </w:rPr>
        <w:t xml:space="preserve">REVISÃO DOS PREÇOS </w:t>
      </w:r>
    </w:p>
    <w:p w14:paraId="7ACB5F73">
      <w:pPr>
        <w:pStyle w:val="12"/>
        <w:numPr>
          <w:ilvl w:val="1"/>
          <w:numId w:val="3"/>
        </w:numPr>
        <w:spacing w:beforeLines="0" w:afterLines="0" w:line="288" w:lineRule="auto"/>
        <w:ind w:left="0" w:firstLine="0"/>
      </w:pPr>
      <w:r>
        <w:t xml:space="preserve">Durante a execução contratual, sobrevindo força maior, caso fortuito ou fato do príncipe ou, ainda, fatos imprevisíveis ou previsíveis de consequências incalculáveis, que inviabilizem a execução do contrato tal como pactuado, será assegurada a REVISÃO DOS PREÇOS, conforme descrito no art. 124, II, “d” da Lei n.º 14.133/2023, cabendo à empresa protocolar sua solicitação. </w:t>
      </w:r>
    </w:p>
    <w:p w14:paraId="42D99195">
      <w:pPr>
        <w:pStyle w:val="12"/>
        <w:numPr>
          <w:ilvl w:val="1"/>
          <w:numId w:val="3"/>
        </w:numPr>
        <w:spacing w:beforeLines="0" w:afterLines="0" w:line="288" w:lineRule="auto"/>
        <w:ind w:left="0" w:firstLine="0"/>
      </w:pPr>
      <w:r>
        <w:t>O pedido de REVISÃO deverá conter as justificativas e estar acompanhado de documentação idônea a demonstrar a variação dos preços e demonstração dos motivos que embasaram o referido pedido;</w:t>
      </w:r>
    </w:p>
    <w:p w14:paraId="2F0092F6">
      <w:pPr>
        <w:pStyle w:val="12"/>
        <w:numPr>
          <w:ilvl w:val="1"/>
          <w:numId w:val="3"/>
        </w:numPr>
        <w:spacing w:beforeLines="0" w:afterLines="0" w:line="288" w:lineRule="auto"/>
        <w:ind w:left="0" w:firstLine="0"/>
      </w:pPr>
      <w:r>
        <w:t>Poderão ser apresentados os seguintes documentos para tal comprovação:</w:t>
      </w:r>
    </w:p>
    <w:p w14:paraId="766FF913">
      <w:pPr>
        <w:pStyle w:val="12"/>
        <w:numPr>
          <w:ilvl w:val="1"/>
          <w:numId w:val="3"/>
        </w:numPr>
        <w:spacing w:beforeLines="0" w:afterLines="0" w:line="288" w:lineRule="auto"/>
        <w:ind w:left="0" w:firstLine="0"/>
      </w:pPr>
      <w:r>
        <w:t>Notas Fiscais próximas à data da apresentação da proposta de preço - para comprovação do custo do produto no momento da formulação da proposta – e Notas Fiscais contemporâneas ao pedido de revisão - para comprovação da variação no custo do produto;</w:t>
      </w:r>
    </w:p>
    <w:p w14:paraId="6A672269">
      <w:pPr>
        <w:pStyle w:val="12"/>
        <w:numPr>
          <w:ilvl w:val="1"/>
          <w:numId w:val="3"/>
        </w:numPr>
        <w:spacing w:beforeLines="0" w:afterLines="0" w:line="288" w:lineRule="auto"/>
        <w:ind w:left="0" w:firstLine="0"/>
      </w:pPr>
      <w:r>
        <w:t>Notas Fiscais de venda a outras pessoas jurídicas de direito público ou privado, utilizando-se o mesmo critério citado no item anterior;</w:t>
      </w:r>
    </w:p>
    <w:p w14:paraId="67FA3FB6">
      <w:pPr>
        <w:pStyle w:val="12"/>
        <w:numPr>
          <w:ilvl w:val="1"/>
          <w:numId w:val="3"/>
        </w:numPr>
        <w:spacing w:beforeLines="0" w:afterLines="0" w:line="288" w:lineRule="auto"/>
        <w:ind w:left="0" w:firstLine="0"/>
      </w:pPr>
      <w:r>
        <w:t>Orçamentos do fabricante ou fornecedor do produto, desde que devidamente identificados, constando a logo da empresa, carimbo do CNPJ e assinatura do responsável/representante legal da empresa. Caso se trate de MEI, ME/EPP, o Comprovante de Inscrição e Situação cadastral deverá ser anexado ao orçamento;</w:t>
      </w:r>
    </w:p>
    <w:p w14:paraId="17FA1766">
      <w:pPr>
        <w:pStyle w:val="12"/>
        <w:numPr>
          <w:ilvl w:val="1"/>
          <w:numId w:val="3"/>
        </w:numPr>
        <w:spacing w:beforeLines="0" w:afterLines="0" w:line="288" w:lineRule="auto"/>
        <w:ind w:left="0" w:firstLine="0"/>
      </w:pPr>
      <w:r>
        <w:t>Poderão, ainda, ser apresentadas comprovação de variação de preços com base nos preços praticados por outros órgãos públicos, consultados através de:</w:t>
      </w:r>
    </w:p>
    <w:p w14:paraId="2F0020B9">
      <w:pPr>
        <w:pStyle w:val="12"/>
        <w:numPr>
          <w:ilvl w:val="1"/>
          <w:numId w:val="3"/>
        </w:numPr>
        <w:spacing w:beforeLines="0" w:afterLines="0" w:line="288" w:lineRule="auto"/>
        <w:ind w:left="0" w:firstLine="0"/>
      </w:pPr>
      <w:r>
        <w:t xml:space="preserve">Site do Tribunal de Contas do Estado da Bahia. </w:t>
      </w:r>
    </w:p>
    <w:p w14:paraId="74CD973E">
      <w:pPr>
        <w:pStyle w:val="12"/>
        <w:numPr>
          <w:ilvl w:val="1"/>
          <w:numId w:val="3"/>
        </w:numPr>
        <w:spacing w:beforeLines="0" w:afterLines="0" w:line="288" w:lineRule="auto"/>
        <w:ind w:left="0" w:firstLine="0"/>
      </w:pPr>
      <w:r>
        <w:t xml:space="preserve">Compras Net, campo Painel de Preços </w:t>
      </w:r>
      <w:r>
        <w:fldChar w:fldCharType="begin"/>
      </w:r>
      <w:r>
        <w:instrText xml:space="preserve"> HYPERLINK "https://www.gov.br/compras/pt-br/" </w:instrText>
      </w:r>
      <w:r>
        <w:fldChar w:fldCharType="separate"/>
      </w:r>
      <w:r>
        <w:t>https://www.gov.br/compras/pt-br/</w:t>
      </w:r>
      <w:r>
        <w:fldChar w:fldCharType="end"/>
      </w:r>
      <w:r>
        <w:t>;</w:t>
      </w:r>
    </w:p>
    <w:p w14:paraId="6CCD2221">
      <w:pPr>
        <w:pStyle w:val="12"/>
        <w:numPr>
          <w:ilvl w:val="1"/>
          <w:numId w:val="3"/>
        </w:numPr>
        <w:spacing w:beforeLines="0" w:afterLines="0" w:line="288" w:lineRule="auto"/>
        <w:ind w:left="0" w:firstLine="0"/>
      </w:pPr>
      <w:r>
        <w:t xml:space="preserve">PNCP, portal Nacional de Contratações Publicas, </w:t>
      </w:r>
      <w:r>
        <w:fldChar w:fldCharType="begin"/>
      </w:r>
      <w:r>
        <w:instrText xml:space="preserve"> HYPERLINK "https://pncp.gov.br/app/editais?q=&amp;status=recebendo_proposta&amp;pagina=1" </w:instrText>
      </w:r>
      <w:r>
        <w:fldChar w:fldCharType="separate"/>
      </w:r>
      <w:r>
        <w:rPr>
          <w:rStyle w:val="5"/>
        </w:rPr>
        <w:t>https://pncp.gov.br/app/editais?q=&amp;status=recebendo_proposta&amp;pagina=1</w:t>
      </w:r>
      <w:r>
        <w:rPr>
          <w:rStyle w:val="5"/>
        </w:rPr>
        <w:fldChar w:fldCharType="end"/>
      </w:r>
      <w:r>
        <w:t xml:space="preserve"> ;</w:t>
      </w:r>
    </w:p>
    <w:p w14:paraId="2D7E5BB1">
      <w:pPr>
        <w:pStyle w:val="12"/>
        <w:numPr>
          <w:ilvl w:val="1"/>
          <w:numId w:val="3"/>
        </w:numPr>
        <w:spacing w:beforeLines="0" w:afterLines="0" w:line="288" w:lineRule="auto"/>
        <w:ind w:left="0" w:firstLine="0"/>
      </w:pPr>
      <w:r>
        <w:t>Consulta de preços, via internet. Nesse caso, deverão ser apresentados, no mínimo, três orçamentos de fontes diversas.</w:t>
      </w:r>
    </w:p>
    <w:p w14:paraId="4A1F2C21">
      <w:pPr>
        <w:pStyle w:val="12"/>
        <w:numPr>
          <w:ilvl w:val="1"/>
          <w:numId w:val="3"/>
        </w:numPr>
        <w:spacing w:beforeLines="0" w:afterLines="0" w:line="288" w:lineRule="auto"/>
        <w:ind w:left="0" w:firstLine="0"/>
      </w:pPr>
      <w:r>
        <w:t>A Secretaria interessada poderá realizar diligências visando à verificação das variações mencionadas, ainda que o pedido esteja acompanhado da documentação supramencionada.</w:t>
      </w:r>
    </w:p>
    <w:p w14:paraId="1C83ADFB">
      <w:pPr>
        <w:pStyle w:val="12"/>
        <w:numPr>
          <w:ilvl w:val="1"/>
          <w:numId w:val="3"/>
        </w:numPr>
        <w:spacing w:beforeLines="0" w:afterLines="0" w:line="288" w:lineRule="auto"/>
        <w:ind w:left="0" w:firstLine="0"/>
        <w:rPr>
          <w:b/>
        </w:rPr>
      </w:pPr>
      <w:r>
        <w:rPr>
          <w:b/>
        </w:rPr>
        <w:t xml:space="preserve">DO REAJUSTE </w:t>
      </w:r>
    </w:p>
    <w:p w14:paraId="3EA2B584">
      <w:pPr>
        <w:pStyle w:val="12"/>
        <w:numPr>
          <w:ilvl w:val="1"/>
          <w:numId w:val="3"/>
        </w:numPr>
        <w:spacing w:beforeLines="0" w:afterLines="0" w:line="288" w:lineRule="auto"/>
        <w:ind w:left="0" w:firstLine="0"/>
      </w:pPr>
      <w:r>
        <w:t>Os preços inicialmente contratados são fixos e irreajustáveis no prazo de um ano contado da data da assinatura do contrato.</w:t>
      </w:r>
    </w:p>
    <w:p w14:paraId="1846D392">
      <w:pPr>
        <w:pStyle w:val="12"/>
        <w:numPr>
          <w:ilvl w:val="1"/>
          <w:numId w:val="3"/>
        </w:numPr>
        <w:spacing w:beforeLines="0" w:afterLines="0" w:line="288" w:lineRule="auto"/>
        <w:ind w:left="0" w:firstLine="0"/>
      </w:pPr>
      <w:r>
        <w:t>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151679FE">
      <w:pPr>
        <w:pStyle w:val="12"/>
        <w:numPr>
          <w:ilvl w:val="1"/>
          <w:numId w:val="3"/>
        </w:numPr>
        <w:spacing w:beforeLines="0" w:afterLines="0" w:line="288" w:lineRule="auto"/>
        <w:ind w:left="0" w:firstLine="0"/>
      </w:pPr>
      <w:r>
        <w:t>Nos reajustes subsequentes ao primeiro, o interregno mínimo de um ano será contado a partir dos efeitos financeiros do último reajuste.</w:t>
      </w:r>
    </w:p>
    <w:p w14:paraId="263DA3EB">
      <w:pPr>
        <w:pStyle w:val="12"/>
        <w:numPr>
          <w:ilvl w:val="1"/>
          <w:numId w:val="3"/>
        </w:numPr>
        <w:spacing w:beforeLines="0" w:afterLines="0" w:line="288" w:lineRule="auto"/>
        <w:ind w:left="0" w:firstLine="0"/>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86F92C1">
      <w:pPr>
        <w:pStyle w:val="12"/>
        <w:numPr>
          <w:ilvl w:val="1"/>
          <w:numId w:val="3"/>
        </w:numPr>
        <w:spacing w:beforeLines="0" w:afterLines="0" w:line="288" w:lineRule="auto"/>
        <w:ind w:left="0" w:firstLine="0"/>
      </w:pPr>
      <w:r>
        <w:t>Nas aferições finais, o(s) índice(s) utilizado(s) para reajuste será(ão), obrigatoriamente, o(s) definitivo(s).</w:t>
      </w:r>
    </w:p>
    <w:p w14:paraId="28863677">
      <w:pPr>
        <w:pStyle w:val="12"/>
        <w:numPr>
          <w:ilvl w:val="1"/>
          <w:numId w:val="3"/>
        </w:numPr>
        <w:spacing w:beforeLines="0" w:afterLines="0" w:line="288" w:lineRule="auto"/>
        <w:ind w:left="0" w:firstLine="0"/>
      </w:pPr>
      <w:r>
        <w:t>Caso o(s) índice(s) estabelecido(s) para reajustamento venha(m) a ser extinto(s) ou de qualquer forma não possa(m) mais ser utilizado(s), será(ão) adotado(s), em substituição, o(s) que vier(em) a ser determinado(s) pela legislação então em vigor.</w:t>
      </w:r>
    </w:p>
    <w:p w14:paraId="31C602F7">
      <w:pPr>
        <w:pStyle w:val="12"/>
        <w:numPr>
          <w:ilvl w:val="1"/>
          <w:numId w:val="3"/>
        </w:numPr>
        <w:spacing w:beforeLines="0" w:afterLines="0" w:line="288" w:lineRule="auto"/>
        <w:ind w:left="0" w:firstLine="0"/>
      </w:pPr>
      <w:r>
        <w:t xml:space="preserve">Na ausência de previsão legal quanto ao índice substituto, as partes elegerão novo índice oficial, para reajustamento do preço do valor remanescente, por meio de termo aditivo. </w:t>
      </w:r>
    </w:p>
    <w:p w14:paraId="1A40A644">
      <w:pPr>
        <w:pStyle w:val="12"/>
        <w:numPr>
          <w:ilvl w:val="1"/>
          <w:numId w:val="3"/>
        </w:numPr>
        <w:spacing w:beforeLines="0" w:afterLines="0" w:line="288" w:lineRule="auto"/>
        <w:ind w:left="0" w:firstLine="0"/>
      </w:pPr>
      <w:r>
        <w:t>O reajuste será realizado por apostilamento ou aditivo.</w:t>
      </w:r>
    </w:p>
    <w:p w14:paraId="3DBF14CF">
      <w:pPr>
        <w:pStyle w:val="10"/>
        <w:numPr>
          <w:ilvl w:val="0"/>
          <w:numId w:val="2"/>
        </w:numPr>
        <w:spacing w:before="120" w:after="120" w:line="288" w:lineRule="auto"/>
        <w:rPr>
          <w:b/>
          <w:color w:val="FFFFFF"/>
        </w:rPr>
      </w:pPr>
      <w:r>
        <w:rPr>
          <w:b/>
        </w:rPr>
        <w:t xml:space="preserve">CLÁUSULA NONA - OBRIGAÇÕES DO CONTRATANTE </w:t>
      </w:r>
    </w:p>
    <w:p w14:paraId="60A79739">
      <w:pPr>
        <w:pStyle w:val="12"/>
        <w:numPr>
          <w:ilvl w:val="1"/>
          <w:numId w:val="3"/>
        </w:numPr>
        <w:spacing w:beforeLines="0" w:afterLines="0" w:line="288" w:lineRule="auto"/>
        <w:ind w:left="0" w:firstLine="0"/>
      </w:pPr>
      <w:r>
        <w:t>São obrigações do Contratante:</w:t>
      </w:r>
    </w:p>
    <w:p w14:paraId="313FA222">
      <w:pPr>
        <w:pStyle w:val="12"/>
        <w:numPr>
          <w:ilvl w:val="1"/>
          <w:numId w:val="3"/>
        </w:numPr>
        <w:spacing w:beforeLines="0" w:afterLines="0" w:line="288" w:lineRule="auto"/>
        <w:ind w:left="0" w:firstLine="0"/>
      </w:pPr>
      <w:r>
        <w:t>Exigir o cumprimento de todas as obrigações assumidas pelo Contratado, de acordo com o contrato e seus anexos;</w:t>
      </w:r>
    </w:p>
    <w:p w14:paraId="1DBF0704">
      <w:pPr>
        <w:pStyle w:val="12"/>
        <w:numPr>
          <w:ilvl w:val="1"/>
          <w:numId w:val="3"/>
        </w:numPr>
        <w:spacing w:beforeLines="0" w:afterLines="0" w:line="288" w:lineRule="auto"/>
        <w:ind w:left="0" w:firstLine="0"/>
      </w:pPr>
      <w:r>
        <w:t>Receber o objeto no prazo e condições estabelecidas no Termo de Referência;</w:t>
      </w:r>
    </w:p>
    <w:p w14:paraId="1A76011D">
      <w:pPr>
        <w:pStyle w:val="12"/>
        <w:numPr>
          <w:ilvl w:val="1"/>
          <w:numId w:val="3"/>
        </w:numPr>
        <w:spacing w:beforeLines="0" w:afterLines="0" w:line="288" w:lineRule="auto"/>
        <w:ind w:left="0" w:firstLine="0"/>
      </w:pPr>
      <w:r>
        <w:t>Notificar o Contratado, por escrito, sobre vícios, defeitos ou incorreções verificadas no objeto fornecido, para que seja por ele substituído, reparado ou corrigido, no total ou em parte, às suas expensas;</w:t>
      </w:r>
    </w:p>
    <w:p w14:paraId="54E6AF63">
      <w:pPr>
        <w:pStyle w:val="12"/>
        <w:numPr>
          <w:ilvl w:val="1"/>
          <w:numId w:val="3"/>
        </w:numPr>
        <w:spacing w:beforeLines="0" w:afterLines="0" w:line="288" w:lineRule="auto"/>
        <w:ind w:left="0" w:firstLine="0"/>
      </w:pPr>
      <w:r>
        <w:t>Acompanhar e fiscalizar a execução do contrato e o cumprimento das obrigações pelo Contratado;</w:t>
      </w:r>
    </w:p>
    <w:p w14:paraId="5DE7D4C7">
      <w:pPr>
        <w:pStyle w:val="12"/>
        <w:numPr>
          <w:ilvl w:val="1"/>
          <w:numId w:val="3"/>
        </w:numPr>
        <w:spacing w:beforeLines="0" w:afterLines="0" w:line="288" w:lineRule="auto"/>
        <w:ind w:left="0" w:firstLine="0"/>
      </w:pPr>
      <w:r>
        <w:t>Efetuar o pagamento ao Contratado do valor correspondente ao fornecimento do objeto, no prazo, forma e condições estabelecidos no presente Contrato e no Termo de Referência.</w:t>
      </w:r>
    </w:p>
    <w:p w14:paraId="64E3BF76">
      <w:pPr>
        <w:pStyle w:val="12"/>
        <w:numPr>
          <w:ilvl w:val="1"/>
          <w:numId w:val="3"/>
        </w:numPr>
        <w:spacing w:beforeLines="0" w:afterLines="0" w:line="288" w:lineRule="auto"/>
        <w:ind w:left="0" w:firstLine="0"/>
      </w:pPr>
      <w:r>
        <w:t xml:space="preserve">Aplicar ao Contratado as sanções previstas na lei e neste Contrato; </w:t>
      </w:r>
    </w:p>
    <w:p w14:paraId="2293D158">
      <w:pPr>
        <w:pStyle w:val="12"/>
        <w:numPr>
          <w:ilvl w:val="1"/>
          <w:numId w:val="3"/>
        </w:numPr>
        <w:spacing w:beforeLines="0" w:afterLines="0" w:line="288" w:lineRule="auto"/>
        <w:ind w:left="0" w:firstLine="0"/>
      </w:pPr>
      <w:r>
        <w:t xml:space="preserve">Adotar as medidas necessárias em caso de descumprimento de obrigações do contratado, com a notificação da empresa e a instauração de processo administrativo de responsabilização; </w:t>
      </w:r>
    </w:p>
    <w:p w14:paraId="41001073">
      <w:pPr>
        <w:pStyle w:val="12"/>
        <w:numPr>
          <w:ilvl w:val="1"/>
          <w:numId w:val="3"/>
        </w:numPr>
        <w:spacing w:beforeLines="0" w:afterLines="0" w:line="288" w:lineRule="auto"/>
        <w:ind w:left="0" w:firstLine="0"/>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E0DC4CD">
      <w:pPr>
        <w:pStyle w:val="12"/>
        <w:numPr>
          <w:ilvl w:val="1"/>
          <w:numId w:val="3"/>
        </w:numPr>
        <w:spacing w:beforeLines="0" w:afterLines="0" w:line="288" w:lineRule="auto"/>
        <w:ind w:left="0" w:firstLine="0"/>
      </w:pPr>
      <w:r>
        <w:t xml:space="preserve"> A Administração terá o prazo de 01 (um) mês, a contar da data do protocolo do requerimento para decidir, admitida a prorrogação motivada, por igual período. </w:t>
      </w:r>
    </w:p>
    <w:p w14:paraId="3B30CEC0">
      <w:pPr>
        <w:pStyle w:val="12"/>
        <w:numPr>
          <w:ilvl w:val="1"/>
          <w:numId w:val="3"/>
        </w:numPr>
        <w:spacing w:beforeLines="0" w:afterLines="0" w:line="288" w:lineRule="auto"/>
        <w:ind w:left="0" w:firstLine="0"/>
      </w:pPr>
      <w:r>
        <w:t>Responder eventuais pedidos de reestabelecimento do equilíbrio econômico-financeiro feitos pelo contratado no prazo máximo de 01 (um) mês.</w:t>
      </w:r>
    </w:p>
    <w:p w14:paraId="3BF884E4">
      <w:pPr>
        <w:pStyle w:val="12"/>
        <w:numPr>
          <w:ilvl w:val="1"/>
          <w:numId w:val="3"/>
        </w:numPr>
        <w:spacing w:beforeLines="0" w:afterLines="0" w:line="288" w:lineRule="auto"/>
        <w:ind w:left="0" w:firstLine="0"/>
      </w:pPr>
      <w:r>
        <w:t>Notificar os emitentes das garantias quanto ao início de processo administrativo para apuração de descumprimento de cláusulas contratuais.</w:t>
      </w:r>
    </w:p>
    <w:p w14:paraId="0579E13E">
      <w:pPr>
        <w:pStyle w:val="12"/>
        <w:numPr>
          <w:ilvl w:val="1"/>
          <w:numId w:val="3"/>
        </w:numPr>
        <w:spacing w:beforeLines="0" w:afterLines="0" w:line="288"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5B41083">
      <w:pPr>
        <w:pStyle w:val="12"/>
        <w:numPr>
          <w:ilvl w:val="1"/>
          <w:numId w:val="3"/>
        </w:numPr>
        <w:spacing w:beforeLines="0" w:afterLines="0" w:line="288" w:lineRule="auto"/>
        <w:ind w:left="0" w:firstLine="0"/>
      </w:pPr>
      <w:r>
        <w:t xml:space="preserve"> Conferir minuciosamente, no prazo fixado, a conformidade do(s) bem(ns) recebido(s)provisoriamente com as especificações constantes do termo de Referência e da proposta, para fins de aceitação e recebimento definitivos;</w:t>
      </w:r>
    </w:p>
    <w:p w14:paraId="2E7A67C4">
      <w:pPr>
        <w:pStyle w:val="12"/>
        <w:numPr>
          <w:ilvl w:val="1"/>
          <w:numId w:val="3"/>
        </w:numPr>
        <w:spacing w:beforeLines="0" w:afterLines="0" w:line="288" w:lineRule="auto"/>
        <w:ind w:left="0" w:firstLine="0"/>
      </w:pPr>
      <w:r>
        <w:t>Proporcionar as condições necessárias ao fiel cumprimento das obrigações do fornecedor, inclusive comunicando por escrito e tempestivamente qualquer mudança de Administração e endereço de cobrança;</w:t>
      </w:r>
    </w:p>
    <w:p w14:paraId="2AFFD48A">
      <w:pPr>
        <w:pStyle w:val="12"/>
        <w:numPr>
          <w:ilvl w:val="1"/>
          <w:numId w:val="3"/>
        </w:numPr>
        <w:spacing w:beforeLines="0" w:afterLines="0" w:line="288" w:lineRule="auto"/>
        <w:ind w:left="0" w:firstLine="0"/>
      </w:pPr>
      <w:r>
        <w:t>Acompanhar e fiscalizar o cumprimento das obrigações do fornecedor, por meio de fiscais especialmente designados.</w:t>
      </w:r>
    </w:p>
    <w:p w14:paraId="3D5D4AE3">
      <w:pPr>
        <w:pStyle w:val="12"/>
        <w:numPr>
          <w:ilvl w:val="1"/>
          <w:numId w:val="3"/>
        </w:numPr>
        <w:spacing w:beforeLines="0" w:afterLines="0" w:line="288" w:lineRule="auto"/>
        <w:ind w:left="0" w:firstLine="0"/>
      </w:pPr>
      <w:r>
        <w:t>Efetuar o pagamento da fatura de acordo com as normas de execução orçamentária e financeira e demais condições legais e editalícias;</w:t>
      </w:r>
    </w:p>
    <w:p w14:paraId="110B3298">
      <w:pPr>
        <w:pStyle w:val="12"/>
        <w:numPr>
          <w:ilvl w:val="1"/>
          <w:numId w:val="3"/>
        </w:numPr>
        <w:spacing w:beforeLines="0" w:afterLines="0" w:line="288" w:lineRule="auto"/>
        <w:ind w:left="0" w:firstLine="0"/>
      </w:pPr>
      <w:r>
        <w:t>Permitir aos funcionários do fornecedor (devidamente identificados) acesso às dependências da administração, caso necessário.</w:t>
      </w:r>
    </w:p>
    <w:p w14:paraId="1141BD59">
      <w:pPr>
        <w:pStyle w:val="12"/>
        <w:numPr>
          <w:ilvl w:val="1"/>
          <w:numId w:val="3"/>
        </w:numPr>
        <w:spacing w:beforeLines="0" w:afterLines="0" w:line="288" w:lineRule="auto"/>
        <w:ind w:left="0" w:firstLine="0"/>
      </w:pPr>
      <w:r>
        <w:t>Notificar e comunicar a existência de vícios, defeitos ou incorreções verificadas no objeto fornecido, para que seja por ele substituído, reparado ou corrigido, no total ou em parte, às expensas do fornecedor.</w:t>
      </w:r>
    </w:p>
    <w:p w14:paraId="66BCACF7">
      <w:pPr>
        <w:pStyle w:val="12"/>
        <w:numPr>
          <w:ilvl w:val="1"/>
          <w:numId w:val="3"/>
        </w:numPr>
        <w:spacing w:beforeLines="0" w:afterLines="0" w:line="288" w:lineRule="auto"/>
        <w:ind w:left="0" w:firstLine="0"/>
      </w:pPr>
      <w:r>
        <w:t xml:space="preserve"> Explicitamente emitir decisão sobre todas as solicitações e reclamações relacionadas à execução do presente, ressalvados os requerimentos manifestamente impertinentes, meramente protelatórios ou de nenhum interesse para a boa execução do ajuste, no prazo máximo de 30 (trinta) dias. Apenas serão considerados recebidas as solicitações encaminhadas aos meios de comunicação oficial do Poder Público.</w:t>
      </w:r>
    </w:p>
    <w:p w14:paraId="720BF44F">
      <w:pPr>
        <w:pStyle w:val="10"/>
        <w:numPr>
          <w:ilvl w:val="0"/>
          <w:numId w:val="2"/>
        </w:numPr>
        <w:spacing w:before="120" w:after="120" w:line="288" w:lineRule="auto"/>
        <w:rPr>
          <w:b/>
        </w:rPr>
      </w:pPr>
      <w:r>
        <w:rPr>
          <w:b/>
        </w:rPr>
        <w:t xml:space="preserve">CLÁUSULA DÉCIMA - OBRIGAÇÕES DO CONTRATADO </w:t>
      </w:r>
    </w:p>
    <w:p w14:paraId="3C5AD171">
      <w:pPr>
        <w:pStyle w:val="12"/>
        <w:numPr>
          <w:ilvl w:val="1"/>
          <w:numId w:val="2"/>
        </w:numPr>
        <w:spacing w:beforeLines="0" w:afterLines="0" w:line="288" w:lineRule="auto"/>
        <w:ind w:left="0" w:firstLine="0"/>
      </w:pPr>
      <w:r>
        <w:t xml:space="preserve">Assinar este Contrato no prazo máximo de </w:t>
      </w:r>
      <w:r>
        <w:rPr>
          <w:b/>
        </w:rPr>
        <w:t>05 (cinco)</w:t>
      </w:r>
      <w:r>
        <w:t xml:space="preserve"> dias úteis, contados do recebimento da comunicação;</w:t>
      </w:r>
    </w:p>
    <w:p w14:paraId="67AC5350">
      <w:pPr>
        <w:pStyle w:val="12"/>
        <w:numPr>
          <w:ilvl w:val="1"/>
          <w:numId w:val="3"/>
        </w:numPr>
        <w:spacing w:beforeLines="0" w:afterLines="0" w:line="288" w:lineRule="auto"/>
        <w:ind w:left="0" w:firstLine="0"/>
      </w:pPr>
      <w:r>
        <w:t>O Contratado deve cumprir todas as obrigações constantes deste Contrato e em seus anexos, assumindo como exclusivamente seus os riscos e as despesas decorrentes da boa e perfeita execução do objeto, observando, ainda, as obrigações a seguir dispostas:</w:t>
      </w:r>
    </w:p>
    <w:p w14:paraId="4BB20516">
      <w:pPr>
        <w:pStyle w:val="12"/>
        <w:numPr>
          <w:ilvl w:val="1"/>
          <w:numId w:val="3"/>
        </w:numPr>
        <w:spacing w:beforeLines="0" w:afterLines="0" w:line="288" w:lineRule="auto"/>
        <w:ind w:left="0" w:firstLine="0"/>
      </w:pPr>
      <w:r>
        <w:t>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t>Lei nº 8.078, de 1990</w:t>
      </w:r>
      <w:r>
        <w:fldChar w:fldCharType="end"/>
      </w:r>
      <w:r>
        <w:t>);</w:t>
      </w:r>
    </w:p>
    <w:p w14:paraId="32367638">
      <w:pPr>
        <w:pStyle w:val="12"/>
        <w:numPr>
          <w:ilvl w:val="1"/>
          <w:numId w:val="3"/>
        </w:numPr>
        <w:spacing w:beforeLines="0" w:afterLines="0" w:line="288" w:lineRule="auto"/>
        <w:ind w:left="0" w:firstLine="0"/>
      </w:pPr>
      <w:r>
        <w:t>Comunicar ao contratante, no prazo máximo de 24 (vinte e quatro) horas que antecede a data da entrega, os motivos que impossibilitem o cumprimento do prazo previsto, com a devida comprovação;</w:t>
      </w:r>
    </w:p>
    <w:p w14:paraId="5F85D820">
      <w:pPr>
        <w:pStyle w:val="12"/>
        <w:numPr>
          <w:ilvl w:val="1"/>
          <w:numId w:val="3"/>
        </w:numPr>
        <w:spacing w:beforeLines="0" w:afterLines="0" w:line="288" w:lineRule="auto"/>
        <w:ind w:left="0" w:firstLine="0"/>
      </w:pPr>
      <w:r>
        <w:t>Atender às determinações regulares emitidas pelo fiscal ou gestor do contrato ou autoridade superior (</w:t>
      </w:r>
      <w:r>
        <w:fldChar w:fldCharType="begin"/>
      </w:r>
      <w:r>
        <w:instrText xml:space="preserve"> HYPERLINK "http://www.planalto.gov.br/ccivil_03/_ato2019-2022/2021/lei/L14133.htm" \l "art137" </w:instrText>
      </w:r>
      <w:r>
        <w:fldChar w:fldCharType="separate"/>
      </w:r>
      <w:r>
        <w:t>art. 137, II, da Lei n.º 14.133, de 2021</w:t>
      </w:r>
      <w:r>
        <w:fldChar w:fldCharType="end"/>
      </w:r>
      <w:r>
        <w:t>) e prestar todo esclarecimento ou informação por eles solicitados;</w:t>
      </w:r>
    </w:p>
    <w:p w14:paraId="6E1770B4">
      <w:pPr>
        <w:pStyle w:val="12"/>
        <w:numPr>
          <w:ilvl w:val="1"/>
          <w:numId w:val="3"/>
        </w:numPr>
        <w:spacing w:beforeLines="0" w:afterLines="0" w:line="288" w:lineRule="auto"/>
        <w:ind w:left="0" w:firstLine="0"/>
      </w:pPr>
      <w:r>
        <w:t>Reparar, corrigir, remover, reconstruir ou substituir, às suas expensas, no total ou em parte, no prazo fixado pelo fiscal do contrato, os bens nos quais se verificarem vícios, defeitos ou incorreções resultantes da execução ou dos materiais empregados;</w:t>
      </w:r>
    </w:p>
    <w:p w14:paraId="23D6584A">
      <w:pPr>
        <w:pStyle w:val="12"/>
        <w:numPr>
          <w:ilvl w:val="1"/>
          <w:numId w:val="3"/>
        </w:numPr>
        <w:spacing w:beforeLines="0" w:afterLines="0" w:line="288" w:lineRule="auto"/>
        <w:ind w:left="0" w:firstLine="0"/>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8378915">
      <w:pPr>
        <w:pStyle w:val="12"/>
        <w:numPr>
          <w:ilvl w:val="1"/>
          <w:numId w:val="3"/>
        </w:numPr>
        <w:spacing w:beforeLines="0" w:afterLines="0" w:line="288" w:lineRule="auto"/>
        <w:ind w:left="0" w:firstLine="0"/>
      </w:pPr>
      <w:r>
        <w:t xml:space="preserve">Quando não for possível a verificação da regularidade no site,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3B7B587F">
      <w:pPr>
        <w:pStyle w:val="12"/>
        <w:numPr>
          <w:ilvl w:val="1"/>
          <w:numId w:val="3"/>
        </w:numPr>
        <w:spacing w:beforeLines="0" w:afterLines="0" w:line="288" w:lineRule="auto"/>
        <w:ind w:left="0" w:firstLine="0"/>
      </w:pPr>
      <w:r>
        <w:t>Responsabilizar-se pelo cumprimento das obrigações previstas em Acordo, Convenção ou Dissídio Coletivo de Trabalho ou equivalentes das categorias abrangidas pelo contrato, e por todas as obrigações trabalhistas, sociais, previdenciárias, tributárias e as demais previstas em legislação específica, cuja inadimplência não transfere a responsabilidade ao contratante e não poderá onerar o objeto do contrato;</w:t>
      </w:r>
    </w:p>
    <w:p w14:paraId="5B69C948">
      <w:pPr>
        <w:pStyle w:val="12"/>
        <w:numPr>
          <w:ilvl w:val="1"/>
          <w:numId w:val="3"/>
        </w:numPr>
        <w:spacing w:beforeLines="0" w:afterLines="0" w:line="288" w:lineRule="auto"/>
        <w:ind w:left="0" w:firstLine="0"/>
      </w:pPr>
      <w:r>
        <w:t>Paralisar, por determinação do contratante, qualquer atividade que não esteja sendo executada de acordo com a boa técnica ou que ponha em risco a segurança de pessoas ou bens de terceiros.</w:t>
      </w:r>
    </w:p>
    <w:p w14:paraId="498524C6">
      <w:pPr>
        <w:pStyle w:val="12"/>
        <w:numPr>
          <w:ilvl w:val="1"/>
          <w:numId w:val="3"/>
        </w:numPr>
        <w:spacing w:beforeLines="0" w:afterLines="0" w:line="288" w:lineRule="auto"/>
        <w:ind w:left="0" w:firstLine="0"/>
      </w:pPr>
      <w:r>
        <w:t xml:space="preserve">Manter durante toda a vigência do contrato, em compatibilidade com as obrigações assumidas, todas as condições exigidas para habilitação na licitação; </w:t>
      </w:r>
    </w:p>
    <w:p w14:paraId="67BB9096">
      <w:pPr>
        <w:pStyle w:val="12"/>
        <w:numPr>
          <w:ilvl w:val="1"/>
          <w:numId w:val="3"/>
        </w:numPr>
        <w:spacing w:beforeLines="0" w:afterLines="0" w:line="288" w:lineRule="auto"/>
        <w:ind w:left="0" w:firstLine="0"/>
      </w:pPr>
      <w: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t>art. 116, da Lei n.º 14.133, de 2021</w:t>
      </w:r>
      <w:r>
        <w:fldChar w:fldCharType="end"/>
      </w:r>
      <w:r>
        <w:t>);</w:t>
      </w:r>
    </w:p>
    <w:p w14:paraId="117C1B4B">
      <w:pPr>
        <w:pStyle w:val="12"/>
        <w:numPr>
          <w:ilvl w:val="1"/>
          <w:numId w:val="3"/>
        </w:numPr>
        <w:spacing w:beforeLines="0" w:afterLines="0" w:line="288" w:lineRule="auto"/>
        <w:ind w:left="0" w:firstLine="0"/>
      </w:pPr>
      <w: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t>art. 116, parágrafo único, da Lei n.º 14.133, de 2021</w:t>
      </w:r>
      <w:r>
        <w:fldChar w:fldCharType="end"/>
      </w:r>
      <w:r>
        <w:t>).</w:t>
      </w:r>
    </w:p>
    <w:p w14:paraId="744A05DF">
      <w:pPr>
        <w:pStyle w:val="12"/>
        <w:numPr>
          <w:ilvl w:val="1"/>
          <w:numId w:val="3"/>
        </w:numPr>
        <w:spacing w:beforeLines="0" w:afterLines="0" w:line="288" w:lineRule="auto"/>
        <w:ind w:left="0" w:firstLine="0"/>
      </w:pPr>
      <w:r>
        <w:t xml:space="preserve">Guardar sigilo sobre todas as informações obtidas em decorrência do cumprimento do contrato; </w:t>
      </w:r>
    </w:p>
    <w:p w14:paraId="0777A2B4">
      <w:pPr>
        <w:pStyle w:val="12"/>
        <w:numPr>
          <w:ilvl w:val="1"/>
          <w:numId w:val="3"/>
        </w:numPr>
        <w:spacing w:beforeLines="0" w:afterLines="0" w:line="288" w:lineRule="auto"/>
        <w:ind w:left="0" w:firstLine="0"/>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t>art. 124, II, d, da Lei nº 14.133, de 2021.</w:t>
      </w:r>
      <w:r>
        <w:fldChar w:fldCharType="end"/>
      </w:r>
    </w:p>
    <w:p w14:paraId="785B90BE">
      <w:pPr>
        <w:pStyle w:val="12"/>
        <w:numPr>
          <w:ilvl w:val="1"/>
          <w:numId w:val="3"/>
        </w:numPr>
        <w:spacing w:beforeLines="0" w:afterLines="0" w:line="288" w:lineRule="auto"/>
        <w:ind w:left="0" w:firstLine="0"/>
      </w:pPr>
      <w:r>
        <w:t>Cumprir, além dos postulados legais vigentes de âmbito federal, estadual ou municipal, as normas de segurança do contratante;</w:t>
      </w:r>
    </w:p>
    <w:p w14:paraId="3C06CAF1">
      <w:pPr>
        <w:pStyle w:val="12"/>
        <w:numPr>
          <w:ilvl w:val="1"/>
          <w:numId w:val="3"/>
        </w:numPr>
        <w:spacing w:beforeLines="0" w:afterLines="0" w:line="288" w:lineRule="auto"/>
        <w:ind w:left="0" w:firstLine="0"/>
      </w:pPr>
      <w:r>
        <w:t>Orientar e treinar seus empregados sobre os deveres previstos na Lei nº 13.709, de 14 de agosto de 2018, adotando medidas eficazes para proteção de dados pessoais a que tenha acesso por força da execução deste contrato;</w:t>
      </w:r>
    </w:p>
    <w:p w14:paraId="5A2503DC">
      <w:pPr>
        <w:pStyle w:val="12"/>
        <w:numPr>
          <w:ilvl w:val="1"/>
          <w:numId w:val="3"/>
        </w:numPr>
        <w:spacing w:beforeLines="0" w:afterLines="0" w:line="288" w:lineRule="auto"/>
        <w:ind w:left="0" w:firstLine="0"/>
      </w:pPr>
      <w:bookmarkStart w:id="0" w:name="_Ref118293030"/>
      <w:r>
        <w:t>Não permitir a utilização de qualquer trabalho do menor de dezesseis anos, exceto na condição de aprendiz para os maiores de quatorze anos, nem permitir a utilização do trabalho do menor de dezoito anos em trabalho noturno, perigoso ou insalubre.</w:t>
      </w:r>
      <w:bookmarkEnd w:id="0"/>
    </w:p>
    <w:p w14:paraId="31F1FBC9">
      <w:pPr>
        <w:pStyle w:val="12"/>
        <w:numPr>
          <w:ilvl w:val="1"/>
          <w:numId w:val="3"/>
        </w:numPr>
        <w:spacing w:beforeLines="0" w:afterLines="0" w:line="288" w:lineRule="auto"/>
        <w:ind w:left="0" w:firstLine="0"/>
      </w:pPr>
      <w:r>
        <w:t>Substituir às suas expensas o(s) material(is) que apresentar(em) defeito(s) de fabricação ou desgastes prematuros;</w:t>
      </w:r>
    </w:p>
    <w:p w14:paraId="210741F0">
      <w:pPr>
        <w:pStyle w:val="12"/>
        <w:numPr>
          <w:ilvl w:val="1"/>
          <w:numId w:val="3"/>
        </w:numPr>
        <w:spacing w:beforeLines="0" w:afterLines="0" w:line="288" w:lineRule="auto"/>
        <w:ind w:left="0" w:firstLine="0"/>
      </w:pPr>
      <w:r>
        <w:t>Assumir os gastos e despesas que se fizerem necessários para adimplemento das obrigações decorrentes da aquisição;</w:t>
      </w:r>
    </w:p>
    <w:p w14:paraId="0F77EA94">
      <w:pPr>
        <w:pStyle w:val="12"/>
        <w:numPr>
          <w:ilvl w:val="1"/>
          <w:numId w:val="3"/>
        </w:numPr>
        <w:spacing w:beforeLines="0" w:afterLines="0" w:line="288" w:lineRule="auto"/>
        <w:ind w:left="0" w:firstLine="0"/>
      </w:pPr>
      <w:r>
        <w:t>Não transferir a terceiros, por qualquer forma, nem mesmo parcialmente, os direitos e obrigações assumidas por força de contrato/ata, nem subcontratar qualquer das prestações a que está obrigada;</w:t>
      </w:r>
    </w:p>
    <w:p w14:paraId="074FFC19">
      <w:pPr>
        <w:pStyle w:val="25"/>
        <w:numPr>
          <w:ilvl w:val="1"/>
          <w:numId w:val="3"/>
        </w:numPr>
        <w:spacing w:line="312" w:lineRule="auto"/>
        <w:jc w:val="both"/>
        <w:rPr>
          <w:rFonts w:eastAsia="Times New Roman"/>
          <w:color w:val="000000"/>
          <w:sz w:val="20"/>
          <w:szCs w:val="20"/>
        </w:rPr>
      </w:pPr>
      <w:r>
        <w:rPr>
          <w:rFonts w:eastAsia="Times New Roman"/>
          <w:color w:val="000000"/>
          <w:sz w:val="20"/>
          <w:szCs w:val="20"/>
        </w:rPr>
        <w:t>Assumir inteira responsabilidade quanto à qualidade dos produtos fornecidos;</w:t>
      </w:r>
    </w:p>
    <w:p w14:paraId="4CA63526">
      <w:pPr>
        <w:pStyle w:val="12"/>
        <w:numPr>
          <w:ilvl w:val="1"/>
          <w:numId w:val="3"/>
        </w:numPr>
        <w:spacing w:beforeLines="0" w:afterLines="0" w:line="288" w:lineRule="auto"/>
        <w:ind w:left="0" w:firstLine="0"/>
      </w:pPr>
      <w:r>
        <w:t>A Contratada deverá prestar os serviços através do técnico responsável devidamente qualificado, bem como dispor de todos os itens de segurança e demais itens necessários ao adequado cumprimento das entregas.</w:t>
      </w:r>
    </w:p>
    <w:p w14:paraId="52805ABB">
      <w:pPr>
        <w:pStyle w:val="12"/>
        <w:numPr>
          <w:ilvl w:val="1"/>
          <w:numId w:val="3"/>
        </w:numPr>
        <w:spacing w:beforeLines="0" w:afterLines="0" w:line="288" w:lineRule="auto"/>
        <w:ind w:left="0" w:firstLine="0"/>
      </w:pPr>
      <w:r>
        <w:t>O contratado deverá cumprir com as seguintes obrigações, para a aquisição de medicamentos, materiais de penso e produtos saneantes.</w:t>
      </w:r>
    </w:p>
    <w:p w14:paraId="3D76E32D">
      <w:pPr>
        <w:pStyle w:val="12"/>
        <w:numPr>
          <w:ilvl w:val="1"/>
          <w:numId w:val="3"/>
        </w:numPr>
        <w:spacing w:beforeLines="0" w:afterLines="0" w:line="288" w:lineRule="auto"/>
        <w:ind w:left="0" w:firstLine="0"/>
      </w:pPr>
      <w:r>
        <w:t>Entregar os medicamentos, materiais de penso e produtos sanitizantes nas quantidades e dentro dos prazos estabelecidos nas ordens de fornecimento emitidas pela contratante, de acordo com as especificações técnicas detalhadas no contrato.</w:t>
      </w:r>
    </w:p>
    <w:p w14:paraId="5A1FB70A">
      <w:pPr>
        <w:pStyle w:val="12"/>
        <w:numPr>
          <w:ilvl w:val="1"/>
          <w:numId w:val="3"/>
        </w:numPr>
        <w:spacing w:beforeLines="0" w:afterLines="0" w:line="288" w:lineRule="auto"/>
        <w:ind w:left="0" w:firstLine="0"/>
      </w:pPr>
      <w:r>
        <w:t>Garantir que os produtos entregues atendam a todas as exigências legais e regulamentares, incluindo o registro na ANVISA ou em outros órgãos competentes.</w:t>
      </w:r>
    </w:p>
    <w:p w14:paraId="5E261D5F">
      <w:pPr>
        <w:pStyle w:val="12"/>
        <w:numPr>
          <w:ilvl w:val="1"/>
          <w:numId w:val="3"/>
        </w:numPr>
        <w:spacing w:beforeLines="0" w:afterLines="0" w:line="288" w:lineRule="auto"/>
        <w:ind w:left="0" w:firstLine="0"/>
      </w:pPr>
      <w:r>
        <w:t>Assegurar que os produtos fornecidos estejam dentro do prazo de validade e em perfeitas condições de uso, conforme as normas sanitárias, com a devida rastreabilidade dos lotes e informações sobre a procedência dos produtos.</w:t>
      </w:r>
    </w:p>
    <w:p w14:paraId="3788BAD1">
      <w:pPr>
        <w:pStyle w:val="12"/>
        <w:numPr>
          <w:ilvl w:val="1"/>
          <w:numId w:val="3"/>
        </w:numPr>
        <w:spacing w:beforeLines="0" w:afterLines="0" w:line="288" w:lineRule="auto"/>
        <w:ind w:left="0" w:firstLine="0"/>
      </w:pPr>
      <w:r>
        <w:t>Garantir que os medicamentos e materiais de penso atendam aos padrões de qualidade exigidos pela Farmacopeia Brasileira e outras regulamentações pertinentes.</w:t>
      </w:r>
    </w:p>
    <w:p w14:paraId="2C1645C9">
      <w:pPr>
        <w:pStyle w:val="12"/>
        <w:numPr>
          <w:ilvl w:val="1"/>
          <w:numId w:val="3"/>
        </w:numPr>
        <w:spacing w:beforeLines="0" w:afterLines="0" w:line="288" w:lineRule="auto"/>
        <w:ind w:left="0" w:firstLine="0"/>
      </w:pPr>
      <w:r>
        <w:t>Responsabilizar-se pelo transporte adequado dos produtos, respeitando as condições necessárias para garantir sua integridade, como temperatura controlada e umidade adequada, quando necessário.</w:t>
      </w:r>
    </w:p>
    <w:p w14:paraId="3AEFBADB">
      <w:pPr>
        <w:pStyle w:val="12"/>
        <w:numPr>
          <w:ilvl w:val="1"/>
          <w:numId w:val="3"/>
        </w:numPr>
        <w:spacing w:beforeLines="0" w:afterLines="0" w:line="288" w:lineRule="auto"/>
        <w:ind w:left="0" w:firstLine="0"/>
      </w:pPr>
      <w:r>
        <w:t>Manter condições adequadas de armazenamento dos produtos, conforme as exigências de segurança e normas sanitárias aplicáveis, até a entrega final.</w:t>
      </w:r>
    </w:p>
    <w:p w14:paraId="7090A3E1">
      <w:pPr>
        <w:pStyle w:val="12"/>
        <w:numPr>
          <w:ilvl w:val="1"/>
          <w:numId w:val="3"/>
        </w:numPr>
        <w:spacing w:beforeLines="0" w:afterLines="0" w:line="288" w:lineRule="auto"/>
        <w:ind w:left="0" w:firstLine="0"/>
      </w:pPr>
      <w:r>
        <w:t>Proceder à substituição imediata de quaisquer produtos que apresentem defeitos, estejam fora do prazo de validade ou não atendam às especificações acordadas, sem custos adicionais para a contratante.</w:t>
      </w:r>
    </w:p>
    <w:p w14:paraId="65834940">
      <w:pPr>
        <w:pStyle w:val="12"/>
        <w:numPr>
          <w:ilvl w:val="1"/>
          <w:numId w:val="3"/>
        </w:numPr>
        <w:spacing w:beforeLines="0" w:afterLines="0" w:line="288" w:lineRule="auto"/>
        <w:ind w:left="0" w:firstLine="0"/>
      </w:pPr>
      <w:r>
        <w:t>Realizar a retirada de produtos não conformes quando solicitado pela contratante, garantindo o não uso de medicamentos ou materiais de penso inadequados.</w:t>
      </w:r>
    </w:p>
    <w:p w14:paraId="1960EA8B">
      <w:pPr>
        <w:pStyle w:val="12"/>
        <w:numPr>
          <w:ilvl w:val="1"/>
          <w:numId w:val="3"/>
        </w:numPr>
        <w:spacing w:beforeLines="0" w:afterLines="0" w:line="288" w:lineRule="auto"/>
        <w:ind w:left="0" w:firstLine="0"/>
      </w:pPr>
      <w:r>
        <w:t xml:space="preserve">Fornecer toda a documentação necessária à contratante, incluindo notas fiscais, certificados de qualidade, e comprovantes de entrega. </w:t>
      </w:r>
    </w:p>
    <w:p w14:paraId="2B88AE13">
      <w:pPr>
        <w:pStyle w:val="12"/>
        <w:numPr>
          <w:ilvl w:val="1"/>
          <w:numId w:val="3"/>
        </w:numPr>
        <w:spacing w:beforeLines="0" w:afterLines="0" w:line="288" w:lineRule="auto"/>
        <w:ind w:left="0" w:firstLine="0"/>
      </w:pPr>
      <w:r>
        <w:t>Manter registros atualizados sobre o fornecimento de medicamentos, materiais de penso e produtos sanitizantes, garantindo a transparência e a rastreabilidade do processo.</w:t>
      </w:r>
    </w:p>
    <w:p w14:paraId="3C460443">
      <w:pPr>
        <w:pStyle w:val="12"/>
        <w:numPr>
          <w:ilvl w:val="1"/>
          <w:numId w:val="3"/>
        </w:numPr>
        <w:spacing w:beforeLines="0" w:afterLines="0" w:line="288" w:lineRule="auto"/>
        <w:ind w:left="0" w:firstLine="0"/>
      </w:pPr>
      <w:r>
        <w:t>Cumprir rigorosamente os prazos de entrega e as condições contratuais, com comunicação prévia à contratante em caso de eventuais dificuldades que possam comprometer o cumprimento do contrato.</w:t>
      </w:r>
    </w:p>
    <w:p w14:paraId="1674A19E">
      <w:pPr>
        <w:pStyle w:val="12"/>
        <w:numPr>
          <w:ilvl w:val="1"/>
          <w:numId w:val="3"/>
        </w:numPr>
        <w:spacing w:beforeLines="0" w:afterLines="0" w:line="288" w:lineRule="auto"/>
        <w:ind w:left="0" w:firstLine="0"/>
      </w:pPr>
      <w:r>
        <w:t>Responsabilizar-se pelo cumprimento das condições acordadas, incluindo o atendimento aos requisitos técnicos, de qualidade e quantidade dos produtos.</w:t>
      </w:r>
    </w:p>
    <w:p w14:paraId="3689A86F">
      <w:pPr>
        <w:pStyle w:val="12"/>
        <w:numPr>
          <w:ilvl w:val="1"/>
          <w:numId w:val="3"/>
        </w:numPr>
        <w:spacing w:beforeLines="0" w:afterLines="0" w:line="288" w:lineRule="auto"/>
        <w:ind w:left="0" w:firstLine="0"/>
      </w:pPr>
      <w:r>
        <w:t>Estar preparado para atender às emergências de fornecimento, garantindo a disponibilidade de medicamentos e materiais de penso essenciais para situações imprevistas ou urgentes.</w:t>
      </w:r>
    </w:p>
    <w:p w14:paraId="70FCF616">
      <w:pPr>
        <w:pStyle w:val="12"/>
        <w:numPr>
          <w:ilvl w:val="1"/>
          <w:numId w:val="3"/>
        </w:numPr>
        <w:spacing w:beforeLines="0" w:afterLines="0" w:line="288" w:lineRule="auto"/>
        <w:ind w:left="0" w:firstLine="0"/>
      </w:pPr>
      <w:r>
        <w:t xml:space="preserve">Cumprir outras obrigações previstas no Código de Proteção e Defesa do Consumidor que sejam compatíveis com o regime de direito público; </w:t>
      </w:r>
    </w:p>
    <w:p w14:paraId="0FA21307">
      <w:pPr>
        <w:pStyle w:val="12"/>
        <w:numPr>
          <w:ilvl w:val="1"/>
          <w:numId w:val="3"/>
        </w:numPr>
        <w:spacing w:beforeLines="0" w:afterLines="0" w:line="288" w:lineRule="auto"/>
        <w:ind w:left="0" w:firstLine="0"/>
      </w:pPr>
      <w:r>
        <w:t xml:space="preserve"> Responder, integralmente, por perdas e danos que vier a causar a este Município ou a terceiros em razão de ação ou omissão, dolosa ou culposa, sua ou dos seus prepostos, independentemente de outras cominações contratuais ou legais a que estiver sujeita; </w:t>
      </w:r>
    </w:p>
    <w:p w14:paraId="2D2146E1">
      <w:pPr>
        <w:pStyle w:val="12"/>
        <w:numPr>
          <w:ilvl w:val="1"/>
          <w:numId w:val="3"/>
        </w:numPr>
        <w:spacing w:beforeLines="0" w:afterLines="0" w:line="288" w:lineRule="auto"/>
        <w:ind w:left="0" w:firstLine="0"/>
      </w:pPr>
      <w: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1BF6572E">
      <w:pPr>
        <w:pStyle w:val="12"/>
        <w:numPr>
          <w:ilvl w:val="1"/>
          <w:numId w:val="3"/>
        </w:numPr>
        <w:spacing w:beforeLines="0" w:afterLines="0" w:line="288" w:lineRule="auto"/>
        <w:ind w:left="0" w:firstLine="0"/>
      </w:pPr>
      <w:r>
        <w:t xml:space="preserve">Responsabilizar-se pelas despesas dos tributos, encargos trabalhistas, previdenciários, fiscais, comerciais, taxas, fretes, seguros, deslocamento de pessoal, bem como fornecer aos seus colaboradores, se for necessário Equipamentos de Proteção Individuais (EPIs), prestação de garantia e quaisquer outras que incidam ou venham a incidir na execução do contrato; </w:t>
      </w:r>
    </w:p>
    <w:p w14:paraId="6893972E">
      <w:pPr>
        <w:pStyle w:val="12"/>
        <w:numPr>
          <w:ilvl w:val="1"/>
          <w:numId w:val="3"/>
        </w:numPr>
        <w:spacing w:beforeLines="0" w:afterLines="0" w:line="288" w:lineRule="auto"/>
        <w:ind w:left="0" w:firstLine="0"/>
      </w:pPr>
      <w:r>
        <w:t xml:space="preserve">A inadimplência com referência aos encargos e obrigações estabelecidos não transfere ao Município de Andaraí, a responsabilidade pelo seu pagamento, nem poderá onerar o fornecimento, razão pela qual a Empresa Vencedora renuncia expressamente a qualquer vínculo de solidariedade, ativa ou passiva, com a Contratante; </w:t>
      </w:r>
    </w:p>
    <w:p w14:paraId="169BC4BB">
      <w:pPr>
        <w:pStyle w:val="12"/>
        <w:numPr>
          <w:ilvl w:val="1"/>
          <w:numId w:val="3"/>
        </w:numPr>
        <w:spacing w:beforeLines="0" w:afterLines="0" w:line="288" w:lineRule="auto"/>
        <w:ind w:left="0" w:firstLine="0"/>
      </w:pPr>
      <w:r>
        <w:t xml:space="preserve">Quando for o caso, assumir a responsabilidade por todas as providências e obrigações estabelecidas na legislação de acidentes de trabalho, quando em ocorrência da espécie forem vítimas as suas empregados no desempenho de alguma atividade pertinente ao fornecimento ou em conexão ou contingência, na forma como a expressão; </w:t>
      </w:r>
    </w:p>
    <w:p w14:paraId="0A7C00D6">
      <w:pPr>
        <w:pStyle w:val="12"/>
        <w:numPr>
          <w:ilvl w:val="1"/>
          <w:numId w:val="3"/>
        </w:numPr>
        <w:spacing w:beforeLines="0" w:afterLines="0" w:line="288" w:lineRule="auto"/>
        <w:ind w:left="0" w:firstLine="0"/>
      </w:pPr>
      <w:r>
        <w:t xml:space="preserve"> Organizar tecnicamente e administrativamente de modo a cumprir com eficiência as obrigações assumidas.</w:t>
      </w:r>
    </w:p>
    <w:p w14:paraId="042398DF">
      <w:pPr>
        <w:pStyle w:val="10"/>
        <w:numPr>
          <w:ilvl w:val="0"/>
          <w:numId w:val="2"/>
        </w:numPr>
        <w:spacing w:before="120" w:after="120" w:line="288" w:lineRule="auto"/>
        <w:rPr>
          <w:b/>
        </w:rPr>
      </w:pPr>
      <w:r>
        <w:rPr>
          <w:b/>
        </w:rPr>
        <w:t>CLÁUSULA DÉCIMA PRIMEIRA– GARANTIA DA EXECUÇÃO</w:t>
      </w:r>
    </w:p>
    <w:p w14:paraId="7C7DFF7D">
      <w:pPr>
        <w:pStyle w:val="12"/>
        <w:numPr>
          <w:ilvl w:val="1"/>
          <w:numId w:val="3"/>
        </w:numPr>
        <w:spacing w:before="120" w:beforeLines="0" w:after="120" w:afterLines="0" w:line="288" w:lineRule="auto"/>
        <w:ind w:left="0" w:firstLine="0"/>
      </w:pPr>
      <w:r>
        <w:t>GARANTIA DE EXECUÇÃO:</w:t>
      </w:r>
    </w:p>
    <w:p w14:paraId="13E792B0">
      <w:pPr>
        <w:pStyle w:val="25"/>
        <w:numPr>
          <w:ilvl w:val="2"/>
          <w:numId w:val="3"/>
        </w:numPr>
        <w:pBdr>
          <w:top w:val="none" w:color="auto" w:sz="0" w:space="0"/>
          <w:left w:val="none" w:color="auto" w:sz="0" w:space="0"/>
          <w:bottom w:val="none" w:color="auto" w:sz="0" w:space="0"/>
          <w:right w:val="none" w:color="auto" w:sz="0" w:space="0"/>
          <w:between w:val="none" w:color="auto" w:sz="0" w:space="0"/>
        </w:pBdr>
        <w:spacing w:before="120" w:after="120" w:line="288" w:lineRule="auto"/>
        <w:ind w:left="1843" w:firstLine="0"/>
        <w:jc w:val="both"/>
        <w:rPr>
          <w:sz w:val="20"/>
          <w:szCs w:val="20"/>
        </w:rPr>
      </w:pPr>
      <w:r>
        <w:rPr>
          <w:sz w:val="20"/>
          <w:szCs w:val="20"/>
        </w:rPr>
        <w:t>Não haverá exigência de garantia contratual da execução.</w:t>
      </w:r>
    </w:p>
    <w:p w14:paraId="5A0EA82D">
      <w:pPr>
        <w:pStyle w:val="25"/>
        <w:numPr>
          <w:ilvl w:val="2"/>
          <w:numId w:val="3"/>
        </w:numPr>
        <w:pBdr>
          <w:top w:val="none" w:color="auto" w:sz="0" w:space="0"/>
          <w:left w:val="none" w:color="auto" w:sz="0" w:space="0"/>
          <w:bottom w:val="none" w:color="auto" w:sz="0" w:space="0"/>
          <w:right w:val="none" w:color="auto" w:sz="0" w:space="0"/>
          <w:between w:val="none" w:color="auto" w:sz="0" w:space="0"/>
        </w:pBdr>
        <w:spacing w:before="120" w:after="120" w:line="288" w:lineRule="auto"/>
        <w:ind w:left="1843" w:firstLine="0"/>
        <w:jc w:val="both"/>
      </w:pPr>
      <w:r>
        <w:rPr>
          <w:sz w:val="20"/>
          <w:szCs w:val="20"/>
        </w:rPr>
        <w:t xml:space="preserve">A garantia de execução é independente de eventual garantia do produto prevista especificamente no Termo de Referência. </w:t>
      </w:r>
    </w:p>
    <w:p w14:paraId="029AA407">
      <w:pPr>
        <w:pStyle w:val="12"/>
        <w:spacing w:before="120" w:beforeLines="0" w:after="120" w:afterLines="0" w:line="288" w:lineRule="auto"/>
        <w:ind w:firstLine="0"/>
      </w:pPr>
    </w:p>
    <w:p w14:paraId="2B29EA8F">
      <w:pPr>
        <w:pStyle w:val="10"/>
        <w:numPr>
          <w:ilvl w:val="0"/>
          <w:numId w:val="2"/>
        </w:numPr>
        <w:spacing w:before="120" w:after="120" w:line="288" w:lineRule="auto"/>
        <w:rPr>
          <w:b/>
          <w:color w:val="FF0000"/>
        </w:rPr>
      </w:pPr>
      <w:r>
        <w:rPr>
          <w:b/>
        </w:rPr>
        <w:t>CLÁUSULA DÉCIMA SEGUNDA – INFRAÇÕES E SANÇÕES ADMINISTRATIVAS</w:t>
      </w:r>
    </w:p>
    <w:p w14:paraId="35BC43B9">
      <w:pPr>
        <w:pStyle w:val="12"/>
        <w:numPr>
          <w:ilvl w:val="1"/>
          <w:numId w:val="3"/>
        </w:numPr>
        <w:spacing w:beforeLines="0" w:afterLines="0" w:line="288" w:lineRule="auto"/>
        <w:ind w:left="0" w:firstLine="0"/>
      </w:pPr>
      <w:r>
        <w:t>A licitante vencedora e/ou contratada que descumprir quaisquer das cláusulas ou condições do presente Edital, Termo de Referência, Minuta Contratual e Ata de Registro de Preços, ficará sujeito às penalidades previstas na Lei nº 14.133/2021 (Título IV – Das Irregularidades).</w:t>
      </w:r>
    </w:p>
    <w:p w14:paraId="12BD0AD5">
      <w:pPr>
        <w:pStyle w:val="25"/>
        <w:numPr>
          <w:ilvl w:val="2"/>
          <w:numId w:val="3"/>
        </w:numPr>
        <w:pBdr>
          <w:top w:val="none" w:color="auto" w:sz="0" w:space="0"/>
          <w:left w:val="none" w:color="auto" w:sz="0" w:space="0"/>
          <w:bottom w:val="none" w:color="auto" w:sz="0" w:space="0"/>
          <w:right w:val="none" w:color="auto" w:sz="0" w:space="0"/>
          <w:between w:val="none" w:color="auto" w:sz="0" w:space="0"/>
        </w:pBdr>
        <w:spacing w:before="120" w:after="120" w:line="288" w:lineRule="auto"/>
        <w:ind w:left="1843" w:firstLine="0"/>
        <w:jc w:val="both"/>
        <w:rPr>
          <w:sz w:val="20"/>
          <w:szCs w:val="20"/>
        </w:rPr>
      </w:pPr>
      <w:r>
        <w:rPr>
          <w:sz w:val="20"/>
          <w:szCs w:val="20"/>
        </w:rPr>
        <w:t>Serão ainda aplicadas ao responsável pelas infrações administrativas previstas na Lei 14.133/2021 as seguintes sanções:</w:t>
      </w:r>
    </w:p>
    <w:p w14:paraId="11DAB766">
      <w:pPr>
        <w:pStyle w:val="25"/>
        <w:numPr>
          <w:ilvl w:val="0"/>
          <w:numId w:val="5"/>
        </w:numPr>
        <w:pBdr>
          <w:top w:val="none" w:color="auto" w:sz="0" w:space="0"/>
          <w:left w:val="none" w:color="auto" w:sz="0" w:space="0"/>
          <w:bottom w:val="none" w:color="auto" w:sz="0" w:space="0"/>
          <w:right w:val="none" w:color="auto" w:sz="0" w:space="0"/>
          <w:between w:val="none" w:color="auto" w:sz="0" w:space="0"/>
        </w:pBdr>
        <w:spacing w:before="120" w:after="120" w:line="288" w:lineRule="auto"/>
        <w:jc w:val="both"/>
        <w:rPr>
          <w:sz w:val="20"/>
          <w:szCs w:val="20"/>
        </w:rPr>
      </w:pPr>
      <w:r>
        <w:rPr>
          <w:sz w:val="20"/>
          <w:szCs w:val="20"/>
        </w:rPr>
        <w:t>Impedimento de licitar e contratar quando:</w:t>
      </w:r>
    </w:p>
    <w:p w14:paraId="60D99A0D">
      <w:pPr>
        <w:pStyle w:val="25"/>
        <w:numPr>
          <w:ilvl w:val="0"/>
          <w:numId w:val="5"/>
        </w:numPr>
        <w:pBdr>
          <w:top w:val="none" w:color="auto" w:sz="0" w:space="0"/>
          <w:left w:val="none" w:color="auto" w:sz="0" w:space="0"/>
          <w:bottom w:val="none" w:color="auto" w:sz="0" w:space="0"/>
          <w:right w:val="none" w:color="auto" w:sz="0" w:space="0"/>
          <w:between w:val="none" w:color="auto" w:sz="0" w:space="0"/>
        </w:pBdr>
        <w:spacing w:before="120" w:after="120" w:line="288" w:lineRule="auto"/>
        <w:jc w:val="both"/>
        <w:rPr>
          <w:sz w:val="20"/>
          <w:szCs w:val="20"/>
        </w:rPr>
      </w:pPr>
      <w:r>
        <w:rPr>
          <w:sz w:val="20"/>
          <w:szCs w:val="20"/>
        </w:rPr>
        <w:t xml:space="preserve">deixar de entregar a documentação exigida para o certame; </w:t>
      </w:r>
    </w:p>
    <w:p w14:paraId="3842B72C">
      <w:pPr>
        <w:pStyle w:val="25"/>
        <w:numPr>
          <w:ilvl w:val="0"/>
          <w:numId w:val="5"/>
        </w:numPr>
        <w:pBdr>
          <w:top w:val="none" w:color="auto" w:sz="0" w:space="0"/>
          <w:left w:val="none" w:color="auto" w:sz="0" w:space="0"/>
          <w:bottom w:val="none" w:color="auto" w:sz="0" w:space="0"/>
          <w:right w:val="none" w:color="auto" w:sz="0" w:space="0"/>
          <w:between w:val="none" w:color="auto" w:sz="0" w:space="0"/>
        </w:pBdr>
        <w:spacing w:before="120" w:after="120" w:line="288" w:lineRule="auto"/>
        <w:jc w:val="both"/>
        <w:rPr>
          <w:sz w:val="20"/>
          <w:szCs w:val="20"/>
        </w:rPr>
      </w:pPr>
      <w:r>
        <w:rPr>
          <w:sz w:val="20"/>
          <w:szCs w:val="20"/>
        </w:rPr>
        <w:t xml:space="preserve">não manter a proposta, salvo em decorrência de fato superveniente devidamente justificado; </w:t>
      </w:r>
    </w:p>
    <w:p w14:paraId="46C964C1">
      <w:pPr>
        <w:pStyle w:val="25"/>
        <w:numPr>
          <w:ilvl w:val="0"/>
          <w:numId w:val="5"/>
        </w:numPr>
        <w:pBdr>
          <w:top w:val="none" w:color="auto" w:sz="0" w:space="0"/>
          <w:left w:val="none" w:color="auto" w:sz="0" w:space="0"/>
          <w:bottom w:val="none" w:color="auto" w:sz="0" w:space="0"/>
          <w:right w:val="none" w:color="auto" w:sz="0" w:space="0"/>
          <w:between w:val="none" w:color="auto" w:sz="0" w:space="0"/>
        </w:pBdr>
        <w:spacing w:before="120" w:after="120" w:line="288" w:lineRule="auto"/>
        <w:jc w:val="both"/>
        <w:rPr>
          <w:sz w:val="20"/>
          <w:szCs w:val="20"/>
        </w:rPr>
      </w:pPr>
      <w:r>
        <w:rPr>
          <w:sz w:val="20"/>
          <w:szCs w:val="20"/>
        </w:rPr>
        <w:t xml:space="preserve">não celebrar o contrato, ou aceitar ou retirar o instrumento equivalente ou não entregar a documentação exigida para a contratação, quando convocado dentro do prazo de validade de sua proposta; </w:t>
      </w:r>
    </w:p>
    <w:p w14:paraId="55D5D249">
      <w:pPr>
        <w:pStyle w:val="25"/>
        <w:numPr>
          <w:ilvl w:val="0"/>
          <w:numId w:val="5"/>
        </w:numPr>
        <w:pBdr>
          <w:top w:val="none" w:color="auto" w:sz="0" w:space="0"/>
          <w:left w:val="none" w:color="auto" w:sz="0" w:space="0"/>
          <w:bottom w:val="none" w:color="auto" w:sz="0" w:space="0"/>
          <w:right w:val="none" w:color="auto" w:sz="0" w:space="0"/>
          <w:between w:val="none" w:color="auto" w:sz="0" w:space="0"/>
        </w:pBdr>
        <w:spacing w:before="120" w:after="120" w:line="288" w:lineRule="auto"/>
        <w:jc w:val="both"/>
        <w:rPr>
          <w:sz w:val="20"/>
          <w:szCs w:val="20"/>
        </w:rPr>
      </w:pPr>
      <w:r>
        <w:rPr>
          <w:sz w:val="20"/>
          <w:szCs w:val="20"/>
        </w:rPr>
        <w:t xml:space="preserve">ensejar o retardamento da execução ou da entrega do objeto da licitação sem motivo justificado; </w:t>
      </w:r>
    </w:p>
    <w:p w14:paraId="50DE0610">
      <w:pPr>
        <w:pStyle w:val="25"/>
        <w:numPr>
          <w:ilvl w:val="1"/>
          <w:numId w:val="3"/>
        </w:numPr>
        <w:pBdr>
          <w:top w:val="none" w:color="auto" w:sz="0" w:space="0"/>
          <w:left w:val="none" w:color="auto" w:sz="0" w:space="0"/>
          <w:bottom w:val="none" w:color="auto" w:sz="0" w:space="0"/>
          <w:right w:val="none" w:color="auto" w:sz="0" w:space="0"/>
          <w:between w:val="none" w:color="auto" w:sz="0" w:space="0"/>
        </w:pBdr>
        <w:spacing w:before="120" w:after="120" w:line="288" w:lineRule="auto"/>
        <w:jc w:val="both"/>
        <w:rPr>
          <w:sz w:val="20"/>
          <w:szCs w:val="20"/>
        </w:rPr>
      </w:pPr>
      <w:r>
        <w:rPr>
          <w:sz w:val="20"/>
          <w:szCs w:val="20"/>
        </w:rPr>
        <w:t>Declaração de inidoneidade para licitar ou contratar quando:</w:t>
      </w:r>
    </w:p>
    <w:p w14:paraId="53104F8E">
      <w:pPr>
        <w:pStyle w:val="25"/>
        <w:numPr>
          <w:ilvl w:val="0"/>
          <w:numId w:val="6"/>
        </w:numPr>
        <w:pBdr>
          <w:top w:val="none" w:color="auto" w:sz="0" w:space="0"/>
          <w:left w:val="none" w:color="auto" w:sz="0" w:space="0"/>
          <w:bottom w:val="none" w:color="auto" w:sz="0" w:space="0"/>
          <w:right w:val="none" w:color="auto" w:sz="0" w:space="0"/>
          <w:between w:val="none" w:color="auto" w:sz="0" w:space="0"/>
        </w:pBdr>
        <w:spacing w:before="120" w:after="120" w:line="288" w:lineRule="auto"/>
        <w:ind w:left="1843" w:firstLine="0"/>
        <w:jc w:val="both"/>
        <w:rPr>
          <w:sz w:val="20"/>
          <w:szCs w:val="20"/>
        </w:rPr>
      </w:pPr>
      <w:r>
        <w:rPr>
          <w:sz w:val="20"/>
          <w:szCs w:val="20"/>
        </w:rPr>
        <w:t>apresentar declaração ou documentação falsa exigida para o certame ou prestar declaração falsa durante a licitação ou a execução do contrato/ata;</w:t>
      </w:r>
    </w:p>
    <w:p w14:paraId="72ECEC02">
      <w:pPr>
        <w:pStyle w:val="25"/>
        <w:numPr>
          <w:ilvl w:val="0"/>
          <w:numId w:val="6"/>
        </w:numPr>
        <w:pBdr>
          <w:top w:val="none" w:color="auto" w:sz="0" w:space="0"/>
          <w:left w:val="none" w:color="auto" w:sz="0" w:space="0"/>
          <w:bottom w:val="none" w:color="auto" w:sz="0" w:space="0"/>
          <w:right w:val="none" w:color="auto" w:sz="0" w:space="0"/>
          <w:between w:val="none" w:color="auto" w:sz="0" w:space="0"/>
        </w:pBdr>
        <w:spacing w:before="120" w:after="120" w:line="288" w:lineRule="auto"/>
        <w:ind w:left="1843" w:firstLine="0"/>
        <w:jc w:val="both"/>
        <w:rPr>
          <w:sz w:val="20"/>
          <w:szCs w:val="20"/>
        </w:rPr>
      </w:pPr>
      <w:r>
        <w:rPr>
          <w:sz w:val="20"/>
          <w:szCs w:val="20"/>
        </w:rPr>
        <w:t xml:space="preserve"> fraudar a licitação ou praticar ato fraudulento na execução do contrato/ata;</w:t>
      </w:r>
    </w:p>
    <w:p w14:paraId="37622978">
      <w:pPr>
        <w:pStyle w:val="25"/>
        <w:numPr>
          <w:ilvl w:val="0"/>
          <w:numId w:val="6"/>
        </w:numPr>
        <w:pBdr>
          <w:top w:val="none" w:color="auto" w:sz="0" w:space="0"/>
          <w:left w:val="none" w:color="auto" w:sz="0" w:space="0"/>
          <w:bottom w:val="none" w:color="auto" w:sz="0" w:space="0"/>
          <w:right w:val="none" w:color="auto" w:sz="0" w:space="0"/>
          <w:between w:val="none" w:color="auto" w:sz="0" w:space="0"/>
        </w:pBdr>
        <w:spacing w:before="120" w:after="120" w:line="288" w:lineRule="auto"/>
        <w:ind w:left="1843" w:firstLine="0"/>
        <w:jc w:val="both"/>
        <w:rPr>
          <w:sz w:val="20"/>
          <w:szCs w:val="20"/>
        </w:rPr>
      </w:pPr>
      <w:r>
        <w:rPr>
          <w:sz w:val="20"/>
          <w:szCs w:val="20"/>
        </w:rPr>
        <w:t xml:space="preserve"> comportar-se de modo inidôneo ou cometer fraude de qualquer natureza; </w:t>
      </w:r>
    </w:p>
    <w:p w14:paraId="71891F27">
      <w:pPr>
        <w:pStyle w:val="25"/>
        <w:numPr>
          <w:ilvl w:val="0"/>
          <w:numId w:val="6"/>
        </w:numPr>
        <w:pBdr>
          <w:top w:val="none" w:color="auto" w:sz="0" w:space="0"/>
          <w:left w:val="none" w:color="auto" w:sz="0" w:space="0"/>
          <w:bottom w:val="none" w:color="auto" w:sz="0" w:space="0"/>
          <w:right w:val="none" w:color="auto" w:sz="0" w:space="0"/>
          <w:between w:val="none" w:color="auto" w:sz="0" w:space="0"/>
        </w:pBdr>
        <w:spacing w:before="120" w:after="120" w:line="288" w:lineRule="auto"/>
        <w:ind w:left="1843" w:firstLine="0"/>
        <w:jc w:val="both"/>
        <w:rPr>
          <w:sz w:val="20"/>
          <w:szCs w:val="20"/>
        </w:rPr>
      </w:pPr>
      <w:r>
        <w:rPr>
          <w:sz w:val="20"/>
          <w:szCs w:val="20"/>
        </w:rPr>
        <w:t xml:space="preserve"> praticar atos ilícitos com vistas a frustrar os objetivos da licitação; </w:t>
      </w:r>
    </w:p>
    <w:p w14:paraId="25571BE2">
      <w:pPr>
        <w:pStyle w:val="25"/>
        <w:numPr>
          <w:ilvl w:val="0"/>
          <w:numId w:val="6"/>
        </w:numPr>
        <w:pBdr>
          <w:top w:val="none" w:color="auto" w:sz="0" w:space="0"/>
          <w:left w:val="none" w:color="auto" w:sz="0" w:space="0"/>
          <w:bottom w:val="none" w:color="auto" w:sz="0" w:space="0"/>
          <w:right w:val="none" w:color="auto" w:sz="0" w:space="0"/>
          <w:between w:val="none" w:color="auto" w:sz="0" w:space="0"/>
        </w:pBdr>
        <w:spacing w:before="120" w:after="120" w:line="288" w:lineRule="auto"/>
        <w:ind w:left="1843" w:firstLine="0"/>
        <w:jc w:val="both"/>
        <w:rPr>
          <w:sz w:val="20"/>
          <w:szCs w:val="20"/>
        </w:rPr>
      </w:pPr>
      <w:r>
        <w:rPr>
          <w:sz w:val="20"/>
          <w:szCs w:val="20"/>
        </w:rPr>
        <w:t>praticar ato lesivo previsto no art. 5º da Lei nº 12.846, de 1º de agosto de 2013.</w:t>
      </w:r>
    </w:p>
    <w:p w14:paraId="7552FB05">
      <w:pPr>
        <w:pStyle w:val="10"/>
        <w:numPr>
          <w:ilvl w:val="0"/>
          <w:numId w:val="2"/>
        </w:numPr>
        <w:spacing w:before="120" w:after="120" w:line="288" w:lineRule="auto"/>
        <w:rPr>
          <w:b/>
        </w:rPr>
      </w:pPr>
      <w:r>
        <w:rPr>
          <w:b/>
        </w:rPr>
        <w:t xml:space="preserve">CLÁUSULA DÉCIMA TERCEIRA - DA EXTINÇÃO CONTRATUAL </w:t>
      </w:r>
    </w:p>
    <w:p w14:paraId="62FC3335">
      <w:pPr>
        <w:pStyle w:val="12"/>
        <w:numPr>
          <w:ilvl w:val="1"/>
          <w:numId w:val="2"/>
        </w:numPr>
        <w:spacing w:beforeLines="0" w:afterLines="0" w:line="288" w:lineRule="auto"/>
        <w:ind w:left="0" w:hanging="6"/>
      </w:pPr>
      <w:r>
        <w:t>O contrato será extinto quando vencido o prazo nele estipulado, independentemente de terem sido cumpridas ou não as obrigações de ambas as partes contraentes.</w:t>
      </w:r>
    </w:p>
    <w:p w14:paraId="5D6BDB88">
      <w:pPr>
        <w:pStyle w:val="13"/>
        <w:numPr>
          <w:ilvl w:val="2"/>
          <w:numId w:val="2"/>
        </w:numPr>
        <w:spacing w:line="288" w:lineRule="auto"/>
        <w:ind w:left="0" w:firstLine="0"/>
        <w:rPr>
          <w:color w:val="auto"/>
        </w:rPr>
      </w:pPr>
      <w:r>
        <w:rPr>
          <w:color w:val="auto"/>
        </w:rPr>
        <w:t>O contrato poderá ser extinto antes do prazo nele fixado, sem ônus para o Contratante, quando este não dispuser de créditos orçamentários para sua continuidade ou quando entender que o contrato não mais lhe oferece vantagem.</w:t>
      </w:r>
    </w:p>
    <w:p w14:paraId="0871F33A">
      <w:pPr>
        <w:pStyle w:val="13"/>
        <w:numPr>
          <w:ilvl w:val="2"/>
          <w:numId w:val="2"/>
        </w:numPr>
        <w:spacing w:line="288" w:lineRule="auto"/>
        <w:ind w:left="0" w:firstLine="0"/>
        <w:rPr>
          <w:color w:val="auto"/>
        </w:rPr>
      </w:pPr>
      <w:r>
        <w:rPr>
          <w:color w:val="auto"/>
        </w:rPr>
        <w:t>A extinção nesta hipótese ocorrerá na próxima data de aniversário do contrato, desde que haja a notificação do contratado pelo contratante nesse sentido com pelo menos 2 (dois) meses de antecedência desse dia.</w:t>
      </w:r>
    </w:p>
    <w:p w14:paraId="493A4BF9">
      <w:pPr>
        <w:pStyle w:val="13"/>
        <w:numPr>
          <w:ilvl w:val="2"/>
          <w:numId w:val="2"/>
        </w:numPr>
        <w:spacing w:line="288" w:lineRule="auto"/>
        <w:ind w:left="0" w:firstLine="0"/>
        <w:rPr>
          <w:color w:val="auto"/>
        </w:rPr>
      </w:pPr>
      <w:r>
        <w:rPr>
          <w:color w:val="auto"/>
        </w:rPr>
        <w:t>Caso a notificação da não-continuidade do contrato de que trata este subitem ocorra com menos de 2 (dois) meses da data de aniversário, a extinção contratual ocorrerá após 2 (dois) meses da data da comunicação.</w:t>
      </w:r>
    </w:p>
    <w:p w14:paraId="3414C00D">
      <w:pPr>
        <w:pStyle w:val="12"/>
        <w:numPr>
          <w:ilvl w:val="1"/>
          <w:numId w:val="2"/>
        </w:numPr>
        <w:tabs>
          <w:tab w:val="left" w:pos="426"/>
        </w:tabs>
        <w:spacing w:beforeLines="0" w:afterLines="0" w:line="288" w:lineRule="auto"/>
        <w:ind w:left="0" w:hanging="6"/>
        <w:rPr>
          <w:color w:val="auto"/>
        </w:rPr>
      </w:pPr>
      <w: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5"/>
          <w:color w:val="auto"/>
        </w:rPr>
        <w:t>artigo 137 da Lei nº 14.133/21</w:t>
      </w:r>
      <w:r>
        <w:rPr>
          <w:rStyle w:val="5"/>
          <w:color w:val="auto"/>
        </w:rPr>
        <w:fldChar w:fldCharType="end"/>
      </w:r>
      <w:r>
        <w:rPr>
          <w:color w:val="auto"/>
        </w:rPr>
        <w:t xml:space="preserve">, </w:t>
      </w:r>
      <w:r>
        <w:t>bem como amigavelmente, assegurados o contraditório e a ampla defesa.</w:t>
      </w:r>
    </w:p>
    <w:p w14:paraId="7CF95508">
      <w:pPr>
        <w:pStyle w:val="13"/>
        <w:numPr>
          <w:ilvl w:val="2"/>
          <w:numId w:val="2"/>
        </w:numPr>
        <w:spacing w:line="288" w:lineRule="auto"/>
        <w:ind w:left="0" w:firstLine="0"/>
      </w:pPr>
      <w:r>
        <w:t xml:space="preserve">Nesta hipótese, aplicam-se também os </w:t>
      </w:r>
      <w:r>
        <w:fldChar w:fldCharType="begin"/>
      </w:r>
      <w:r>
        <w:instrText xml:space="preserve"> HYPERLINK "http://www.planalto.gov.br/ccivil_03/_ato2019-2022/2021/lei/L14133.htm" \l "art138" </w:instrText>
      </w:r>
      <w:r>
        <w:fldChar w:fldCharType="separate"/>
      </w:r>
      <w:r>
        <w:rPr>
          <w:rStyle w:val="5"/>
          <w:color w:val="auto"/>
        </w:rPr>
        <w:t>artigos 138 e 139 da mesma Lei</w:t>
      </w:r>
      <w:r>
        <w:rPr>
          <w:rStyle w:val="5"/>
          <w:color w:val="auto"/>
        </w:rPr>
        <w:fldChar w:fldCharType="end"/>
      </w:r>
      <w:r>
        <w:rPr>
          <w:color w:val="auto"/>
        </w:rPr>
        <w:t>.</w:t>
      </w:r>
    </w:p>
    <w:p w14:paraId="5445F0E6">
      <w:pPr>
        <w:pStyle w:val="13"/>
        <w:numPr>
          <w:ilvl w:val="2"/>
          <w:numId w:val="2"/>
        </w:numPr>
        <w:spacing w:line="288" w:lineRule="auto"/>
        <w:ind w:left="0" w:firstLine="0"/>
      </w:pPr>
      <w:r>
        <w:t>A alteração social ou a modificação da finalidade ou da estrutura da empresa não ensejará a extinção se não restringir sua capacidade de concluir o contrato.</w:t>
      </w:r>
    </w:p>
    <w:p w14:paraId="340F66E0">
      <w:pPr>
        <w:pStyle w:val="14"/>
        <w:numPr>
          <w:ilvl w:val="3"/>
          <w:numId w:val="2"/>
        </w:numPr>
        <w:tabs>
          <w:tab w:val="left" w:pos="426"/>
          <w:tab w:val="left" w:pos="709"/>
          <w:tab w:val="left" w:pos="851"/>
        </w:tabs>
        <w:spacing w:line="288" w:lineRule="auto"/>
        <w:ind w:left="0" w:firstLine="0"/>
      </w:pPr>
      <w:r>
        <w:rPr>
          <w:color w:val="000000"/>
        </w:rPr>
        <w:t xml:space="preserve">Se a </w:t>
      </w:r>
      <w:r>
        <w:t>operação implicar mudança da pessoa jurídica contratada, deverá ser formalizado termo aditivo para alteração subjetiva.</w:t>
      </w:r>
    </w:p>
    <w:p w14:paraId="04733E78">
      <w:pPr>
        <w:pStyle w:val="12"/>
        <w:numPr>
          <w:ilvl w:val="1"/>
          <w:numId w:val="2"/>
        </w:numPr>
        <w:tabs>
          <w:tab w:val="left" w:pos="567"/>
        </w:tabs>
        <w:spacing w:beforeLines="0" w:afterLines="0" w:line="288" w:lineRule="auto"/>
        <w:ind w:left="0" w:firstLine="0"/>
      </w:pPr>
      <w:r>
        <w:t>O termo de extinção, sempre que possível, será precedido:</w:t>
      </w:r>
    </w:p>
    <w:p w14:paraId="57554DD1">
      <w:pPr>
        <w:pStyle w:val="13"/>
        <w:numPr>
          <w:ilvl w:val="2"/>
          <w:numId w:val="2"/>
        </w:numPr>
        <w:spacing w:line="288" w:lineRule="auto"/>
        <w:ind w:left="0" w:firstLine="0"/>
      </w:pPr>
      <w:r>
        <w:t>Balanço dos eventos contratuais já cumpridos ou parcialmente cumpridos;</w:t>
      </w:r>
    </w:p>
    <w:p w14:paraId="5970868E">
      <w:pPr>
        <w:pStyle w:val="13"/>
        <w:numPr>
          <w:ilvl w:val="2"/>
          <w:numId w:val="2"/>
        </w:numPr>
        <w:spacing w:line="288" w:lineRule="auto"/>
        <w:ind w:left="0" w:firstLine="0"/>
      </w:pPr>
      <w:r>
        <w:t>Relação dos pagamentos já efetuados e ainda devidos;</w:t>
      </w:r>
    </w:p>
    <w:p w14:paraId="55200136">
      <w:pPr>
        <w:pStyle w:val="13"/>
        <w:numPr>
          <w:ilvl w:val="2"/>
          <w:numId w:val="2"/>
        </w:numPr>
        <w:spacing w:line="288" w:lineRule="auto"/>
        <w:ind w:left="0" w:firstLine="0"/>
      </w:pPr>
      <w:r>
        <w:t>Indenizações e multas.</w:t>
      </w:r>
    </w:p>
    <w:p w14:paraId="51817A2D">
      <w:pPr>
        <w:pStyle w:val="12"/>
        <w:numPr>
          <w:ilvl w:val="1"/>
          <w:numId w:val="2"/>
        </w:numPr>
        <w:spacing w:beforeLines="0" w:afterLines="0" w:line="288" w:lineRule="auto"/>
        <w:ind w:left="0" w:firstLine="0"/>
        <w:rPr>
          <w:color w:val="auto"/>
        </w:rPr>
      </w:pPr>
      <w:r>
        <w:t xml:space="preserve">A extinção do contrato não configura óbice para o reconhecimento do desequilíbrio econômico-financeiro, hipótese em que será concedida indenização por meio de termo indenizatório </w:t>
      </w:r>
      <w:r>
        <w:rPr>
          <w:color w:val="auto"/>
        </w:rPr>
        <w:t>(</w:t>
      </w:r>
      <w:r>
        <w:fldChar w:fldCharType="begin"/>
      </w:r>
      <w:r>
        <w:instrText xml:space="preserve"> HYPERLINK "http://www.planalto.gov.br/ccivil_03/_ato2019-2022/2021/lei/L14133.htm" \l "art131" </w:instrText>
      </w:r>
      <w:r>
        <w:fldChar w:fldCharType="separate"/>
      </w:r>
      <w:r>
        <w:rPr>
          <w:rStyle w:val="5"/>
          <w:color w:val="auto"/>
        </w:rPr>
        <w:t xml:space="preserve">art. 131, </w:t>
      </w:r>
      <w:r>
        <w:rPr>
          <w:rStyle w:val="5"/>
          <w:i/>
          <w:iCs/>
          <w:color w:val="auto"/>
        </w:rPr>
        <w:t xml:space="preserve">caput, </w:t>
      </w:r>
      <w:r>
        <w:rPr>
          <w:rStyle w:val="5"/>
          <w:color w:val="auto"/>
        </w:rPr>
        <w:t>da Lei n.º 14.133, de 2021</w:t>
      </w:r>
      <w:r>
        <w:rPr>
          <w:rStyle w:val="5"/>
          <w:color w:val="auto"/>
        </w:rPr>
        <w:fldChar w:fldCharType="end"/>
      </w:r>
      <w:r>
        <w:rPr>
          <w:color w:val="auto"/>
        </w:rPr>
        <w:t xml:space="preserve">). </w:t>
      </w:r>
    </w:p>
    <w:p w14:paraId="557A24C4">
      <w:pPr>
        <w:pStyle w:val="12"/>
        <w:numPr>
          <w:ilvl w:val="1"/>
          <w:numId w:val="2"/>
        </w:numPr>
        <w:spacing w:beforeLines="0" w:afterLines="0" w:line="288" w:lineRule="auto"/>
        <w:ind w:left="0" w:firstLine="0"/>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D27931">
      <w:pPr>
        <w:pStyle w:val="10"/>
        <w:numPr>
          <w:ilvl w:val="0"/>
          <w:numId w:val="2"/>
        </w:numPr>
        <w:spacing w:before="120" w:after="120" w:line="288" w:lineRule="auto"/>
        <w:rPr>
          <w:b/>
        </w:rPr>
      </w:pPr>
      <w:r>
        <w:rPr>
          <w:b/>
        </w:rPr>
        <w:t xml:space="preserve">CLÁUSULA DÉCIMA QUARTA – DOTAÇÃO ORÇAMENTÁRIA </w:t>
      </w:r>
    </w:p>
    <w:p w14:paraId="4C72377A">
      <w:pPr>
        <w:pStyle w:val="12"/>
        <w:numPr>
          <w:ilvl w:val="1"/>
          <w:numId w:val="2"/>
        </w:numPr>
        <w:spacing w:beforeLines="0" w:afterLines="0" w:line="288" w:lineRule="auto"/>
        <w:ind w:left="0" w:firstLine="0"/>
      </w:pPr>
      <w:r>
        <w:t>As despesas decorrentes da presente contratação correrão à conta de recursos específicos consignados no Orçamento da Prefeitura Municipal de Andaraí, na dotação abaixo discriminada:</w:t>
      </w:r>
    </w:p>
    <w:tbl>
      <w:tblPr>
        <w:tblStyle w:val="4"/>
        <w:tblW w:w="0" w:type="auto"/>
        <w:tblInd w:w="515" w:type="dxa"/>
        <w:tblLayout w:type="autofit"/>
        <w:tblCellMar>
          <w:top w:w="0" w:type="dxa"/>
          <w:left w:w="108" w:type="dxa"/>
          <w:bottom w:w="0" w:type="dxa"/>
          <w:right w:w="108" w:type="dxa"/>
        </w:tblCellMar>
      </w:tblPr>
      <w:tblGrid>
        <w:gridCol w:w="1696"/>
        <w:gridCol w:w="3082"/>
        <w:gridCol w:w="1980"/>
        <w:gridCol w:w="1447"/>
      </w:tblGrid>
      <w:tr w14:paraId="7EAB44C9">
        <w:tblPrEx>
          <w:tblCellMar>
            <w:top w:w="0" w:type="dxa"/>
            <w:left w:w="108" w:type="dxa"/>
            <w:bottom w:w="0" w:type="dxa"/>
            <w:right w:w="108" w:type="dxa"/>
          </w:tblCellMar>
        </w:tblPrEx>
        <w:tc>
          <w:tcPr>
            <w:tcW w:w="1696" w:type="dxa"/>
            <w:tcBorders>
              <w:top w:val="single" w:color="000000" w:sz="4" w:space="0"/>
              <w:left w:val="single" w:color="000000" w:sz="4" w:space="0"/>
              <w:bottom w:val="single" w:color="000000" w:sz="4" w:space="0"/>
              <w:right w:val="single" w:color="auto" w:sz="4" w:space="0"/>
            </w:tcBorders>
            <w:shd w:val="clear" w:color="auto" w:fill="A6A6A6"/>
          </w:tcPr>
          <w:p w14:paraId="2B8C8EC4">
            <w:pPr>
              <w:tabs>
                <w:tab w:val="left" w:pos="426"/>
              </w:tabs>
              <w:spacing w:before="120" w:after="120" w:line="288" w:lineRule="auto"/>
              <w:rPr>
                <w:rFonts w:cs="Arial"/>
                <w:sz w:val="18"/>
                <w:szCs w:val="18"/>
              </w:rPr>
            </w:pPr>
            <w:r>
              <w:rPr>
                <w:rFonts w:cs="Arial"/>
                <w:b/>
                <w:bCs/>
                <w:sz w:val="18"/>
                <w:szCs w:val="18"/>
              </w:rPr>
              <w:t>UNIDADE ORÇAMENTÁRIA</w:t>
            </w:r>
          </w:p>
        </w:tc>
        <w:tc>
          <w:tcPr>
            <w:tcW w:w="3082" w:type="dxa"/>
            <w:tcBorders>
              <w:top w:val="single" w:color="000000" w:sz="4" w:space="0"/>
              <w:left w:val="single" w:color="auto" w:sz="4" w:space="0"/>
              <w:bottom w:val="single" w:color="auto" w:sz="4" w:space="0"/>
              <w:right w:val="single" w:color="000000" w:sz="4" w:space="0"/>
            </w:tcBorders>
            <w:shd w:val="clear" w:color="auto" w:fill="A6A6A6"/>
          </w:tcPr>
          <w:p w14:paraId="472841A6">
            <w:pPr>
              <w:tabs>
                <w:tab w:val="left" w:pos="426"/>
              </w:tabs>
              <w:spacing w:before="120" w:after="120" w:line="288" w:lineRule="auto"/>
              <w:rPr>
                <w:rFonts w:cs="Arial"/>
                <w:sz w:val="18"/>
                <w:szCs w:val="18"/>
              </w:rPr>
            </w:pPr>
            <w:r>
              <w:rPr>
                <w:rFonts w:cs="Arial"/>
                <w:b/>
                <w:bCs/>
                <w:sz w:val="18"/>
                <w:szCs w:val="18"/>
              </w:rPr>
              <w:t>AÇÃO</w:t>
            </w:r>
          </w:p>
        </w:tc>
        <w:tc>
          <w:tcPr>
            <w:tcW w:w="1980" w:type="dxa"/>
            <w:tcBorders>
              <w:top w:val="single" w:color="000000" w:sz="4" w:space="0"/>
              <w:left w:val="single" w:color="000000" w:sz="4" w:space="0"/>
              <w:bottom w:val="single" w:color="000000" w:sz="4" w:space="0"/>
              <w:right w:val="single" w:color="000000" w:sz="4" w:space="0"/>
            </w:tcBorders>
            <w:shd w:val="clear" w:color="auto" w:fill="A6A6A6"/>
          </w:tcPr>
          <w:p w14:paraId="038164BA">
            <w:pPr>
              <w:tabs>
                <w:tab w:val="left" w:pos="426"/>
              </w:tabs>
              <w:spacing w:before="120" w:after="120" w:line="288" w:lineRule="auto"/>
              <w:rPr>
                <w:rFonts w:cs="Arial"/>
                <w:b/>
                <w:bCs/>
                <w:sz w:val="18"/>
                <w:szCs w:val="18"/>
              </w:rPr>
            </w:pPr>
            <w:r>
              <w:rPr>
                <w:rFonts w:cs="Arial"/>
                <w:b/>
                <w:bCs/>
                <w:sz w:val="18"/>
                <w:szCs w:val="18"/>
              </w:rPr>
              <w:t>ELEMENTO DE DESPESA</w:t>
            </w:r>
          </w:p>
        </w:tc>
        <w:tc>
          <w:tcPr>
            <w:tcW w:w="1447" w:type="dxa"/>
            <w:tcBorders>
              <w:top w:val="single" w:color="000000" w:sz="4" w:space="0"/>
              <w:left w:val="single" w:color="000000" w:sz="4" w:space="0"/>
              <w:bottom w:val="single" w:color="000000" w:sz="4" w:space="0"/>
              <w:right w:val="single" w:color="000000" w:sz="4" w:space="0"/>
            </w:tcBorders>
            <w:shd w:val="clear" w:color="auto" w:fill="A6A6A6"/>
          </w:tcPr>
          <w:p w14:paraId="6644AD42">
            <w:pPr>
              <w:tabs>
                <w:tab w:val="left" w:pos="426"/>
              </w:tabs>
              <w:spacing w:before="120" w:after="120" w:line="288" w:lineRule="auto"/>
              <w:rPr>
                <w:rFonts w:cs="Arial"/>
                <w:sz w:val="18"/>
                <w:szCs w:val="18"/>
              </w:rPr>
            </w:pPr>
            <w:r>
              <w:rPr>
                <w:rFonts w:cs="Arial"/>
                <w:b/>
                <w:bCs/>
                <w:sz w:val="18"/>
                <w:szCs w:val="18"/>
              </w:rPr>
              <w:t>FONTE</w:t>
            </w:r>
          </w:p>
        </w:tc>
      </w:tr>
      <w:tr w14:paraId="2C3FE51C">
        <w:tblPrEx>
          <w:tblCellMar>
            <w:top w:w="0" w:type="dxa"/>
            <w:left w:w="108" w:type="dxa"/>
            <w:bottom w:w="0" w:type="dxa"/>
            <w:right w:w="108" w:type="dxa"/>
          </w:tblCellMar>
        </w:tblPrEx>
        <w:trPr>
          <w:trHeight w:val="179" w:hRule="atLeast"/>
        </w:trPr>
        <w:tc>
          <w:tcPr>
            <w:tcW w:w="1696" w:type="dxa"/>
            <w:tcBorders>
              <w:top w:val="single" w:color="000000" w:sz="4" w:space="0"/>
              <w:left w:val="single" w:color="000000" w:sz="4" w:space="0"/>
              <w:bottom w:val="single" w:color="000000" w:sz="4" w:space="0"/>
              <w:right w:val="single" w:color="auto" w:sz="4" w:space="0"/>
            </w:tcBorders>
            <w:shd w:val="clear" w:color="auto" w:fill="auto"/>
          </w:tcPr>
          <w:p w14:paraId="27E82EF1">
            <w:pPr>
              <w:tabs>
                <w:tab w:val="left" w:pos="426"/>
              </w:tabs>
              <w:spacing w:before="120" w:after="120" w:line="288" w:lineRule="auto"/>
              <w:rPr>
                <w:rFonts w:cs="Arial"/>
                <w:sz w:val="20"/>
                <w:szCs w:val="20"/>
              </w:rPr>
            </w:pPr>
          </w:p>
        </w:tc>
        <w:tc>
          <w:tcPr>
            <w:tcW w:w="3082" w:type="dxa"/>
            <w:tcBorders>
              <w:top w:val="single" w:color="auto" w:sz="4" w:space="0"/>
              <w:left w:val="single" w:color="auto" w:sz="4" w:space="0"/>
              <w:bottom w:val="single" w:color="000000" w:sz="4" w:space="0"/>
              <w:right w:val="single" w:color="000000" w:sz="4" w:space="0"/>
            </w:tcBorders>
            <w:shd w:val="clear" w:color="auto" w:fill="auto"/>
          </w:tcPr>
          <w:p w14:paraId="6B8B71DD">
            <w:pPr>
              <w:tabs>
                <w:tab w:val="left" w:pos="426"/>
              </w:tabs>
              <w:spacing w:before="120" w:after="120" w:line="288" w:lineRule="auto"/>
              <w:jc w:val="both"/>
              <w:rPr>
                <w:rFonts w:cs="Arial"/>
                <w:sz w:val="20"/>
                <w:szCs w:val="20"/>
              </w:rPr>
            </w:pPr>
          </w:p>
        </w:tc>
        <w:tc>
          <w:tcPr>
            <w:tcW w:w="1980" w:type="dxa"/>
            <w:tcBorders>
              <w:top w:val="single" w:color="000000" w:sz="4" w:space="0"/>
              <w:left w:val="single" w:color="000000" w:sz="4" w:space="0"/>
              <w:bottom w:val="single" w:color="000000" w:sz="4" w:space="0"/>
              <w:right w:val="single" w:color="000000" w:sz="4" w:space="0"/>
            </w:tcBorders>
          </w:tcPr>
          <w:p w14:paraId="6E24D2AF">
            <w:pPr>
              <w:tabs>
                <w:tab w:val="left" w:pos="426"/>
              </w:tabs>
              <w:spacing w:before="120" w:after="120" w:line="288" w:lineRule="auto"/>
              <w:rPr>
                <w:rFonts w:cs="Arial"/>
                <w:sz w:val="20"/>
                <w:szCs w:val="20"/>
                <w:shd w:val="clear" w:color="auto" w:fill="FFFFFF"/>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tcPr>
          <w:p w14:paraId="5BEFD485">
            <w:pPr>
              <w:tabs>
                <w:tab w:val="left" w:pos="426"/>
              </w:tabs>
              <w:spacing w:before="120" w:after="120" w:line="288" w:lineRule="auto"/>
              <w:rPr>
                <w:rFonts w:cs="Arial"/>
                <w:sz w:val="20"/>
                <w:szCs w:val="20"/>
              </w:rPr>
            </w:pPr>
          </w:p>
        </w:tc>
      </w:tr>
    </w:tbl>
    <w:p w14:paraId="6314BCF3">
      <w:pPr>
        <w:pStyle w:val="12"/>
        <w:spacing w:beforeLines="0" w:afterLines="0" w:line="288" w:lineRule="auto"/>
        <w:ind w:firstLine="0"/>
        <w:jc w:val="center"/>
        <w:rPr>
          <w:color w:val="FF0000"/>
        </w:rPr>
      </w:pPr>
      <w:r>
        <w:rPr>
          <w:color w:val="FF0000"/>
        </w:rPr>
        <w:t>OBS: CONFORME MENCIONANDO NO EDITAL E TERMO DE REFERÊNCIA</w:t>
      </w:r>
    </w:p>
    <w:p w14:paraId="22413A72">
      <w:pPr>
        <w:pStyle w:val="12"/>
        <w:numPr>
          <w:ilvl w:val="1"/>
          <w:numId w:val="2"/>
        </w:numPr>
        <w:spacing w:beforeLines="0" w:afterLines="0" w:line="288" w:lineRule="auto"/>
        <w:ind w:left="0" w:firstLine="0"/>
      </w:pPr>
      <w:r>
        <w:t>A dotação relativa aos exercícios financeiros subsequentes será indicada após aprovação da Lei Orçamentária respectiva e liberação dos créditos correspondentes, mediante apostilamento.</w:t>
      </w:r>
    </w:p>
    <w:p w14:paraId="2342B5DC">
      <w:pPr>
        <w:pStyle w:val="10"/>
        <w:numPr>
          <w:ilvl w:val="0"/>
          <w:numId w:val="2"/>
        </w:numPr>
        <w:spacing w:before="120" w:after="120" w:line="288" w:lineRule="auto"/>
        <w:rPr>
          <w:b/>
        </w:rPr>
      </w:pPr>
      <w:r>
        <w:rPr>
          <w:b/>
        </w:rPr>
        <w:t>CLÁUSULA DÉCIMA QUINTA – DAS ALTERAÇÕES</w:t>
      </w:r>
    </w:p>
    <w:p w14:paraId="5BA63E3F">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O CONTRATADO fica obrigada a aceitar, nas mesmas condições contratuais, os acréscimos ou supressões que se fizerem no objeto contratual, até 25% (vinte e cinco por cento) do valor inicial atualizado do contrato, em conformidade com o estabelecido no art. 125 da Lei n. 14.133/2021.</w:t>
      </w:r>
    </w:p>
    <w:p w14:paraId="21EC0E51">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O presente Contrato poderá ser alterado, com as devidas justificativas, unilateralmente pela Administração, quando:</w:t>
      </w:r>
    </w:p>
    <w:p w14:paraId="61DC5855">
      <w:pPr>
        <w:pStyle w:val="13"/>
        <w:numPr>
          <w:ilvl w:val="2"/>
          <w:numId w:val="2"/>
        </w:numPr>
        <w:pBdr>
          <w:top w:val="none" w:color="auto" w:sz="0" w:space="0"/>
          <w:left w:val="none" w:color="auto" w:sz="0" w:space="0"/>
          <w:bottom w:val="none" w:color="auto" w:sz="0" w:space="0"/>
          <w:right w:val="none" w:color="auto" w:sz="0" w:space="0"/>
          <w:between w:val="none" w:color="auto" w:sz="0" w:space="0"/>
        </w:pBdr>
        <w:spacing w:line="288" w:lineRule="auto"/>
        <w:ind w:left="851" w:firstLine="0"/>
      </w:pPr>
      <w:r>
        <w:t>Existir modificação do projeto ou das especificações, para melhor adequação técnica a seus objetivos;</w:t>
      </w:r>
    </w:p>
    <w:p w14:paraId="7DB7747F">
      <w:pPr>
        <w:pStyle w:val="13"/>
        <w:numPr>
          <w:ilvl w:val="2"/>
          <w:numId w:val="2"/>
        </w:numPr>
        <w:pBdr>
          <w:top w:val="none" w:color="auto" w:sz="0" w:space="0"/>
          <w:left w:val="none" w:color="auto" w:sz="0" w:space="0"/>
          <w:bottom w:val="none" w:color="auto" w:sz="0" w:space="0"/>
          <w:right w:val="none" w:color="auto" w:sz="0" w:space="0"/>
          <w:between w:val="none" w:color="auto" w:sz="0" w:space="0"/>
        </w:pBdr>
        <w:spacing w:line="288" w:lineRule="auto"/>
        <w:ind w:left="851" w:firstLine="0"/>
      </w:pPr>
      <w:r>
        <w:t>Existir necessidade de modificar o valor registrado em decorrência de acréscimo ou diminuição quantitativa de seu objeto, nos limites permitidos pela Lei 14.133/21;</w:t>
      </w:r>
    </w:p>
    <w:p w14:paraId="435709EC">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As alterações qualitativas e quantitativas observarão os requisitos dispostos no art. 124 e seguintes da Lei n° 14.133/2021.</w:t>
      </w:r>
    </w:p>
    <w:p w14:paraId="3DE49AEB">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 de 2021).</w:t>
      </w:r>
    </w:p>
    <w:p w14:paraId="612E9DF7">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t>art. 136 da Lei nº 14.133, de 2021</w:t>
      </w:r>
      <w:r>
        <w:fldChar w:fldCharType="end"/>
      </w:r>
      <w:r>
        <w:t>.</w:t>
      </w:r>
    </w:p>
    <w:p w14:paraId="4A61F6E5">
      <w:pPr>
        <w:pStyle w:val="10"/>
        <w:numPr>
          <w:ilvl w:val="0"/>
          <w:numId w:val="2"/>
        </w:numPr>
        <w:pBdr>
          <w:top w:val="none" w:color="auto" w:sz="0" w:space="0"/>
          <w:left w:val="none" w:color="auto" w:sz="0" w:space="0"/>
          <w:bottom w:val="none" w:color="auto" w:sz="0" w:space="0"/>
          <w:right w:val="none" w:color="auto" w:sz="0" w:space="0"/>
          <w:between w:val="none" w:color="auto" w:sz="0" w:space="0"/>
        </w:pBdr>
        <w:spacing w:before="120" w:after="120" w:line="288" w:lineRule="auto"/>
        <w:rPr>
          <w:b/>
        </w:rPr>
      </w:pPr>
      <w:r>
        <w:rPr>
          <w:b/>
        </w:rPr>
        <w:t xml:space="preserve">CLAUSULA DECIMA SEXTA – DA GESTÃO E FISCALIZAÇÃO DO CONTRATO </w:t>
      </w:r>
    </w:p>
    <w:p w14:paraId="61BAD579">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Constituem obrigações: </w:t>
      </w:r>
    </w:p>
    <w:p w14:paraId="544FB1CB">
      <w:pPr>
        <w:pStyle w:val="12"/>
        <w:pBdr>
          <w:top w:val="none" w:color="auto" w:sz="0" w:space="0"/>
          <w:left w:val="none" w:color="auto" w:sz="0" w:space="0"/>
          <w:bottom w:val="none" w:color="auto" w:sz="0" w:space="0"/>
          <w:right w:val="none" w:color="auto" w:sz="0" w:space="0"/>
          <w:between w:val="none" w:color="auto" w:sz="0" w:space="0"/>
        </w:pBdr>
        <w:spacing w:beforeLines="0" w:afterLines="0" w:line="288" w:lineRule="auto"/>
        <w:ind w:firstLine="0"/>
      </w:pPr>
    </w:p>
    <w:p w14:paraId="7436AD3C">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 xml:space="preserve">A execução do contrato deverá ser acompanhada e fiscalizada pelo fiscal do contrato Sra. </w:t>
      </w:r>
      <w:r>
        <w:rPr>
          <w:b/>
          <w:bCs/>
        </w:rPr>
        <w:t>Samira Cunha Laranjeira</w:t>
      </w:r>
      <w:r>
        <w:t>, ou pelos respectivos substitutos.</w:t>
      </w:r>
    </w:p>
    <w:p w14:paraId="58BC962C">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 xml:space="preserve">Fica designado o </w:t>
      </w:r>
      <w:r>
        <w:rPr>
          <w:b/>
        </w:rPr>
        <w:t>Sr. José Sodré Almeida Junior</w:t>
      </w:r>
      <w:r>
        <w:t xml:space="preserve"> como responsável pela fiscalização técnica do contrato de aquisição de Medicamentos, Materiais Penso e Produtos Saneantes, para atender às demandas da Secretaria Municipal de Saúde.</w:t>
      </w:r>
    </w:p>
    <w:p w14:paraId="34ABF121">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 xml:space="preserve">realizar a gestão da ata, através de servidor especialmente designado </w:t>
      </w:r>
      <w:r>
        <w:rPr>
          <w:b/>
        </w:rPr>
        <w:t xml:space="preserve">Gleica Pereira Chaves dos Anjos </w:t>
      </w:r>
      <w:r>
        <w:t>que exercerá as atribuições compatíveis com a gestão do presente contrato.</w:t>
      </w:r>
    </w:p>
    <w:p w14:paraId="24569D64">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o fiscal e o gestor do Contrato, conforme atribuições, tomarão conhecimento do Contrato e de suas eventuais alterações, com o objetivo de assegurar, quando de seu uso, o correto cumprimento de suas disposições;</w:t>
      </w:r>
    </w:p>
    <w:p w14:paraId="075B5166">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emitir de nota de empenho ou ordem de serviço quando da necessidade da contratação, a fim de gerenciar os respectivos quantitativos no Contrato;</w:t>
      </w:r>
    </w:p>
    <w:p w14:paraId="7C23FFF0">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verificar minuciosamente, no prazo fixado, a conformidade dos serviços executados com as especificações constantes do Edital e da proposta, para fins de aceitação e recebimento definitivo; </w:t>
      </w:r>
    </w:p>
    <w:p w14:paraId="6FB0EC43">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comunicar ao preposto do CONTRATADO, por escrito, sobre imperfeições, falhas ou irregularidades verificadas no objeto contratual, para que sejam promovidas as substituições, reparações ou correções;</w:t>
      </w:r>
    </w:p>
    <w:p w14:paraId="3B240535">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verificar a conformidade das condições registradas perante o mercado, principalmente em relação aos valores praticados e indicar a necessidade da realização do reajuste, de repactuação e da revisão de valores;</w:t>
      </w:r>
    </w:p>
    <w:p w14:paraId="18BAE7F7">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zelar pelos atos relativos ao cumprimento das obrigações assumidas e aplicar, garantida a ampla defesa e o contraditório, as penalidades decorrentes do descumprimento do pactuado no Contrato, edital e anexos;</w:t>
      </w:r>
    </w:p>
    <w:p w14:paraId="6463ECEA">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comunicar a empresa para emissão de Nota Fiscal relativa à parcela incontroversa da execução do objeto, para efeito de liquidação e pagamento, quando houver controvérsia sobre a execução do objeto, quanto à dimensão, qualidade e quantidade;</w:t>
      </w:r>
    </w:p>
    <w:p w14:paraId="17AD9907">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 xml:space="preserve">registrar no Portal Nacional de Contratações Públicas (PNCP), no Tribunal de Contas do Estado da Bahia e no Portal da Transparência do Órgão </w:t>
      </w:r>
      <w:r>
        <w:fldChar w:fldCharType="begin"/>
      </w:r>
      <w:r>
        <w:instrText xml:space="preserve"> HYPERLINK "https://www.pmchapadaforte.transparenciaoficialba.com/diariooficial/" </w:instrText>
      </w:r>
      <w:r>
        <w:fldChar w:fldCharType="separate"/>
      </w:r>
      <w:r>
        <w:rPr>
          <w:rStyle w:val="5"/>
        </w:rPr>
        <w:t>https://www.pmchapadaforte.transparenciaoficialba.com/diariooficial/</w:t>
      </w:r>
      <w:r>
        <w:rPr>
          <w:rStyle w:val="5"/>
        </w:rPr>
        <w:fldChar w:fldCharType="end"/>
      </w:r>
      <w:r>
        <w:t xml:space="preserve"> as eventuais irregularidades detectadas e penalidades aplicadas, após o devido processo legal;</w:t>
      </w:r>
    </w:p>
    <w:p w14:paraId="623A7290">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providenciar as devidas publicações no Portal Nacional de Contratações Públicas (PNCP);</w:t>
      </w:r>
    </w:p>
    <w:p w14:paraId="0ACA5F3C">
      <w:pPr>
        <w:pStyle w:val="12"/>
        <w:numPr>
          <w:ilvl w:val="1"/>
          <w:numId w:val="2"/>
        </w:numPr>
        <w:pBdr>
          <w:top w:val="none" w:color="auto" w:sz="0" w:space="0"/>
          <w:left w:val="none" w:color="auto" w:sz="0" w:space="0"/>
          <w:bottom w:val="none" w:color="auto" w:sz="0" w:space="0"/>
          <w:right w:val="none" w:color="auto" w:sz="0" w:space="0"/>
          <w:between w:val="none" w:color="auto" w:sz="0" w:space="0"/>
        </w:pBdr>
        <w:spacing w:beforeLines="0" w:afterLines="0" w:line="288" w:lineRule="auto"/>
        <w:ind w:left="0" w:firstLine="0"/>
      </w:pPr>
      <w:r>
        <w:t>Órgão não responderá por quaisquer compromissos assumidos pelos fornecedores com terceiros, ainda que vinculados à execução do presente Contrato, bem como por qualquer dano causado a terceiros em decorrência de ações do(s) fornecedor(es), de seus empregados, prepostos ou subordinados</w:t>
      </w:r>
    </w:p>
    <w:p w14:paraId="5E332955">
      <w:pPr>
        <w:pStyle w:val="10"/>
        <w:numPr>
          <w:ilvl w:val="0"/>
          <w:numId w:val="2"/>
        </w:numPr>
        <w:spacing w:before="120" w:after="120" w:line="288" w:lineRule="auto"/>
        <w:rPr>
          <w:b/>
        </w:rPr>
      </w:pPr>
      <w:r>
        <w:rPr>
          <w:b/>
        </w:rPr>
        <w:t xml:space="preserve">CLÁUSULA DÉCIMA SÉTIMA – DOS CASOS OMISSOS </w:t>
      </w:r>
    </w:p>
    <w:p w14:paraId="46D52CE8">
      <w:pPr>
        <w:pStyle w:val="12"/>
        <w:numPr>
          <w:ilvl w:val="1"/>
          <w:numId w:val="2"/>
        </w:numPr>
        <w:tabs>
          <w:tab w:val="left" w:pos="567"/>
        </w:tabs>
        <w:spacing w:beforeLines="0" w:afterLines="0" w:line="288" w:lineRule="auto"/>
        <w:ind w:left="0" w:firstLine="0"/>
        <w:rPr>
          <w:color w:val="auto"/>
        </w:rPr>
      </w:pPr>
      <w:r>
        <w:t xml:space="preserve">Os casos omissos serão decididos pelo contratante, segundo as disposições contidas </w:t>
      </w:r>
      <w:r>
        <w:rPr>
          <w:color w:val="auto"/>
        </w:rPr>
        <w:t xml:space="preserve">na Lei </w:t>
      </w:r>
      <w:r>
        <w:fldChar w:fldCharType="begin"/>
      </w:r>
      <w:r>
        <w:instrText xml:space="preserve"> HYPERLINK "http://www.planalto.gov.br/ccivil_03/_ato2019-2022/2021/lei/L14133.htm" </w:instrText>
      </w:r>
      <w:r>
        <w:fldChar w:fldCharType="separate"/>
      </w:r>
      <w:r>
        <w:rPr>
          <w:rStyle w:val="5"/>
          <w:color w:val="auto"/>
        </w:rPr>
        <w:t>nº 14.133, de 2021</w:t>
      </w:r>
      <w:r>
        <w:rPr>
          <w:rStyle w:val="5"/>
          <w:color w:val="auto"/>
        </w:rPr>
        <w:fldChar w:fldCharType="end"/>
      </w:r>
      <w:r>
        <w:t xml:space="preserve">, e demais normas federais aplicáveis e, subsidiariamente, segundo as disposições contidas </w:t>
      </w:r>
      <w:r>
        <w:rPr>
          <w:color w:val="auto"/>
        </w:rPr>
        <w:t xml:space="preserve">na </w:t>
      </w:r>
      <w:r>
        <w:fldChar w:fldCharType="begin"/>
      </w:r>
      <w:r>
        <w:instrText xml:space="preserve"> HYPERLINK "https://www.planalto.gov.br/ccivil_03/leis/l8078compilado.htm" </w:instrText>
      </w:r>
      <w:r>
        <w:fldChar w:fldCharType="separate"/>
      </w:r>
      <w:r>
        <w:rPr>
          <w:rStyle w:val="5"/>
          <w:color w:val="auto"/>
        </w:rPr>
        <w:t>Lei nº 8.078, de 1990 – Código de Defesa do Consumidor</w:t>
      </w:r>
      <w:r>
        <w:rPr>
          <w:rStyle w:val="5"/>
          <w:color w:val="auto"/>
        </w:rPr>
        <w:fldChar w:fldCharType="end"/>
      </w:r>
      <w:r>
        <w:rPr>
          <w:color w:val="auto"/>
        </w:rPr>
        <w:t xml:space="preserve"> – e normas e princípios gerais dos contratos.</w:t>
      </w:r>
    </w:p>
    <w:p w14:paraId="03A88DDF">
      <w:pPr>
        <w:pStyle w:val="10"/>
        <w:numPr>
          <w:ilvl w:val="0"/>
          <w:numId w:val="2"/>
        </w:numPr>
        <w:spacing w:before="120" w:after="120" w:line="288" w:lineRule="auto"/>
        <w:rPr>
          <w:b/>
          <w:color w:val="FFFFFF"/>
        </w:rPr>
      </w:pPr>
      <w:r>
        <w:rPr>
          <w:b/>
        </w:rPr>
        <w:t>CLÁUSULA DÉCIMA OITAVA – PUBLICAÇÃO</w:t>
      </w:r>
    </w:p>
    <w:p w14:paraId="360C33D3">
      <w:pPr>
        <w:pStyle w:val="12"/>
        <w:numPr>
          <w:ilvl w:val="1"/>
          <w:numId w:val="2"/>
        </w:numPr>
        <w:spacing w:beforeLines="0" w:afterLines="0" w:line="288" w:lineRule="auto"/>
        <w:ind w:left="0" w:firstLine="0"/>
      </w:pPr>
      <w:r>
        <w:t>Incumbirá ao contratante providenciar a divulgação deste instrumento nos termos e condições previstas na Lei 14133/2021.</w:t>
      </w:r>
    </w:p>
    <w:p w14:paraId="703AFDC0">
      <w:pPr>
        <w:pStyle w:val="10"/>
        <w:numPr>
          <w:ilvl w:val="0"/>
          <w:numId w:val="2"/>
        </w:numPr>
        <w:spacing w:before="120" w:after="120" w:line="288" w:lineRule="auto"/>
        <w:rPr>
          <w:b/>
        </w:rPr>
      </w:pPr>
      <w:r>
        <w:rPr>
          <w:b/>
        </w:rPr>
        <w:t xml:space="preserve">CLÁUSULA DÉCIMA NOVA – FORO </w:t>
      </w:r>
    </w:p>
    <w:p w14:paraId="45BEC95E">
      <w:pPr>
        <w:pStyle w:val="12"/>
        <w:numPr>
          <w:ilvl w:val="1"/>
          <w:numId w:val="2"/>
        </w:numPr>
        <w:spacing w:beforeLines="0" w:afterLines="0" w:line="288" w:lineRule="auto"/>
        <w:ind w:left="0" w:firstLine="0"/>
        <w:rPr>
          <w:color w:val="auto"/>
        </w:rPr>
      </w:pPr>
      <w:r>
        <w:rPr>
          <w:color w:val="auto"/>
          <w:lang w:eastAsia="en-US"/>
        </w:rPr>
        <w:t xml:space="preserve">Fica eleito o Foro da Comarca de Andaraí - BA, </w:t>
      </w:r>
      <w:r>
        <w:t xml:space="preserve">para dirimir os litígios que decorrerem da execução deste Termo de Contrato que não puderem ser compostos pela conciliação, </w:t>
      </w:r>
      <w:r>
        <w:rPr>
          <w:color w:val="auto"/>
        </w:rPr>
        <w:t xml:space="preserve">conforme </w:t>
      </w:r>
      <w:r>
        <w:fldChar w:fldCharType="begin"/>
      </w:r>
      <w:r>
        <w:instrText xml:space="preserve"> HYPERLINK "http://www.planalto.gov.br/ccivil_03/_ato2019-2022/2021/lei/L14133.htm" \l "art92§1" </w:instrText>
      </w:r>
      <w:r>
        <w:fldChar w:fldCharType="separate"/>
      </w:r>
      <w:r>
        <w:rPr>
          <w:rStyle w:val="5"/>
          <w:color w:val="auto"/>
        </w:rPr>
        <w:t>art. 92, §1º, da Lei nº 14.133/21</w:t>
      </w:r>
      <w:r>
        <w:rPr>
          <w:rStyle w:val="5"/>
          <w:color w:val="auto"/>
        </w:rPr>
        <w:fldChar w:fldCharType="end"/>
      </w:r>
      <w:r>
        <w:rPr>
          <w:color w:val="auto"/>
        </w:rPr>
        <w:t>.</w:t>
      </w:r>
    </w:p>
    <w:p w14:paraId="077E8280">
      <w:pPr>
        <w:pStyle w:val="12"/>
        <w:spacing w:beforeLines="0" w:afterLines="0" w:line="288" w:lineRule="auto"/>
        <w:jc w:val="right"/>
        <w:rPr>
          <w:iCs/>
          <w:color w:val="auto"/>
        </w:rPr>
      </w:pPr>
      <w:r>
        <w:rPr>
          <w:iCs/>
          <w:color w:val="auto"/>
        </w:rPr>
        <w:t>Andaraí-ba, XX de xxxxx de 2025.</w:t>
      </w:r>
    </w:p>
    <w:p w14:paraId="16B446F5">
      <w:pPr>
        <w:pStyle w:val="12"/>
        <w:spacing w:beforeLines="0" w:afterLines="0" w:line="288" w:lineRule="auto"/>
        <w:jc w:val="right"/>
        <w:rPr>
          <w:iCs/>
          <w:color w:val="auto"/>
        </w:rPr>
      </w:pPr>
    </w:p>
    <w:p w14:paraId="161E2EEC">
      <w:pPr>
        <w:pStyle w:val="12"/>
        <w:spacing w:beforeLines="0" w:afterLines="0" w:line="288" w:lineRule="auto"/>
        <w:jc w:val="right"/>
        <w:rPr>
          <w:iCs/>
          <w:color w:val="auto"/>
        </w:rPr>
      </w:pPr>
    </w:p>
    <w:p w14:paraId="06D5798E">
      <w:pPr>
        <w:pStyle w:val="12"/>
        <w:spacing w:beforeLines="0" w:afterLines="0" w:line="288" w:lineRule="auto"/>
        <w:jc w:val="right"/>
        <w:rPr>
          <w:iCs/>
          <w:color w:val="auto"/>
        </w:rPr>
      </w:pPr>
    </w:p>
    <w:p w14:paraId="6F92B09D">
      <w:pPr>
        <w:spacing w:before="120" w:after="120" w:line="288" w:lineRule="auto"/>
        <w:ind w:firstLine="567"/>
        <w:jc w:val="center"/>
        <w:rPr>
          <w:rFonts w:cs="Arial"/>
          <w:bCs/>
          <w:sz w:val="20"/>
          <w:szCs w:val="20"/>
        </w:rPr>
      </w:pPr>
      <w:r>
        <w:rPr>
          <w:rFonts w:cs="Arial"/>
          <w:bCs/>
          <w:sz w:val="20"/>
          <w:szCs w:val="20"/>
        </w:rPr>
        <w:t>_________________________</w:t>
      </w:r>
    </w:p>
    <w:p w14:paraId="0F2B445D">
      <w:pPr>
        <w:spacing w:before="120" w:after="120" w:line="288" w:lineRule="auto"/>
        <w:ind w:firstLine="567"/>
        <w:jc w:val="center"/>
        <w:rPr>
          <w:rFonts w:cs="Arial"/>
          <w:bCs/>
          <w:sz w:val="20"/>
          <w:szCs w:val="20"/>
        </w:rPr>
      </w:pPr>
      <w:r>
        <w:rPr>
          <w:rFonts w:cs="Arial"/>
          <w:bCs/>
          <w:sz w:val="20"/>
          <w:szCs w:val="20"/>
        </w:rPr>
        <w:t>Representante legal do CONTRATANTE</w:t>
      </w:r>
    </w:p>
    <w:p w14:paraId="1BE82BC5">
      <w:pPr>
        <w:spacing w:before="120" w:after="120" w:line="288" w:lineRule="auto"/>
        <w:ind w:firstLine="567"/>
        <w:jc w:val="center"/>
        <w:rPr>
          <w:rFonts w:cs="Arial"/>
          <w:bCs/>
          <w:sz w:val="20"/>
          <w:szCs w:val="20"/>
        </w:rPr>
      </w:pPr>
    </w:p>
    <w:p w14:paraId="5650581F">
      <w:pPr>
        <w:spacing w:before="120" w:after="120" w:line="288" w:lineRule="auto"/>
        <w:ind w:firstLine="567"/>
        <w:jc w:val="center"/>
        <w:rPr>
          <w:rFonts w:cs="Arial"/>
          <w:bCs/>
          <w:sz w:val="20"/>
          <w:szCs w:val="20"/>
        </w:rPr>
      </w:pPr>
    </w:p>
    <w:p w14:paraId="609C4260">
      <w:pPr>
        <w:spacing w:before="120" w:after="120" w:line="288" w:lineRule="auto"/>
        <w:ind w:firstLine="567"/>
        <w:jc w:val="center"/>
        <w:rPr>
          <w:rFonts w:cs="Arial"/>
          <w:sz w:val="20"/>
          <w:szCs w:val="20"/>
        </w:rPr>
      </w:pPr>
      <w:r>
        <w:rPr>
          <w:rFonts w:cs="Arial"/>
          <w:sz w:val="20"/>
          <w:szCs w:val="20"/>
        </w:rPr>
        <w:t>_________________________</w:t>
      </w:r>
    </w:p>
    <w:p w14:paraId="36F24232">
      <w:pPr>
        <w:spacing w:before="120" w:after="120" w:line="288" w:lineRule="auto"/>
        <w:ind w:firstLine="567"/>
        <w:jc w:val="center"/>
        <w:rPr>
          <w:rFonts w:cs="Arial"/>
          <w:sz w:val="20"/>
          <w:szCs w:val="20"/>
        </w:rPr>
      </w:pPr>
      <w:r>
        <w:rPr>
          <w:rFonts w:cs="Arial"/>
          <w:bCs/>
          <w:sz w:val="20"/>
          <w:szCs w:val="20"/>
        </w:rPr>
        <w:t>Representante</w:t>
      </w:r>
      <w:r>
        <w:rPr>
          <w:rFonts w:cs="Arial"/>
          <w:sz w:val="20"/>
          <w:szCs w:val="20"/>
        </w:rPr>
        <w:t xml:space="preserve"> legal do CONTRATADO</w:t>
      </w:r>
    </w:p>
    <w:p w14:paraId="30467031">
      <w:pPr>
        <w:spacing w:before="120" w:after="120" w:line="288" w:lineRule="auto"/>
        <w:ind w:firstLine="567"/>
        <w:jc w:val="center"/>
        <w:rPr>
          <w:rFonts w:cs="Arial"/>
          <w:sz w:val="20"/>
          <w:szCs w:val="20"/>
        </w:rPr>
      </w:pPr>
    </w:p>
    <w:p w14:paraId="0A736584">
      <w:pPr>
        <w:spacing w:before="120" w:after="120" w:line="288" w:lineRule="auto"/>
        <w:ind w:firstLine="567"/>
        <w:jc w:val="both"/>
        <w:rPr>
          <w:rFonts w:cs="Arial"/>
          <w:i/>
          <w:iCs/>
          <w:sz w:val="20"/>
          <w:szCs w:val="20"/>
        </w:rPr>
      </w:pPr>
      <w:r>
        <w:rPr>
          <w:rFonts w:cs="Arial"/>
          <w:i/>
          <w:iCs/>
          <w:sz w:val="20"/>
          <w:szCs w:val="20"/>
        </w:rPr>
        <w:t>TESTEMUNHAS:</w:t>
      </w:r>
    </w:p>
    <w:p w14:paraId="6EB6DF70">
      <w:pPr>
        <w:spacing w:before="120" w:after="120" w:line="288" w:lineRule="auto"/>
        <w:ind w:firstLine="567"/>
        <w:jc w:val="both"/>
        <w:rPr>
          <w:rFonts w:cs="Arial"/>
          <w:i/>
          <w:iCs/>
          <w:sz w:val="20"/>
          <w:szCs w:val="20"/>
        </w:rPr>
      </w:pPr>
    </w:p>
    <w:p w14:paraId="2EB1C207">
      <w:pPr>
        <w:spacing w:before="120" w:after="120" w:line="288" w:lineRule="auto"/>
        <w:ind w:firstLine="567"/>
        <w:rPr>
          <w:rFonts w:cs="Arial"/>
          <w:i/>
          <w:iCs/>
          <w:sz w:val="20"/>
          <w:szCs w:val="20"/>
        </w:rPr>
      </w:pPr>
      <w:r>
        <w:rPr>
          <w:rFonts w:cs="Arial"/>
          <w:i/>
          <w:iCs/>
          <w:sz w:val="20"/>
          <w:szCs w:val="20"/>
        </w:rPr>
        <w:t>1-</w:t>
      </w:r>
    </w:p>
    <w:p w14:paraId="53B20F64">
      <w:pPr>
        <w:spacing w:before="120" w:after="120" w:line="288" w:lineRule="auto"/>
        <w:ind w:firstLine="567"/>
      </w:pPr>
      <w:r>
        <w:rPr>
          <w:rFonts w:cs="Arial"/>
          <w:i/>
          <w:iCs/>
          <w:sz w:val="20"/>
          <w:szCs w:val="20"/>
        </w:rPr>
        <w:t xml:space="preserve">2- </w:t>
      </w:r>
    </w:p>
    <w:sectPr>
      <w:headerReference r:id="rId5" w:type="default"/>
      <w:type w:val="continuous"/>
      <w:pgSz w:w="11906" w:h="16838"/>
      <w:pgMar w:top="1417" w:right="1701" w:bottom="1417" w:left="1701" w:header="1247" w:footer="708"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Wingdings">
    <w:panose1 w:val="05000000000000000000"/>
    <w:charset w:val="02"/>
    <w:family w:val="auto"/>
    <w:pitch w:val="default"/>
    <w:sig w:usb0="00000000" w:usb1="00000000" w:usb2="00000000" w:usb3="00000000" w:csb0="80000000" w:csb1="00000000"/>
  </w:font>
  <w:font w:name="Baskerville Old Face">
    <w:altName w:val="Segoe Print"/>
    <w:panose1 w:val="02020602080505020303"/>
    <w:charset w:val="00"/>
    <w:family w:val="roman"/>
    <w:pitch w:val="default"/>
    <w:sig w:usb0="00000000" w:usb1="00000000" w:usb2="00000000" w:usb3="00000000" w:csb0="00000001" w:csb1="00000000"/>
  </w:font>
  <w:font w:name="Bookman Old Style">
    <w:altName w:val="Segoe Print"/>
    <w:panose1 w:val="020506040505050202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21B22">
    <w:pPr>
      <w:pStyle w:val="7"/>
    </w:pPr>
    <w:r>
      <w:rPr>
        <w:b/>
        <w:sz w:val="28"/>
      </w:rPr>
      <w:drawing>
        <wp:anchor distT="0" distB="0" distL="114300" distR="114300" simplePos="0" relativeHeight="251661312" behindDoc="0" locked="0" layoutInCell="1" allowOverlap="1">
          <wp:simplePos x="0" y="0"/>
          <wp:positionH relativeFrom="margin">
            <wp:posOffset>-165735</wp:posOffset>
          </wp:positionH>
          <wp:positionV relativeFrom="paragraph">
            <wp:posOffset>-571500</wp:posOffset>
          </wp:positionV>
          <wp:extent cx="971550" cy="951865"/>
          <wp:effectExtent l="0" t="0" r="0" b="0"/>
          <wp:wrapNone/>
          <wp:docPr id="58536216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362164" name="Imagem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1550" cy="951723"/>
                  </a:xfrm>
                  <a:prstGeom prst="rect">
                    <a:avLst/>
                  </a:prstGeom>
                </pic:spPr>
              </pic:pic>
            </a:graphicData>
          </a:graphic>
        </wp:anchor>
      </w:drawing>
    </w:r>
    <w:r>
      <w:rPr>
        <w:rFonts w:cs="Arial"/>
        <w:b/>
        <w:sz w:val="16"/>
      </w:rPr>
      <w:drawing>
        <wp:anchor distT="0" distB="0" distL="114300" distR="114300" simplePos="0" relativeHeight="251660288" behindDoc="0" locked="0" layoutInCell="1" allowOverlap="1">
          <wp:simplePos x="0" y="0"/>
          <wp:positionH relativeFrom="margin">
            <wp:posOffset>4472305</wp:posOffset>
          </wp:positionH>
          <wp:positionV relativeFrom="paragraph">
            <wp:posOffset>-574040</wp:posOffset>
          </wp:positionV>
          <wp:extent cx="962025" cy="838835"/>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962025" cy="838835"/>
                  </a:xfrm>
                  <a:prstGeom prst="rect">
                    <a:avLst/>
                  </a:prstGeom>
                  <a:noFill/>
                  <a:ln>
                    <a:noFill/>
                  </a:ln>
                </pic:spPr>
              </pic:pic>
            </a:graphicData>
          </a:graphic>
        </wp:anchor>
      </w:drawing>
    </w:r>
    <w:r>
      <w:rPr>
        <w:b/>
        <w:sz w:val="28"/>
      </w:rPr>
      <mc:AlternateContent>
        <mc:Choice Requires="wps">
          <w:drawing>
            <wp:anchor distT="0" distB="0" distL="114300" distR="114300" simplePos="0" relativeHeight="251659264" behindDoc="0" locked="0" layoutInCell="1" allowOverlap="1">
              <wp:simplePos x="0" y="0"/>
              <wp:positionH relativeFrom="margin">
                <wp:posOffset>939165</wp:posOffset>
              </wp:positionH>
              <wp:positionV relativeFrom="paragraph">
                <wp:posOffset>-481330</wp:posOffset>
              </wp:positionV>
              <wp:extent cx="3432175" cy="676275"/>
              <wp:effectExtent l="5080" t="4445" r="10795" b="5080"/>
              <wp:wrapNone/>
              <wp:docPr id="1" name="Caixa de Texto 1"/>
              <wp:cNvGraphicFramePr/>
              <a:graphic xmlns:a="http://schemas.openxmlformats.org/drawingml/2006/main">
                <a:graphicData uri="http://schemas.microsoft.com/office/word/2010/wordprocessingShape">
                  <wps:wsp>
                    <wps:cNvSpPr txBox="1">
                      <a:spLocks noChangeArrowheads="1"/>
                    </wps:cNvSpPr>
                    <wps:spPr bwMode="auto">
                      <a:xfrm>
                        <a:off x="0" y="0"/>
                        <a:ext cx="3343275" cy="676275"/>
                      </a:xfrm>
                      <a:prstGeom prst="rect">
                        <a:avLst/>
                      </a:prstGeom>
                      <a:solidFill>
                        <a:srgbClr val="FFFFFF"/>
                      </a:solidFill>
                      <a:ln w="9525">
                        <a:solidFill>
                          <a:srgbClr val="FFFFFF"/>
                        </a:solidFill>
                        <a:miter lim="800000"/>
                      </a:ln>
                      <a:effectLst/>
                    </wps:spPr>
                    <wps:txbx>
                      <w:txbxContent>
                        <w:p w14:paraId="65D4B004">
                          <w:pPr>
                            <w:spacing w:line="240" w:lineRule="auto"/>
                            <w:ind w:left="-1843" w:right="-1877"/>
                            <w:jc w:val="center"/>
                            <w:rPr>
                              <w:rFonts w:ascii="Baskerville Old Face" w:hAnsi="Baskerville Old Face"/>
                              <w:b/>
                              <w:i/>
                              <w:sz w:val="28"/>
                              <w:szCs w:val="28"/>
                            </w:rPr>
                          </w:pPr>
                          <w:r>
                            <w:rPr>
                              <w:rFonts w:ascii="Baskerville Old Face" w:hAnsi="Baskerville Old Face"/>
                              <w:b/>
                              <w:i/>
                              <w:sz w:val="28"/>
                              <w:szCs w:val="28"/>
                            </w:rPr>
                            <w:t>MUNICÍPIO DE ANDARAÍ</w:t>
                          </w:r>
                        </w:p>
                        <w:p w14:paraId="64C86979">
                          <w:pPr>
                            <w:spacing w:line="240" w:lineRule="auto"/>
                            <w:ind w:left="-1843" w:right="-1877"/>
                            <w:jc w:val="center"/>
                            <w:rPr>
                              <w:rFonts w:ascii="Bookman Old Style" w:hAnsi="Bookman Old Style"/>
                              <w:i/>
                              <w:sz w:val="20"/>
                            </w:rPr>
                          </w:pPr>
                          <w:r>
                            <w:rPr>
                              <w:rFonts w:ascii="Bookman Old Style" w:hAnsi="Bookman Old Style"/>
                              <w:i/>
                              <w:sz w:val="20"/>
                            </w:rPr>
                            <w:t>ESTADO DA BAHIA</w:t>
                          </w:r>
                        </w:p>
                        <w:p w14:paraId="662C15DA">
                          <w:pPr>
                            <w:spacing w:line="240" w:lineRule="auto"/>
                            <w:ind w:left="-1843" w:right="-1877"/>
                            <w:jc w:val="center"/>
                            <w:rPr>
                              <w:rFonts w:ascii="Bookman Old Style" w:hAnsi="Bookman Old Style"/>
                              <w:i/>
                              <w:sz w:val="20"/>
                              <w:szCs w:val="20"/>
                            </w:rPr>
                          </w:pPr>
                          <w:r>
                            <w:rPr>
                              <w:rFonts w:ascii="Bookman Old Style" w:hAnsi="Bookman Old Style"/>
                              <w:sz w:val="20"/>
                              <w:szCs w:val="20"/>
                            </w:rPr>
                            <w:t>SECRETARIA MUNICIPAL DE ADMINISTRAÇÃO</w:t>
                          </w:r>
                        </w:p>
                        <w:p w14:paraId="17BABB64">
                          <w:pPr>
                            <w:rPr>
                              <w:rFonts w:ascii="Bookman Old Style" w:hAnsi="Bookman Old Style"/>
                              <w:i/>
                              <w:sz w:val="20"/>
                              <w:szCs w:val="20"/>
                              <w:vertAlign w:val="subscript"/>
                            </w:rPr>
                          </w:pP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p>
                        <w:p w14:paraId="3EAB0229">
                          <w:pPr>
                            <w:rPr>
                              <w:rFonts w:ascii="Bookman Old Style" w:hAnsi="Bookman Old Style"/>
                              <w:i/>
                              <w:sz w:val="20"/>
                              <w:szCs w:val="20"/>
                              <w:vertAlign w:val="subscript"/>
                            </w:rPr>
                          </w:pPr>
                        </w:p>
                        <w:p w14:paraId="7F0470BF">
                          <w:pPr>
                            <w:jc w:val="center"/>
                            <w:rPr>
                              <w:i/>
                              <w:sz w:val="20"/>
                              <w:szCs w:val="20"/>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3.95pt;margin-top:-37.9pt;height:53.25pt;width:270.25pt;mso-position-horizontal-relative:margin;z-index:251659264;mso-width-relative:margin;mso-height-relative:margin;" fillcolor="#FFFFFF" filled="t" stroked="t" coordsize="21600,21600" o:gfxdata="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sG8/i2AAAAAoBAAAPAAAAAAAAAAEAIAAAACIAAABkcnMvZG93&#10;bnJldi54bWxQSwECFAAUAAAACACHTuJAGk1+4TkCAACaBAAADgAAAAAAAAABACAAAAAnAQAAZHJz&#10;L2Uyb0RvYy54bWxQSwUGAAAAAAYABgBZAQAA0gUAAAAA&#10;">
              <v:fill on="t" focussize="0,0"/>
              <v:stroke color="#FFFFFF" miterlimit="8" joinstyle="miter"/>
              <v:imagedata o:title=""/>
              <o:lock v:ext="edit" aspectratio="f"/>
              <v:textbox>
                <w:txbxContent>
                  <w:p w14:paraId="65D4B004">
                    <w:pPr>
                      <w:spacing w:line="240" w:lineRule="auto"/>
                      <w:ind w:left="-1843" w:right="-1877"/>
                      <w:jc w:val="center"/>
                      <w:rPr>
                        <w:rFonts w:ascii="Baskerville Old Face" w:hAnsi="Baskerville Old Face"/>
                        <w:b/>
                        <w:i/>
                        <w:sz w:val="28"/>
                        <w:szCs w:val="28"/>
                      </w:rPr>
                    </w:pPr>
                    <w:r>
                      <w:rPr>
                        <w:rFonts w:ascii="Baskerville Old Face" w:hAnsi="Baskerville Old Face"/>
                        <w:b/>
                        <w:i/>
                        <w:sz w:val="28"/>
                        <w:szCs w:val="28"/>
                      </w:rPr>
                      <w:t>MUNICÍPIO DE ANDARAÍ</w:t>
                    </w:r>
                  </w:p>
                  <w:p w14:paraId="64C86979">
                    <w:pPr>
                      <w:spacing w:line="240" w:lineRule="auto"/>
                      <w:ind w:left="-1843" w:right="-1877"/>
                      <w:jc w:val="center"/>
                      <w:rPr>
                        <w:rFonts w:ascii="Bookman Old Style" w:hAnsi="Bookman Old Style"/>
                        <w:i/>
                        <w:sz w:val="20"/>
                      </w:rPr>
                    </w:pPr>
                    <w:r>
                      <w:rPr>
                        <w:rFonts w:ascii="Bookman Old Style" w:hAnsi="Bookman Old Style"/>
                        <w:i/>
                        <w:sz w:val="20"/>
                      </w:rPr>
                      <w:t>ESTADO DA BAHIA</w:t>
                    </w:r>
                  </w:p>
                  <w:p w14:paraId="662C15DA">
                    <w:pPr>
                      <w:spacing w:line="240" w:lineRule="auto"/>
                      <w:ind w:left="-1843" w:right="-1877"/>
                      <w:jc w:val="center"/>
                      <w:rPr>
                        <w:rFonts w:ascii="Bookman Old Style" w:hAnsi="Bookman Old Style"/>
                        <w:i/>
                        <w:sz w:val="20"/>
                        <w:szCs w:val="20"/>
                      </w:rPr>
                    </w:pPr>
                    <w:r>
                      <w:rPr>
                        <w:rFonts w:ascii="Bookman Old Style" w:hAnsi="Bookman Old Style"/>
                        <w:sz w:val="20"/>
                        <w:szCs w:val="20"/>
                      </w:rPr>
                      <w:t>SECRETARIA MUNICIPAL DE ADMINISTRAÇÃO</w:t>
                    </w:r>
                  </w:p>
                  <w:p w14:paraId="17BABB64">
                    <w:pPr>
                      <w:rPr>
                        <w:rFonts w:ascii="Bookman Old Style" w:hAnsi="Bookman Old Style"/>
                        <w:i/>
                        <w:sz w:val="20"/>
                        <w:szCs w:val="20"/>
                        <w:vertAlign w:val="subscript"/>
                      </w:rPr>
                    </w:pP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p>
                  <w:p w14:paraId="3EAB0229">
                    <w:pPr>
                      <w:rPr>
                        <w:rFonts w:ascii="Bookman Old Style" w:hAnsi="Bookman Old Style"/>
                        <w:i/>
                        <w:sz w:val="20"/>
                        <w:szCs w:val="20"/>
                        <w:vertAlign w:val="subscript"/>
                      </w:rPr>
                    </w:pPr>
                  </w:p>
                  <w:p w14:paraId="7F0470BF">
                    <w:pPr>
                      <w:jc w:val="center"/>
                      <w:rPr>
                        <w:i/>
                        <w:sz w:val="20"/>
                        <w:szCs w:val="20"/>
                      </w:rPr>
                    </w:pPr>
                  </w:p>
                </w:txbxContent>
              </v:textbox>
            </v:shape>
          </w:pict>
        </mc:Fallback>
      </mc:AlternateContent>
    </w:r>
  </w:p>
  <w:p w14:paraId="2F0198C3">
    <w:pPr>
      <w:pStyle w:val="7"/>
      <w:tabs>
        <w:tab w:val="left" w:pos="3525"/>
        <w:tab w:val="right" w:pos="8647"/>
      </w:tabs>
    </w:pP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E0867"/>
    <w:multiLevelType w:val="multilevel"/>
    <w:tmpl w:val="0D0E0867"/>
    <w:lvl w:ilvl="0" w:tentative="0">
      <w:start w:val="1"/>
      <w:numFmt w:val="lowerLetter"/>
      <w:lvlText w:val="%1)"/>
      <w:lvlJc w:val="left"/>
      <w:pPr>
        <w:ind w:left="926" w:hanging="360"/>
      </w:pPr>
      <w:rPr>
        <w:rFonts w:hint="default"/>
      </w:rPr>
    </w:lvl>
    <w:lvl w:ilvl="1" w:tentative="0">
      <w:start w:val="1"/>
      <w:numFmt w:val="lowerLetter"/>
      <w:lvlText w:val="%2."/>
      <w:lvlJc w:val="left"/>
      <w:pPr>
        <w:ind w:left="1646" w:hanging="360"/>
      </w:pPr>
    </w:lvl>
    <w:lvl w:ilvl="2" w:tentative="0">
      <w:start w:val="1"/>
      <w:numFmt w:val="lowerRoman"/>
      <w:lvlText w:val="%3."/>
      <w:lvlJc w:val="right"/>
      <w:pPr>
        <w:ind w:left="2366" w:hanging="180"/>
      </w:pPr>
    </w:lvl>
    <w:lvl w:ilvl="3" w:tentative="0">
      <w:start w:val="1"/>
      <w:numFmt w:val="decimal"/>
      <w:lvlText w:val="%4."/>
      <w:lvlJc w:val="left"/>
      <w:pPr>
        <w:ind w:left="3086" w:hanging="360"/>
      </w:pPr>
    </w:lvl>
    <w:lvl w:ilvl="4" w:tentative="0">
      <w:start w:val="1"/>
      <w:numFmt w:val="lowerLetter"/>
      <w:lvlText w:val="%5."/>
      <w:lvlJc w:val="left"/>
      <w:pPr>
        <w:ind w:left="3806" w:hanging="360"/>
      </w:pPr>
    </w:lvl>
    <w:lvl w:ilvl="5" w:tentative="0">
      <w:start w:val="1"/>
      <w:numFmt w:val="lowerRoman"/>
      <w:lvlText w:val="%6."/>
      <w:lvlJc w:val="right"/>
      <w:pPr>
        <w:ind w:left="4526" w:hanging="180"/>
      </w:pPr>
    </w:lvl>
    <w:lvl w:ilvl="6" w:tentative="0">
      <w:start w:val="1"/>
      <w:numFmt w:val="decimal"/>
      <w:lvlText w:val="%7."/>
      <w:lvlJc w:val="left"/>
      <w:pPr>
        <w:ind w:left="5246" w:hanging="360"/>
      </w:pPr>
    </w:lvl>
    <w:lvl w:ilvl="7" w:tentative="0">
      <w:start w:val="1"/>
      <w:numFmt w:val="lowerLetter"/>
      <w:lvlText w:val="%8."/>
      <w:lvlJc w:val="left"/>
      <w:pPr>
        <w:ind w:left="5966" w:hanging="360"/>
      </w:pPr>
    </w:lvl>
    <w:lvl w:ilvl="8" w:tentative="0">
      <w:start w:val="1"/>
      <w:numFmt w:val="lowerRoman"/>
      <w:lvlText w:val="%9."/>
      <w:lvlJc w:val="right"/>
      <w:pPr>
        <w:ind w:left="6686" w:hanging="180"/>
      </w:pPr>
    </w:lvl>
  </w:abstractNum>
  <w:abstractNum w:abstractNumId="1">
    <w:nsid w:val="1D5C100D"/>
    <w:multiLevelType w:val="multilevel"/>
    <w:tmpl w:val="1D5C100D"/>
    <w:lvl w:ilvl="0" w:tentative="0">
      <w:start w:val="1"/>
      <w:numFmt w:val="decimal"/>
      <w:lvlText w:val="%1."/>
      <w:lvlJc w:val="left"/>
      <w:pPr>
        <w:ind w:left="360" w:hanging="360"/>
      </w:pPr>
      <w:rPr>
        <w:b/>
        <w:color w:val="auto"/>
      </w:rPr>
    </w:lvl>
    <w:lvl w:ilvl="1" w:tentative="0">
      <w:start w:val="1"/>
      <w:numFmt w:val="decimal"/>
      <w:lvlText w:val="%1.%2."/>
      <w:lvlJc w:val="left"/>
      <w:pPr>
        <w:ind w:left="432" w:hanging="432"/>
      </w:pPr>
      <w:rPr>
        <w:b/>
        <w:i w:val="0"/>
        <w:strike w:val="0"/>
        <w:color w:val="auto"/>
        <w:sz w:val="20"/>
        <w:szCs w:val="20"/>
        <w:u w:val="none"/>
      </w:rPr>
    </w:lvl>
    <w:lvl w:ilvl="2" w:tentative="0">
      <w:start w:val="1"/>
      <w:numFmt w:val="decimal"/>
      <w:lvlText w:val="%1.%2.%3."/>
      <w:lvlJc w:val="left"/>
      <w:pPr>
        <w:ind w:left="2773" w:hanging="504"/>
      </w:pPr>
      <w:rPr>
        <w:rFonts w:hint="default" w:ascii="Arial" w:hAnsi="Arial"/>
        <w:b/>
        <w:i w:val="0"/>
        <w:strike w:val="0"/>
        <w:color w:val="auto"/>
        <w:sz w:val="20"/>
        <w:szCs w:val="20"/>
      </w:rPr>
    </w:lvl>
    <w:lvl w:ilvl="3" w:tentative="0">
      <w:start w:val="1"/>
      <w:numFmt w:val="decimal"/>
      <w:lvlText w:val="%1.%2.%3.%4."/>
      <w:lvlJc w:val="left"/>
      <w:pPr>
        <w:ind w:left="2775" w:hanging="648"/>
      </w:pPr>
      <w:rPr>
        <w:b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
    <w:nsid w:val="4A7A68FB"/>
    <w:multiLevelType w:val="multilevel"/>
    <w:tmpl w:val="4A7A68FB"/>
    <w:lvl w:ilvl="0" w:tentative="0">
      <w:start w:val="1"/>
      <w:numFmt w:val="lowerLetter"/>
      <w:lvlText w:val="%1)"/>
      <w:lvlJc w:val="left"/>
      <w:pPr>
        <w:ind w:left="2203" w:hanging="360"/>
      </w:pPr>
      <w:rPr>
        <w:rFonts w:hint="default"/>
      </w:rPr>
    </w:lvl>
    <w:lvl w:ilvl="1" w:tentative="0">
      <w:start w:val="1"/>
      <w:numFmt w:val="lowerLetter"/>
      <w:lvlText w:val="%2."/>
      <w:lvlJc w:val="left"/>
      <w:pPr>
        <w:ind w:left="2923" w:hanging="360"/>
      </w:pPr>
    </w:lvl>
    <w:lvl w:ilvl="2" w:tentative="0">
      <w:start w:val="1"/>
      <w:numFmt w:val="lowerRoman"/>
      <w:lvlText w:val="%3."/>
      <w:lvlJc w:val="right"/>
      <w:pPr>
        <w:ind w:left="3643" w:hanging="180"/>
      </w:pPr>
    </w:lvl>
    <w:lvl w:ilvl="3" w:tentative="0">
      <w:start w:val="1"/>
      <w:numFmt w:val="decimal"/>
      <w:lvlText w:val="%4."/>
      <w:lvlJc w:val="left"/>
      <w:pPr>
        <w:ind w:left="4363" w:hanging="360"/>
      </w:pPr>
    </w:lvl>
    <w:lvl w:ilvl="4" w:tentative="0">
      <w:start w:val="1"/>
      <w:numFmt w:val="lowerLetter"/>
      <w:lvlText w:val="%5."/>
      <w:lvlJc w:val="left"/>
      <w:pPr>
        <w:ind w:left="5083" w:hanging="360"/>
      </w:pPr>
    </w:lvl>
    <w:lvl w:ilvl="5" w:tentative="0">
      <w:start w:val="1"/>
      <w:numFmt w:val="lowerRoman"/>
      <w:lvlText w:val="%6."/>
      <w:lvlJc w:val="right"/>
      <w:pPr>
        <w:ind w:left="5803" w:hanging="180"/>
      </w:pPr>
    </w:lvl>
    <w:lvl w:ilvl="6" w:tentative="0">
      <w:start w:val="1"/>
      <w:numFmt w:val="decimal"/>
      <w:lvlText w:val="%7."/>
      <w:lvlJc w:val="left"/>
      <w:pPr>
        <w:ind w:left="6523" w:hanging="360"/>
      </w:pPr>
    </w:lvl>
    <w:lvl w:ilvl="7" w:tentative="0">
      <w:start w:val="1"/>
      <w:numFmt w:val="lowerLetter"/>
      <w:lvlText w:val="%8."/>
      <w:lvlJc w:val="left"/>
      <w:pPr>
        <w:ind w:left="7243" w:hanging="360"/>
      </w:pPr>
    </w:lvl>
    <w:lvl w:ilvl="8" w:tentative="0">
      <w:start w:val="1"/>
      <w:numFmt w:val="lowerRoman"/>
      <w:lvlText w:val="%9."/>
      <w:lvlJc w:val="right"/>
      <w:pPr>
        <w:ind w:left="7963" w:hanging="180"/>
      </w:pPr>
    </w:lvl>
  </w:abstractNum>
  <w:abstractNum w:abstractNumId="3">
    <w:nsid w:val="53AF2381"/>
    <w:multiLevelType w:val="multilevel"/>
    <w:tmpl w:val="53AF23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66B5FCF"/>
    <w:multiLevelType w:val="multilevel"/>
    <w:tmpl w:val="666B5FCF"/>
    <w:lvl w:ilvl="0" w:tentative="0">
      <w:start w:val="1"/>
      <w:numFmt w:val="decimal"/>
      <w:pStyle w:val="2"/>
      <w:lvlText w:val="%1."/>
      <w:lvlJc w:val="left"/>
      <w:pPr>
        <w:ind w:left="7307" w:hanging="360"/>
      </w:pPr>
      <w:rPr>
        <w:rFonts w:ascii="Arial" w:hAnsi="Arial" w:eastAsia="Arial" w:cs="Arial"/>
        <w:b/>
        <w:sz w:val="24"/>
        <w:szCs w:val="24"/>
      </w:rPr>
    </w:lvl>
    <w:lvl w:ilvl="1" w:tentative="0">
      <w:start w:val="1"/>
      <w:numFmt w:val="decimal"/>
      <w:lvlText w:val="%1.%2."/>
      <w:lvlJc w:val="left"/>
      <w:pPr>
        <w:ind w:left="0" w:firstLine="570"/>
      </w:pPr>
      <w:rPr>
        <w:rFonts w:ascii="Arial" w:hAnsi="Arial" w:eastAsia="Arial" w:cs="Arial"/>
        <w:b/>
        <w:color w:val="000000"/>
        <w:sz w:val="22"/>
        <w:szCs w:val="22"/>
      </w:rPr>
    </w:lvl>
    <w:lvl w:ilvl="2" w:tentative="0">
      <w:start w:val="1"/>
      <w:numFmt w:val="decimal"/>
      <w:lvlText w:val="%1.%2.%3."/>
      <w:lvlJc w:val="left"/>
      <w:pPr>
        <w:ind w:left="1133" w:firstLine="0"/>
      </w:pPr>
    </w:lvl>
    <w:lvl w:ilvl="3" w:tentative="0">
      <w:start w:val="1"/>
      <w:numFmt w:val="decimal"/>
      <w:lvlText w:val="%1.%2.%3.%4."/>
      <w:lvlJc w:val="left"/>
      <w:pPr>
        <w:ind w:left="3484"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3"/>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drawingGridHorizontalSpacing w:val="110"/>
  <w:drawingGridVerticalSpacing w:val="299"/>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662"/>
    <w:rsid w:val="00093D86"/>
    <w:rsid w:val="000A7A7A"/>
    <w:rsid w:val="000B2B21"/>
    <w:rsid w:val="000C7B21"/>
    <w:rsid w:val="000D3662"/>
    <w:rsid w:val="000F3875"/>
    <w:rsid w:val="00114F61"/>
    <w:rsid w:val="001270EB"/>
    <w:rsid w:val="00185FE6"/>
    <w:rsid w:val="002049F6"/>
    <w:rsid w:val="002559FB"/>
    <w:rsid w:val="002563A4"/>
    <w:rsid w:val="0028469E"/>
    <w:rsid w:val="00303351"/>
    <w:rsid w:val="00303353"/>
    <w:rsid w:val="003A22FC"/>
    <w:rsid w:val="003A4840"/>
    <w:rsid w:val="00420550"/>
    <w:rsid w:val="004605E7"/>
    <w:rsid w:val="00580CFE"/>
    <w:rsid w:val="005A5F00"/>
    <w:rsid w:val="005B25C2"/>
    <w:rsid w:val="005C2CDA"/>
    <w:rsid w:val="005D7FA9"/>
    <w:rsid w:val="005E2DA7"/>
    <w:rsid w:val="005E4DDE"/>
    <w:rsid w:val="00613F6B"/>
    <w:rsid w:val="006200DE"/>
    <w:rsid w:val="00633DD1"/>
    <w:rsid w:val="00683A45"/>
    <w:rsid w:val="006C58E4"/>
    <w:rsid w:val="006D453C"/>
    <w:rsid w:val="006F7A2E"/>
    <w:rsid w:val="00731B58"/>
    <w:rsid w:val="0074225F"/>
    <w:rsid w:val="00784C9A"/>
    <w:rsid w:val="007A1688"/>
    <w:rsid w:val="007B6DCB"/>
    <w:rsid w:val="007D7D31"/>
    <w:rsid w:val="008161E4"/>
    <w:rsid w:val="00841B30"/>
    <w:rsid w:val="008932C3"/>
    <w:rsid w:val="008B6014"/>
    <w:rsid w:val="008E6B16"/>
    <w:rsid w:val="00911522"/>
    <w:rsid w:val="0092724D"/>
    <w:rsid w:val="00963C3C"/>
    <w:rsid w:val="0098280D"/>
    <w:rsid w:val="009964F2"/>
    <w:rsid w:val="009A4A73"/>
    <w:rsid w:val="009E6554"/>
    <w:rsid w:val="00A12536"/>
    <w:rsid w:val="00A535E5"/>
    <w:rsid w:val="00A7196F"/>
    <w:rsid w:val="00A96EE9"/>
    <w:rsid w:val="00AF0360"/>
    <w:rsid w:val="00B14978"/>
    <w:rsid w:val="00B324A1"/>
    <w:rsid w:val="00BC7C9A"/>
    <w:rsid w:val="00BE42D9"/>
    <w:rsid w:val="00BE7F92"/>
    <w:rsid w:val="00C35A3A"/>
    <w:rsid w:val="00C51360"/>
    <w:rsid w:val="00C57771"/>
    <w:rsid w:val="00C60EB1"/>
    <w:rsid w:val="00C743F4"/>
    <w:rsid w:val="00D205D3"/>
    <w:rsid w:val="00D81BB9"/>
    <w:rsid w:val="00DF7C3B"/>
    <w:rsid w:val="00E25B45"/>
    <w:rsid w:val="00E76B43"/>
    <w:rsid w:val="00E805D0"/>
    <w:rsid w:val="00E8382C"/>
    <w:rsid w:val="00F01630"/>
    <w:rsid w:val="00F542B3"/>
    <w:rsid w:val="00F65DC5"/>
    <w:rsid w:val="00FB1D56"/>
    <w:rsid w:val="00FE2DEF"/>
    <w:rsid w:val="4A8E1F0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spacing w:line="360" w:lineRule="auto"/>
      <w:ind w:left="0" w:right="0"/>
      <w:jc w:val="left"/>
    </w:pPr>
    <w:rPr>
      <w:rFonts w:ascii="Arial" w:hAnsi="Arial" w:eastAsia="Arial" w:cs="Times New Roman"/>
      <w:sz w:val="22"/>
      <w:szCs w:val="22"/>
      <w:lang w:val="pt-BR" w:eastAsia="pt-BR" w:bidi="ar-SA"/>
    </w:rPr>
  </w:style>
  <w:style w:type="paragraph" w:styleId="2">
    <w:name w:val="heading 1"/>
    <w:basedOn w:val="1"/>
    <w:next w:val="1"/>
    <w:link w:val="9"/>
    <w:autoRedefine/>
    <w:qFormat/>
    <w:uiPriority w:val="0"/>
    <w:pPr>
      <w:keepNext/>
      <w:keepLines/>
      <w:numPr>
        <w:ilvl w:val="0"/>
        <w:numId w:val="1"/>
      </w:numPr>
      <w:spacing w:before="240" w:after="240" w:line="312" w:lineRule="auto"/>
      <w:ind w:left="0" w:firstLine="0"/>
      <w:outlineLvl w:val="0"/>
    </w:pPr>
    <w:rPr>
      <w:rFonts w:eastAsia="Times New Roman"/>
      <w:b/>
      <w:sz w:val="24"/>
      <w:szCs w:val="32"/>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unhideWhenUsed/>
    <w:uiPriority w:val="0"/>
    <w:rPr>
      <w:color w:val="0563C1"/>
      <w:u w:val="single"/>
    </w:rPr>
  </w:style>
  <w:style w:type="paragraph" w:styleId="6">
    <w:name w:val="Body Text"/>
    <w:basedOn w:val="1"/>
    <w:link w:val="30"/>
    <w:qFormat/>
    <w:uiPriority w:val="1"/>
    <w:pPr>
      <w:spacing w:line="240" w:lineRule="auto"/>
    </w:pPr>
    <w:rPr>
      <w:rFonts w:ascii="Times New Roman" w:hAnsi="Times New Roman" w:eastAsia="Calibri"/>
      <w:sz w:val="24"/>
      <w:szCs w:val="24"/>
      <w:lang w:val="zh-CN" w:eastAsia="zh-CN"/>
    </w:rPr>
  </w:style>
  <w:style w:type="paragraph" w:styleId="7">
    <w:name w:val="header"/>
    <w:basedOn w:val="1"/>
    <w:link w:val="18"/>
    <w:unhideWhenUsed/>
    <w:qFormat/>
    <w:uiPriority w:val="99"/>
    <w:pPr>
      <w:tabs>
        <w:tab w:val="center" w:pos="4252"/>
        <w:tab w:val="right" w:pos="8504"/>
      </w:tabs>
      <w:spacing w:line="240" w:lineRule="auto"/>
    </w:pPr>
    <w:rPr>
      <w:sz w:val="20"/>
      <w:szCs w:val="20"/>
    </w:rPr>
  </w:style>
  <w:style w:type="paragraph" w:styleId="8">
    <w:name w:val="footer"/>
    <w:basedOn w:val="1"/>
    <w:link w:val="24"/>
    <w:unhideWhenUsed/>
    <w:uiPriority w:val="99"/>
    <w:pPr>
      <w:tabs>
        <w:tab w:val="center" w:pos="4252"/>
        <w:tab w:val="right" w:pos="8504"/>
      </w:tabs>
      <w:spacing w:line="240" w:lineRule="auto"/>
    </w:pPr>
  </w:style>
  <w:style w:type="character" w:customStyle="1" w:styleId="9">
    <w:name w:val="Título 1 Char"/>
    <w:basedOn w:val="3"/>
    <w:link w:val="2"/>
    <w:uiPriority w:val="0"/>
    <w:rPr>
      <w:rFonts w:ascii="Arial" w:hAnsi="Arial" w:eastAsia="Times New Roman" w:cs="Times New Roman"/>
      <w:b/>
      <w:sz w:val="24"/>
      <w:szCs w:val="32"/>
    </w:rPr>
  </w:style>
  <w:style w:type="paragraph" w:customStyle="1" w:styleId="10">
    <w:name w:val="Nivel 01"/>
    <w:basedOn w:val="2"/>
    <w:next w:val="1"/>
    <w:link w:val="11"/>
    <w:qFormat/>
    <w:uiPriority w:val="0"/>
    <w:pPr>
      <w:tabs>
        <w:tab w:val="left" w:pos="567"/>
      </w:tabs>
      <w:spacing w:line="240" w:lineRule="auto"/>
      <w:ind w:left="600" w:hanging="600"/>
      <w:jc w:val="both"/>
    </w:pPr>
    <w:rPr>
      <w:b w:val="0"/>
      <w:bCs/>
      <w:sz w:val="20"/>
      <w:szCs w:val="20"/>
    </w:rPr>
  </w:style>
  <w:style w:type="character" w:customStyle="1" w:styleId="11">
    <w:name w:val="Nivel 01 Char"/>
    <w:link w:val="10"/>
    <w:uiPriority w:val="0"/>
    <w:rPr>
      <w:rFonts w:ascii="Arial" w:hAnsi="Arial" w:eastAsia="Times New Roman" w:cs="Times New Roman"/>
      <w:bCs/>
      <w:sz w:val="20"/>
      <w:szCs w:val="20"/>
    </w:rPr>
  </w:style>
  <w:style w:type="paragraph" w:customStyle="1" w:styleId="12">
    <w:name w:val="Nivel 2"/>
    <w:basedOn w:val="1"/>
    <w:link w:val="15"/>
    <w:qFormat/>
    <w:uiPriority w:val="0"/>
    <w:pPr>
      <w:spacing w:beforeLines="120" w:afterLines="120" w:line="312" w:lineRule="auto"/>
      <w:ind w:firstLine="567"/>
      <w:jc w:val="both"/>
    </w:pPr>
    <w:rPr>
      <w:rFonts w:eastAsia="Times New Roman"/>
      <w:color w:val="000000"/>
      <w:sz w:val="20"/>
      <w:szCs w:val="20"/>
    </w:rPr>
  </w:style>
  <w:style w:type="paragraph" w:customStyle="1" w:styleId="13">
    <w:name w:val="Nivel 3"/>
    <w:basedOn w:val="1"/>
    <w:link w:val="16"/>
    <w:qFormat/>
    <w:uiPriority w:val="0"/>
    <w:pPr>
      <w:spacing w:before="120" w:after="120" w:line="276" w:lineRule="auto"/>
      <w:ind w:left="1133"/>
      <w:jc w:val="both"/>
    </w:pPr>
    <w:rPr>
      <w:rFonts w:eastAsia="Times New Roman"/>
      <w:color w:val="000000"/>
      <w:sz w:val="20"/>
      <w:szCs w:val="20"/>
    </w:rPr>
  </w:style>
  <w:style w:type="paragraph" w:customStyle="1" w:styleId="14">
    <w:name w:val="Nivel 4"/>
    <w:basedOn w:val="13"/>
    <w:link w:val="17"/>
    <w:qFormat/>
    <w:uiPriority w:val="0"/>
    <w:pPr>
      <w:ind w:left="2491"/>
    </w:pPr>
    <w:rPr>
      <w:color w:val="auto"/>
    </w:rPr>
  </w:style>
  <w:style w:type="character" w:customStyle="1" w:styleId="15">
    <w:name w:val="Nivel 2 Char"/>
    <w:link w:val="12"/>
    <w:locked/>
    <w:uiPriority w:val="0"/>
    <w:rPr>
      <w:rFonts w:ascii="Arial" w:hAnsi="Arial" w:eastAsia="Times New Roman" w:cs="Times New Roman"/>
      <w:color w:val="000000"/>
      <w:sz w:val="20"/>
      <w:szCs w:val="20"/>
    </w:rPr>
  </w:style>
  <w:style w:type="character" w:customStyle="1" w:styleId="16">
    <w:name w:val="Nivel 3 Char"/>
    <w:link w:val="13"/>
    <w:uiPriority w:val="0"/>
    <w:rPr>
      <w:rFonts w:ascii="Arial" w:hAnsi="Arial" w:eastAsia="Times New Roman" w:cs="Times New Roman"/>
      <w:color w:val="000000"/>
      <w:sz w:val="20"/>
      <w:szCs w:val="20"/>
    </w:rPr>
  </w:style>
  <w:style w:type="character" w:customStyle="1" w:styleId="17">
    <w:name w:val="Nivel 4 Char"/>
    <w:link w:val="14"/>
    <w:qFormat/>
    <w:uiPriority w:val="0"/>
    <w:rPr>
      <w:rFonts w:ascii="Arial" w:hAnsi="Arial" w:eastAsia="Times New Roman" w:cs="Times New Roman"/>
      <w:sz w:val="20"/>
      <w:szCs w:val="20"/>
      <w:lang w:eastAsia="pt-BR"/>
    </w:rPr>
  </w:style>
  <w:style w:type="character" w:customStyle="1" w:styleId="18">
    <w:name w:val="Cabeçalho Char"/>
    <w:basedOn w:val="3"/>
    <w:link w:val="7"/>
    <w:uiPriority w:val="99"/>
    <w:rPr>
      <w:rFonts w:ascii="Arial" w:hAnsi="Arial" w:eastAsia="Arial" w:cs="Times New Roman"/>
      <w:sz w:val="20"/>
      <w:szCs w:val="20"/>
    </w:rPr>
  </w:style>
  <w:style w:type="paragraph" w:customStyle="1" w:styleId="19">
    <w:name w:val="Título 21"/>
    <w:basedOn w:val="1"/>
    <w:qFormat/>
    <w:uiPriority w:val="1"/>
    <w:pPr>
      <w:widowControl w:val="0"/>
      <w:autoSpaceDE w:val="0"/>
      <w:autoSpaceDN w:val="0"/>
      <w:spacing w:line="240" w:lineRule="auto"/>
      <w:ind w:left="222"/>
      <w:outlineLvl w:val="2"/>
    </w:pPr>
    <w:rPr>
      <w:rFonts w:cs="Arial"/>
      <w:b/>
      <w:bCs/>
      <w:sz w:val="20"/>
      <w:szCs w:val="20"/>
      <w:lang w:val="pt-PT" w:eastAsia="en-US"/>
    </w:rPr>
  </w:style>
  <w:style w:type="paragraph" w:styleId="20">
    <w:name w:val="No Spacing"/>
    <w:link w:val="21"/>
    <w:qFormat/>
    <w:uiPriority w:val="1"/>
    <w:pPr>
      <w:ind w:left="0" w:right="0"/>
      <w:jc w:val="left"/>
    </w:pPr>
    <w:rPr>
      <w:rFonts w:ascii="Calibri" w:hAnsi="Calibri" w:eastAsia="Times New Roman" w:cs="Times New Roman"/>
      <w:sz w:val="20"/>
      <w:szCs w:val="20"/>
      <w:lang w:val="pt-BR" w:eastAsia="pt-BR" w:bidi="ar-SA"/>
    </w:rPr>
  </w:style>
  <w:style w:type="character" w:customStyle="1" w:styleId="21">
    <w:name w:val="Sem Espaçamento Char"/>
    <w:link w:val="20"/>
    <w:uiPriority w:val="1"/>
    <w:rPr>
      <w:rFonts w:ascii="Calibri" w:hAnsi="Calibri" w:eastAsia="Times New Roman" w:cs="Times New Roman"/>
      <w:sz w:val="20"/>
      <w:szCs w:val="20"/>
      <w:lang w:eastAsia="pt-BR"/>
    </w:rPr>
  </w:style>
  <w:style w:type="paragraph" w:customStyle="1" w:styleId="22">
    <w:name w:val="Nível 2 -Red"/>
    <w:basedOn w:val="12"/>
    <w:link w:val="23"/>
    <w:qFormat/>
    <w:uiPriority w:val="0"/>
    <w:pPr>
      <w:tabs>
        <w:tab w:val="left" w:pos="1080"/>
      </w:tabs>
      <w:spacing w:beforeLines="0" w:afterLines="0" w:line="276" w:lineRule="auto"/>
      <w:ind w:firstLine="0"/>
    </w:pPr>
    <w:rPr>
      <w:i/>
      <w:iCs/>
      <w:color w:val="FF0000"/>
    </w:rPr>
  </w:style>
  <w:style w:type="character" w:customStyle="1" w:styleId="23">
    <w:name w:val="Nível 2 -Red Char"/>
    <w:link w:val="22"/>
    <w:qFormat/>
    <w:uiPriority w:val="0"/>
    <w:rPr>
      <w:rFonts w:ascii="Arial" w:hAnsi="Arial" w:eastAsia="Times New Roman" w:cs="Times New Roman"/>
      <w:i/>
      <w:iCs/>
      <w:color w:val="FF0000"/>
      <w:sz w:val="20"/>
      <w:szCs w:val="20"/>
    </w:rPr>
  </w:style>
  <w:style w:type="character" w:customStyle="1" w:styleId="24">
    <w:name w:val="Rodapé Char"/>
    <w:basedOn w:val="3"/>
    <w:link w:val="8"/>
    <w:uiPriority w:val="99"/>
    <w:rPr>
      <w:rFonts w:ascii="Arial" w:hAnsi="Arial" w:eastAsia="Arial" w:cs="Times New Roman"/>
      <w:lang w:eastAsia="pt-BR"/>
    </w:rPr>
  </w:style>
  <w:style w:type="paragraph" w:styleId="25">
    <w:name w:val="List Paragraph"/>
    <w:basedOn w:val="1"/>
    <w:link w:val="26"/>
    <w:qFormat/>
    <w:uiPriority w:val="1"/>
    <w:pPr>
      <w:ind w:left="720"/>
      <w:contextualSpacing/>
    </w:pPr>
  </w:style>
  <w:style w:type="character" w:customStyle="1" w:styleId="26">
    <w:name w:val="Parágrafo da Lista Char"/>
    <w:link w:val="25"/>
    <w:uiPriority w:val="1"/>
    <w:rPr>
      <w:rFonts w:ascii="Arial" w:hAnsi="Arial" w:eastAsia="Arial" w:cs="Times New Roman"/>
      <w:lang w:eastAsia="pt-BR"/>
    </w:rPr>
  </w:style>
  <w:style w:type="paragraph" w:customStyle="1" w:styleId="27">
    <w:name w:val="Estilo1"/>
    <w:basedOn w:val="20"/>
    <w:link w:val="28"/>
    <w:qFormat/>
    <w:uiPriority w:val="0"/>
    <w:pPr>
      <w:spacing w:line="360" w:lineRule="auto"/>
      <w:ind w:firstLine="709"/>
      <w:jc w:val="both"/>
    </w:pPr>
    <w:rPr>
      <w:rFonts w:ascii="Arial" w:hAnsi="Arial" w:cs="Arial"/>
      <w:color w:val="000000" w:themeColor="text1"/>
      <w:sz w:val="24"/>
      <w:szCs w:val="24"/>
    </w:rPr>
  </w:style>
  <w:style w:type="character" w:customStyle="1" w:styleId="28">
    <w:name w:val="Estilo1 Char"/>
    <w:basedOn w:val="3"/>
    <w:link w:val="27"/>
    <w:uiPriority w:val="0"/>
    <w:rPr>
      <w:rFonts w:ascii="Arial" w:hAnsi="Arial" w:eastAsia="Times New Roman" w:cs="Arial"/>
      <w:color w:val="000000" w:themeColor="text1"/>
      <w:sz w:val="24"/>
      <w:szCs w:val="24"/>
      <w:lang w:eastAsia="pt-BR"/>
    </w:rPr>
  </w:style>
  <w:style w:type="table" w:customStyle="1" w:styleId="29">
    <w:name w:val="Table Normal"/>
    <w:uiPriority w:val="0"/>
    <w:pPr>
      <w:spacing w:line="360" w:lineRule="auto"/>
      <w:ind w:left="0" w:right="0"/>
      <w:jc w:val="left"/>
    </w:pPr>
    <w:rPr>
      <w:rFonts w:ascii="Arial" w:hAnsi="Arial" w:eastAsia="Arial" w:cs="Arial"/>
      <w:lang w:eastAsia="pt-BR"/>
    </w:rPr>
    <w:tblPr>
      <w:tblCellMar>
        <w:top w:w="0" w:type="dxa"/>
        <w:left w:w="0" w:type="dxa"/>
        <w:bottom w:w="0" w:type="dxa"/>
        <w:right w:w="0" w:type="dxa"/>
      </w:tblCellMar>
    </w:tblPr>
  </w:style>
  <w:style w:type="character" w:customStyle="1" w:styleId="30">
    <w:name w:val="Corpo de texto Char"/>
    <w:basedOn w:val="3"/>
    <w:link w:val="6"/>
    <w:uiPriority w:val="1"/>
    <w:rPr>
      <w:rFonts w:ascii="Times New Roman" w:hAnsi="Times New Roman" w:eastAsia="Calibri" w:cs="Times New Roman"/>
      <w:sz w:val="24"/>
      <w:szCs w:val="24"/>
      <w:lang w:val="zh-CN" w:eastAsia="zh-CN"/>
    </w:rPr>
  </w:style>
  <w:style w:type="paragraph" w:customStyle="1" w:styleId="31">
    <w:name w:val="Nível 02"/>
    <w:basedOn w:val="1"/>
    <w:link w:val="32"/>
    <w:autoRedefine/>
    <w:qFormat/>
    <w:uiPriority w:val="0"/>
    <w:pPr>
      <w:spacing w:before="120" w:after="120" w:line="276" w:lineRule="auto"/>
      <w:jc w:val="both"/>
    </w:pPr>
    <w:rPr>
      <w:rFonts w:eastAsia="Calibri" w:cs="Arial"/>
      <w:iCs/>
      <w:color w:val="000000"/>
      <w:sz w:val="24"/>
      <w:szCs w:val="24"/>
    </w:rPr>
  </w:style>
  <w:style w:type="character" w:customStyle="1" w:styleId="32">
    <w:name w:val="Nível 02 Char"/>
    <w:link w:val="31"/>
    <w:uiPriority w:val="0"/>
    <w:rPr>
      <w:rFonts w:ascii="Arial" w:hAnsi="Arial" w:eastAsia="Calibri" w:cs="Arial"/>
      <w:iCs/>
      <w:color w:val="000000"/>
      <w:sz w:val="24"/>
      <w:szCs w:val="24"/>
      <w:lang w:eastAsia="pt-B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6080</Words>
  <Characters>32834</Characters>
  <Lines>273</Lines>
  <Paragraphs>77</Paragraphs>
  <TotalTime>425</TotalTime>
  <ScaleCrop>false</ScaleCrop>
  <LinksUpToDate>false</LinksUpToDate>
  <CharactersWithSpaces>38837</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2024-05-13T18:56:00Z</dcterms:created>
  <dc:creator>LICITAPMA</dc:creator>
  <cp:lastModifiedBy>darllyson.henrique</cp:lastModifiedBy>
  <cp:lastPrinted>2024-05-20T12:12:00Z</cp:lastPrinted>
  <dcterms:modified xsi:type="dcterms:W3CDTF">2025-06-06T19:05:40Z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84B869DEB6B243BC808345565A4B143C_13</vt:lpwstr>
  </property>
</Properties>
</file>