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3.xml" ContentType="application/xml"/>
  <Override PartName="/customXml/itemProps2.xml" ContentType="application/vnd.openxmlformats-officedocument.customXmlProperties+xml"/>
  <Override PartName="/customXml/item4.xml" ContentType="application/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120" w:after="120"/>
        <w:jc w:val="center"/>
        <w:rPr>
          <w:rFonts w:ascii="Times New Roman" w:hAnsi="Times New Roman" w:cs="Times New Roman"/>
          <w:bCs/>
        </w:rPr>
      </w:pPr>
      <w:r>
        <w:rPr>
          <w:rFonts w:cs="Times New Roman" w:ascii="Times New Roman" w:hAnsi="Times New Roman"/>
          <w:b/>
          <w:bCs/>
          <w:iCs/>
          <w:color w:val="000000"/>
        </w:rPr>
        <w:t>MINUTA DA ATA DE REGISTRO DE PREÇOS</w:t>
      </w:r>
    </w:p>
    <w:p>
      <w:pPr>
        <w:pStyle w:val="Normal"/>
        <w:spacing w:before="120" w:after="120"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t>Lei nº 14.133, de 1º de abril de 2021</w:t>
      </w:r>
    </w:p>
    <w:p>
      <w:pPr>
        <w:pStyle w:val="Normal"/>
        <w:spacing w:before="120" w:after="120"/>
        <w:jc w:val="center"/>
        <w:rPr>
          <w:rFonts w:ascii="Times New Roman" w:hAnsi="Times New Roman" w:cs="Times New Roman"/>
          <w:b/>
          <w:b/>
          <w:shd w:fill="FFFF00" w:val="clear"/>
        </w:rPr>
      </w:pPr>
      <w:r>
        <w:rPr>
          <w:rFonts w:cs="Times New Roman" w:ascii="Times New Roman" w:hAnsi="Times New Roman"/>
          <w:b/>
          <w:shd w:fill="FFFF00" w:val="clear"/>
        </w:rPr>
      </w:r>
    </w:p>
    <w:p>
      <w:pPr>
        <w:pStyle w:val="Normal"/>
        <w:widowControl w:val="false"/>
        <w:spacing w:before="120" w:after="120"/>
        <w:ind w:right="-30" w:hanging="0"/>
        <w:jc w:val="center"/>
        <w:rPr>
          <w:rFonts w:ascii="Times New Roman" w:hAnsi="Times New Roman" w:cs="Times New Roman"/>
          <w:bCs/>
        </w:rPr>
      </w:pPr>
      <w:r>
        <w:rPr>
          <w:rFonts w:cs="Times New Roman" w:ascii="Times New Roman" w:hAnsi="Times New Roman"/>
          <w:b/>
          <w:bCs/>
          <w:shd w:fill="FFFFFF" w:val="clear"/>
        </w:rPr>
        <w:t xml:space="preserve">Processo </w:t>
      </w:r>
      <w:r>
        <w:rPr>
          <w:rFonts w:cs="Times New Roman" w:ascii="Times New Roman" w:hAnsi="Times New Roman"/>
          <w:b/>
          <w:bCs/>
          <w:shd w:fill="FFFFFF" w:val="clear"/>
        </w:rPr>
        <w:t>Licitatório</w:t>
      </w:r>
      <w:r>
        <w:rPr>
          <w:rFonts w:cs="Times New Roman" w:ascii="Times New Roman" w:hAnsi="Times New Roman"/>
          <w:b/>
          <w:bCs/>
          <w:shd w:fill="FFFFFF" w:val="clear"/>
        </w:rPr>
        <w:t xml:space="preserve"> nº:</w:t>
      </w:r>
      <w:r>
        <w:rPr>
          <w:rFonts w:cs="Times New Roman" w:ascii="Times New Roman" w:hAnsi="Times New Roman"/>
          <w:shd w:fill="FFFFFF" w:val="clear"/>
        </w:rPr>
        <w:t xml:space="preserve"> </w:t>
      </w:r>
      <w:r>
        <w:rPr>
          <w:rFonts w:cs="Times New Roman" w:ascii="Times New Roman" w:hAnsi="Times New Roman"/>
          <w:bCs/>
        </w:rPr>
        <w:t>0</w:t>
      </w:r>
      <w:r>
        <w:rPr>
          <w:rFonts w:cs="Times New Roman" w:ascii="Times New Roman" w:hAnsi="Times New Roman"/>
          <w:bCs/>
        </w:rPr>
        <w:t>77</w:t>
      </w:r>
      <w:r>
        <w:rPr>
          <w:rFonts w:cs="Times New Roman" w:ascii="Times New Roman" w:hAnsi="Times New Roman"/>
          <w:bCs/>
        </w:rPr>
        <w:t>/2024</w:t>
      </w:r>
    </w:p>
    <w:p>
      <w:pPr>
        <w:pStyle w:val="Normal"/>
        <w:widowControl w:val="false"/>
        <w:spacing w:before="120" w:after="120"/>
        <w:ind w:right="-30" w:hanging="0"/>
        <w:jc w:val="center"/>
        <w:rPr>
          <w:rFonts w:ascii="Times New Roman" w:hAnsi="Times New Roman" w:cs="Times New Roman"/>
          <w:bCs/>
        </w:rPr>
      </w:pPr>
      <w:r>
        <w:rPr>
          <w:rFonts w:cs="Times New Roman" w:ascii="Times New Roman" w:hAnsi="Times New Roman"/>
          <w:b/>
        </w:rPr>
        <w:t>Ata de Registro de Preços</w:t>
      </w:r>
      <w:r>
        <w:rPr>
          <w:rFonts w:cs="Times New Roman" w:ascii="Times New Roman" w:hAnsi="Times New Roman"/>
          <w:bCs/>
        </w:rPr>
        <w:t xml:space="preserve"> nº: .........</w:t>
      </w:r>
    </w:p>
    <w:p>
      <w:pPr>
        <w:pStyle w:val="Normal"/>
        <w:widowControl w:val="false"/>
        <w:spacing w:before="120" w:after="120"/>
        <w:ind w:right="-30" w:hanging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widowControl w:val="false"/>
        <w:tabs>
          <w:tab w:val="clear" w:pos="708"/>
          <w:tab w:val="center" w:pos="4779" w:leader="none"/>
          <w:tab w:val="right" w:pos="9198" w:leader="none"/>
        </w:tabs>
        <w:spacing w:before="120" w:after="120"/>
        <w:ind w:right="-28" w:hanging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A Prefeitura Municipal de Carmo do Paranaíba/MG, por intermédio da Diretoria de Compras e Licitações, com sede na Praça Misael Luiz de Carvalho, nº 84, bairro Centro,  na cidade de Carmo do Paranaíba, inscrito no CNPJ/MF sob o nº 18.602.029/0001-09, neste ato representado pelo Prefeito, César Caetano de Almeida Filho, considerando o julgamento da licitação na modalidade de pregão, na forma eletrônica, para REGISTRO DE PREÇOS nº </w:t>
      </w:r>
      <w:r>
        <w:rPr>
          <w:rFonts w:cs="Times New Roman" w:ascii="Times New Roman" w:hAnsi="Times New Roman"/>
          <w:b/>
          <w:bCs/>
          <w:shd w:fill="FFFFFF" w:val="clear"/>
        </w:rPr>
        <w:t>0</w:t>
      </w:r>
      <w:r>
        <w:rPr>
          <w:rFonts w:cs="Times New Roman" w:ascii="Times New Roman" w:hAnsi="Times New Roman"/>
          <w:b/>
          <w:bCs/>
          <w:shd w:fill="FFFFFF" w:val="clear"/>
        </w:rPr>
        <w:t>33</w:t>
      </w:r>
      <w:r>
        <w:rPr>
          <w:rFonts w:cs="Times New Roman" w:ascii="Times New Roman" w:hAnsi="Times New Roman"/>
          <w:b/>
          <w:bCs/>
          <w:shd w:fill="FFFFFF" w:val="clear"/>
        </w:rPr>
        <w:t>/2024</w:t>
      </w:r>
      <w:r>
        <w:rPr>
          <w:rFonts w:cs="Times New Roman" w:ascii="Times New Roman" w:hAnsi="Times New Roman"/>
          <w:shd w:fill="FFFFFF" w:val="clear"/>
        </w:rPr>
        <w:t>,</w:t>
      </w:r>
      <w:r>
        <w:rPr>
          <w:rFonts w:cs="Times New Roman" w:ascii="Times New Roman" w:hAnsi="Times New Roman"/>
        </w:rPr>
        <w:t xml:space="preserve"> RESOLVE registrar os preços da(s)  empresa(s) indicada(s) e qualificada(s) nesta ATA, de acordo com a classificação por ela(s) alcançada(s) e na(s)  quantidade(s)  cotada(s), atendendo as condições previstas no Edital de Licitação, sujeitando-se as partes às normas constantes na Lei nº 14.133, de 1º de abril de 2021, no Decreto Municipal nº 7.532, de 22 de janeiro de 2024, e em conformidade com as disposições a seguir:</w:t>
      </w:r>
    </w:p>
    <w:p>
      <w:pPr>
        <w:pStyle w:val="Normal"/>
        <w:widowControl w:val="false"/>
        <w:tabs>
          <w:tab w:val="clear" w:pos="708"/>
          <w:tab w:val="center" w:pos="4779" w:leader="none"/>
          <w:tab w:val="right" w:pos="9198" w:leader="none"/>
        </w:tabs>
        <w:spacing w:before="120" w:after="120"/>
        <w:ind w:right="-28" w:hanging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ivel01"/>
        <w:numPr>
          <w:ilvl w:val="0"/>
          <w:numId w:val="1"/>
        </w:numPr>
        <w:spacing w:lineRule="auto" w:line="240"/>
        <w:ind w:left="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DO OBJETO</w:t>
      </w:r>
    </w:p>
    <w:p>
      <w:pPr>
        <w:pStyle w:val="Nivel2"/>
        <w:numPr>
          <w:ilvl w:val="1"/>
          <w:numId w:val="1"/>
        </w:numPr>
        <w:spacing w:lineRule="auto" w:line="240"/>
        <w:ind w:left="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A presente Ata tem por objeto o </w:t>
      </w:r>
      <w:r>
        <w:rPr>
          <w:rFonts w:cs="Times New Roman" w:ascii="Times New Roman" w:hAnsi="Times New Roman"/>
          <w:sz w:val="24"/>
          <w:szCs w:val="24"/>
        </w:rPr>
        <w:t>R</w:t>
      </w:r>
      <w:r>
        <w:rPr>
          <w:rFonts w:cs="Times New Roman" w:ascii="Times New Roman" w:hAnsi="Times New Roman"/>
          <w:b/>
          <w:bCs/>
          <w:sz w:val="24"/>
          <w:szCs w:val="24"/>
        </w:rPr>
        <w:t>egistro de preços para a A</w:t>
      </w:r>
      <w:r>
        <w:rPr>
          <w:rFonts w:cs="Times New Roman" w:ascii="Times New Roman" w:hAnsi="Times New Roman"/>
          <w:b/>
          <w:bCs/>
          <w:i w:val="false"/>
          <w:iCs w:val="false"/>
          <w:sz w:val="24"/>
          <w:szCs w:val="24"/>
        </w:rPr>
        <w:t>quisição de materiais médico Hospitalares  e medicamentos</w:t>
      </w:r>
      <w:r>
        <w:rPr>
          <w:rFonts w:cs="Times New Roman" w:ascii="Times New Roman" w:hAnsi="Times New Roman"/>
          <w:b/>
          <w:bCs/>
          <w:sz w:val="24"/>
          <w:szCs w:val="24"/>
        </w:rPr>
        <w:t>, nos termos da tabela abaixo, conforme condições e exigências estabelecidas neste instrumento.</w:t>
      </w:r>
    </w:p>
    <w:p>
      <w:pPr>
        <w:pStyle w:val="Nivel2"/>
        <w:numPr>
          <w:ilvl w:val="0"/>
          <w:numId w:val="0"/>
        </w:numPr>
        <w:suppressAutoHyphens w:val="false"/>
        <w:spacing w:lineRule="auto" w:line="240"/>
        <w:ind w:left="71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ivel2"/>
        <w:numPr>
          <w:ilvl w:val="0"/>
          <w:numId w:val="0"/>
        </w:numPr>
        <w:spacing w:lineRule="auto" w:line="240"/>
        <w:ind w:left="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ivel01"/>
        <w:numPr>
          <w:ilvl w:val="0"/>
          <w:numId w:val="1"/>
        </w:numPr>
        <w:spacing w:lineRule="auto" w:line="240"/>
        <w:ind w:left="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DOS PREÇOS, ESPECIFICAÇÕES E QUANTITATIVOS</w:t>
      </w:r>
    </w:p>
    <w:p>
      <w:pPr>
        <w:pStyle w:val="Nivel2"/>
        <w:numPr>
          <w:ilvl w:val="1"/>
          <w:numId w:val="1"/>
        </w:numPr>
        <w:spacing w:lineRule="auto" w:line="240"/>
        <w:ind w:left="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O preço registrado, as especificações do objeto, as quantidades mínimas e máximas de cada item, fornecedor(es) e as demais condições ofertadas na(s) proposta(s) são as que seguem: </w:t>
      </w:r>
    </w:p>
    <w:p>
      <w:pPr>
        <w:pStyle w:val="Normal"/>
        <w:spacing w:before="120" w:after="120"/>
        <w:rPr>
          <w:rFonts w:ascii="Times New Roman" w:hAnsi="Times New Roman" w:cs="Times New Roman"/>
          <w:lang w:eastAsia="en-US"/>
        </w:rPr>
      </w:pPr>
      <w:r>
        <w:rPr>
          <w:rFonts w:cs="Times New Roman" w:ascii="Times New Roman" w:hAnsi="Times New Roman"/>
          <w:lang w:eastAsia="en-US"/>
        </w:rPr>
      </w:r>
    </w:p>
    <w:p>
      <w:pPr>
        <w:pStyle w:val="ListParagraph"/>
        <w:numPr>
          <w:ilvl w:val="0"/>
          <w:numId w:val="0"/>
        </w:numPr>
        <w:ind w:left="1283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tbl>
      <w:tblPr>
        <w:tblW w:w="9406" w:type="dxa"/>
        <w:jc w:val="left"/>
        <w:tblInd w:w="-3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818"/>
        <w:gridCol w:w="797"/>
        <w:gridCol w:w="902"/>
        <w:gridCol w:w="3785"/>
        <w:gridCol w:w="1568"/>
        <w:gridCol w:w="1535"/>
      </w:tblGrid>
      <w:tr>
        <w:trPr>
          <w:trHeight w:val="618" w:hRule="atLeast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left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ITEM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QTD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UND</w:t>
            </w:r>
          </w:p>
        </w:tc>
        <w:tc>
          <w:tcPr>
            <w:tcW w:w="3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both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MATERIAL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VALOR MÉDIO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VALOR TOTAL</w:t>
            </w:r>
          </w:p>
        </w:tc>
      </w:tr>
      <w:tr>
        <w:trPr>
          <w:trHeight w:val="1820" w:hRule="atLeast"/>
        </w:trPr>
        <w:tc>
          <w:tcPr>
            <w:tcW w:w="8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tabs>
                <w:tab w:val="clear" w:pos="708"/>
              </w:tabs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</w:t>
            </w:r>
          </w:p>
        </w:tc>
        <w:tc>
          <w:tcPr>
            <w:tcW w:w="37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Ambu pediátrico - balão em silicone translúcido autoclavável, pediátrico 500 ml . Máscara facial em silicone válvula unidirecional (bico de pato). Reservatório (não autoclavável) pediátrico 1000ml, extensão plástica 2,0m (não autoclavável) com conexão para oxigênio.com registro no órgão competente</w:t>
            </w:r>
          </w:p>
        </w:tc>
        <w:tc>
          <w:tcPr>
            <w:tcW w:w="15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R$ 175,40</w:t>
            </w:r>
          </w:p>
        </w:tc>
        <w:tc>
          <w:tcPr>
            <w:tcW w:w="15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R$ 877,00</w:t>
            </w:r>
          </w:p>
        </w:tc>
      </w:tr>
      <w:tr>
        <w:trPr>
          <w:trHeight w:val="276" w:hRule="atLeast"/>
        </w:trPr>
        <w:tc>
          <w:tcPr>
            <w:tcW w:w="8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tabs>
                <w:tab w:val="clear" w:pos="708"/>
              </w:tabs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20000</w:t>
            </w:r>
          </w:p>
        </w:tc>
        <w:tc>
          <w:tcPr>
            <w:tcW w:w="9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</w:t>
            </w:r>
          </w:p>
        </w:tc>
        <w:tc>
          <w:tcPr>
            <w:tcW w:w="37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Amitriptilina 25MG</w:t>
            </w:r>
          </w:p>
        </w:tc>
        <w:tc>
          <w:tcPr>
            <w:tcW w:w="15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R$ 0,70</w:t>
            </w:r>
          </w:p>
        </w:tc>
        <w:tc>
          <w:tcPr>
            <w:tcW w:w="15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R$ 14.000,00</w:t>
            </w:r>
          </w:p>
        </w:tc>
      </w:tr>
      <w:tr>
        <w:trPr>
          <w:trHeight w:val="276" w:hRule="atLeast"/>
        </w:trPr>
        <w:tc>
          <w:tcPr>
            <w:tcW w:w="8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tabs>
                <w:tab w:val="clear" w:pos="708"/>
              </w:tabs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9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AMP</w:t>
            </w:r>
          </w:p>
        </w:tc>
        <w:tc>
          <w:tcPr>
            <w:tcW w:w="37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Ampicilina sodica 1g pó p/ solução injetável</w:t>
            </w:r>
          </w:p>
        </w:tc>
        <w:tc>
          <w:tcPr>
            <w:tcW w:w="15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R$ 3,80</w:t>
            </w:r>
          </w:p>
        </w:tc>
        <w:tc>
          <w:tcPr>
            <w:tcW w:w="15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R$ 380,00</w:t>
            </w:r>
          </w:p>
        </w:tc>
      </w:tr>
      <w:tr>
        <w:trPr>
          <w:trHeight w:val="276" w:hRule="atLeast"/>
        </w:trPr>
        <w:tc>
          <w:tcPr>
            <w:tcW w:w="8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tabs>
                <w:tab w:val="clear" w:pos="708"/>
              </w:tabs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9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AMP</w:t>
            </w:r>
          </w:p>
        </w:tc>
        <w:tc>
          <w:tcPr>
            <w:tcW w:w="37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Benzilpenicilina procaína + potássica 400.000 UI</w:t>
            </w:r>
          </w:p>
        </w:tc>
        <w:tc>
          <w:tcPr>
            <w:tcW w:w="15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R$ 5,13</w:t>
            </w:r>
          </w:p>
        </w:tc>
        <w:tc>
          <w:tcPr>
            <w:tcW w:w="15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R$ 513,00</w:t>
            </w:r>
          </w:p>
        </w:tc>
      </w:tr>
      <w:tr>
        <w:trPr>
          <w:trHeight w:val="276" w:hRule="atLeast"/>
        </w:trPr>
        <w:tc>
          <w:tcPr>
            <w:tcW w:w="8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tabs>
                <w:tab w:val="clear" w:pos="708"/>
              </w:tabs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9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Amp</w:t>
            </w:r>
          </w:p>
        </w:tc>
        <w:tc>
          <w:tcPr>
            <w:tcW w:w="37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Biperideno lactato de 5mg/ml solução inj ampola de 1ml</w:t>
            </w:r>
          </w:p>
        </w:tc>
        <w:tc>
          <w:tcPr>
            <w:tcW w:w="15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R$ 2,47</w:t>
            </w:r>
          </w:p>
        </w:tc>
        <w:tc>
          <w:tcPr>
            <w:tcW w:w="15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R$ 247,00</w:t>
            </w:r>
          </w:p>
        </w:tc>
      </w:tr>
      <w:tr>
        <w:trPr>
          <w:trHeight w:val="276" w:hRule="atLeast"/>
        </w:trPr>
        <w:tc>
          <w:tcPr>
            <w:tcW w:w="8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tabs>
                <w:tab w:val="clear" w:pos="708"/>
              </w:tabs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</w:t>
            </w:r>
          </w:p>
        </w:tc>
        <w:tc>
          <w:tcPr>
            <w:tcW w:w="37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Bolsa térmica confeccionada em borracha, capacidade aproximada 2,0 litros,. Com registro na anvisa.</w:t>
            </w:r>
          </w:p>
        </w:tc>
        <w:tc>
          <w:tcPr>
            <w:tcW w:w="15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R$ 22,01</w:t>
            </w:r>
          </w:p>
        </w:tc>
        <w:tc>
          <w:tcPr>
            <w:tcW w:w="15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R$ 110,05</w:t>
            </w:r>
          </w:p>
        </w:tc>
      </w:tr>
      <w:tr>
        <w:trPr>
          <w:trHeight w:val="276" w:hRule="atLeast"/>
        </w:trPr>
        <w:tc>
          <w:tcPr>
            <w:tcW w:w="8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tabs>
                <w:tab w:val="clear" w:pos="708"/>
              </w:tabs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30000</w:t>
            </w:r>
          </w:p>
        </w:tc>
        <w:tc>
          <w:tcPr>
            <w:tcW w:w="9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</w:t>
            </w:r>
          </w:p>
        </w:tc>
        <w:tc>
          <w:tcPr>
            <w:tcW w:w="37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Carbonato de lítio 300mg</w:t>
            </w:r>
          </w:p>
        </w:tc>
        <w:tc>
          <w:tcPr>
            <w:tcW w:w="15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R$ 0,19</w:t>
            </w:r>
          </w:p>
        </w:tc>
        <w:tc>
          <w:tcPr>
            <w:tcW w:w="15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R$ 5.550,00</w:t>
            </w:r>
          </w:p>
        </w:tc>
      </w:tr>
      <w:tr>
        <w:trPr>
          <w:trHeight w:val="4283" w:hRule="atLeast"/>
        </w:trPr>
        <w:tc>
          <w:tcPr>
            <w:tcW w:w="8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tabs>
                <w:tab w:val="clear" w:pos="708"/>
              </w:tabs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</w:tc>
        <w:tc>
          <w:tcPr>
            <w:tcW w:w="9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both"/>
              <w:rPr>
                <w:b w:val="false"/>
                <w:b w:val="false"/>
                <w:bCs w:val="false"/>
                <w:sz w:val="20"/>
                <w:szCs w:val="20"/>
              </w:rPr>
            </w:pPr>
            <w:r>
              <w:rPr>
                <w:b w:val="false"/>
                <w:bCs w:val="false"/>
                <w:sz w:val="20"/>
                <w:szCs w:val="20"/>
              </w:rPr>
              <w:t>PLAC</w:t>
            </w:r>
          </w:p>
        </w:tc>
        <w:tc>
          <w:tcPr>
            <w:tcW w:w="37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Carvão Ativado empregnado com prata - cobertura estéril, recortável, composta de tecido de carvão ativado impregnado com prata envolto em nylon, selado em toda sua extensão. Deve ser usado em feridas que contém exsudato, por facilitar a passagem do mesmo para um segundo curativo. O curativo deve controlar o odor causado pelo exsudato. O carvão ativado deve exercer uma ação de limpeza e descontaminação ao adsorver e reter na sua estrutura os microrganismos, as endotoxinas bacterianas e os detritos metabólicos, favorecendo a atuação bactericida da prata neste ambiente, contribuindo para a evolução positiva da ferida e a redução da carga bacteriana Placas com tamanho de 10 x 20 cm. Produto deve ter boa qualidade, com registro na ANVISA.</w:t>
            </w:r>
          </w:p>
        </w:tc>
        <w:tc>
          <w:tcPr>
            <w:tcW w:w="15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R$ 14,53</w:t>
            </w:r>
          </w:p>
        </w:tc>
        <w:tc>
          <w:tcPr>
            <w:tcW w:w="15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R$ 14.530,00</w:t>
            </w:r>
          </w:p>
        </w:tc>
      </w:tr>
      <w:tr>
        <w:trPr>
          <w:trHeight w:val="276" w:hRule="atLeast"/>
        </w:trPr>
        <w:tc>
          <w:tcPr>
            <w:tcW w:w="8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tabs>
                <w:tab w:val="clear" w:pos="708"/>
              </w:tabs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</w:t>
            </w:r>
          </w:p>
        </w:tc>
        <w:tc>
          <w:tcPr>
            <w:tcW w:w="37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Carvão ativado, pacote 1 kg</w:t>
            </w:r>
          </w:p>
        </w:tc>
        <w:tc>
          <w:tcPr>
            <w:tcW w:w="15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R$ 11,15</w:t>
            </w:r>
          </w:p>
        </w:tc>
        <w:tc>
          <w:tcPr>
            <w:tcW w:w="15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R$ 66,90</w:t>
            </w:r>
          </w:p>
        </w:tc>
      </w:tr>
      <w:tr>
        <w:trPr>
          <w:trHeight w:val="276" w:hRule="atLeast"/>
        </w:trPr>
        <w:tc>
          <w:tcPr>
            <w:tcW w:w="8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tabs>
                <w:tab w:val="clear" w:pos="708"/>
              </w:tabs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50000</w:t>
            </w:r>
          </w:p>
        </w:tc>
        <w:tc>
          <w:tcPr>
            <w:tcW w:w="9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spacing w:before="0" w:after="20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Comprimido revestido</w:t>
            </w:r>
          </w:p>
        </w:tc>
        <w:tc>
          <w:tcPr>
            <w:tcW w:w="37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spacing w:before="0" w:after="20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Clomipramina cloridrato 25mg </w:t>
            </w:r>
          </w:p>
        </w:tc>
        <w:tc>
          <w:tcPr>
            <w:tcW w:w="15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R$0,82</w:t>
            </w:r>
          </w:p>
        </w:tc>
        <w:tc>
          <w:tcPr>
            <w:tcW w:w="15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R$ 41.000,00</w:t>
            </w:r>
          </w:p>
        </w:tc>
      </w:tr>
      <w:tr>
        <w:trPr>
          <w:trHeight w:val="276" w:hRule="atLeast"/>
        </w:trPr>
        <w:tc>
          <w:tcPr>
            <w:tcW w:w="8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tabs>
                <w:tab w:val="clear" w:pos="708"/>
              </w:tabs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350</w:t>
            </w:r>
          </w:p>
        </w:tc>
        <w:tc>
          <w:tcPr>
            <w:tcW w:w="9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FRASCO</w:t>
            </w:r>
          </w:p>
        </w:tc>
        <w:tc>
          <w:tcPr>
            <w:tcW w:w="37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3098" w:leader="none"/>
              </w:tabs>
              <w:rPr>
                <w:sz w:val="20"/>
                <w:szCs w:val="20"/>
                <w:shd w:fill="auto" w:val="clear"/>
              </w:rPr>
            </w:pPr>
            <w:r>
              <w:rPr>
                <w:sz w:val="20"/>
                <w:szCs w:val="20"/>
                <w:shd w:fill="auto" w:val="clear"/>
              </w:rPr>
              <w:t>CLOREXIDINE DEGERMANTE 2%. Gliconato de Clorexidina solução a 2% é um antisséptico tópico, indicado para antissepsia da pele no pré operatório. Embalagem 100 ml</w:t>
            </w:r>
          </w:p>
        </w:tc>
        <w:tc>
          <w:tcPr>
            <w:tcW w:w="15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R$ 4,75</w:t>
            </w:r>
          </w:p>
        </w:tc>
        <w:tc>
          <w:tcPr>
            <w:tcW w:w="15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R$ 1.662,50</w:t>
            </w:r>
          </w:p>
        </w:tc>
      </w:tr>
      <w:tr>
        <w:trPr>
          <w:trHeight w:val="276" w:hRule="atLeast"/>
        </w:trPr>
        <w:tc>
          <w:tcPr>
            <w:tcW w:w="8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tabs>
                <w:tab w:val="clear" w:pos="708"/>
              </w:tabs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350</w:t>
            </w:r>
          </w:p>
        </w:tc>
        <w:tc>
          <w:tcPr>
            <w:tcW w:w="9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FRASCO</w:t>
            </w:r>
          </w:p>
        </w:tc>
        <w:tc>
          <w:tcPr>
            <w:tcW w:w="37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CLOREDIXINE AQUOSA 0,5% Gliconato de Clorexina solução a 2% Aquosa e um antisséptico tópico indicado oara o preparo de mucosas para a realização de procedimentos cirúrgicas , preparo de região genital pre-sondagem vesical, assepsia extrabucal. Embalagem 100 ml</w:t>
            </w:r>
          </w:p>
        </w:tc>
        <w:tc>
          <w:tcPr>
            <w:tcW w:w="15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R$ 3,62</w:t>
            </w:r>
          </w:p>
        </w:tc>
        <w:tc>
          <w:tcPr>
            <w:tcW w:w="15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R$ 1.267,00</w:t>
            </w:r>
          </w:p>
        </w:tc>
      </w:tr>
      <w:tr>
        <w:trPr>
          <w:trHeight w:val="276" w:hRule="atLeast"/>
        </w:trPr>
        <w:tc>
          <w:tcPr>
            <w:tcW w:w="8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tabs>
                <w:tab w:val="clear" w:pos="708"/>
              </w:tabs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25000</w:t>
            </w:r>
          </w:p>
        </w:tc>
        <w:tc>
          <w:tcPr>
            <w:tcW w:w="9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</w:t>
            </w:r>
          </w:p>
        </w:tc>
        <w:tc>
          <w:tcPr>
            <w:tcW w:w="37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Clorpromazina 100mg</w:t>
            </w:r>
          </w:p>
        </w:tc>
        <w:tc>
          <w:tcPr>
            <w:tcW w:w="15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R$ 0,25</w:t>
            </w:r>
          </w:p>
        </w:tc>
        <w:tc>
          <w:tcPr>
            <w:tcW w:w="15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R$ 6.250,00</w:t>
            </w:r>
          </w:p>
        </w:tc>
      </w:tr>
      <w:tr>
        <w:trPr>
          <w:trHeight w:val="276" w:hRule="atLeast"/>
        </w:trPr>
        <w:tc>
          <w:tcPr>
            <w:tcW w:w="8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tabs>
                <w:tab w:val="clear" w:pos="708"/>
              </w:tabs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10000</w:t>
            </w:r>
          </w:p>
        </w:tc>
        <w:tc>
          <w:tcPr>
            <w:tcW w:w="9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</w:t>
            </w:r>
          </w:p>
        </w:tc>
        <w:tc>
          <w:tcPr>
            <w:tcW w:w="37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Clorpromazina 25mg</w:t>
            </w:r>
          </w:p>
        </w:tc>
        <w:tc>
          <w:tcPr>
            <w:tcW w:w="15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R$ 0,25</w:t>
            </w:r>
          </w:p>
        </w:tc>
        <w:tc>
          <w:tcPr>
            <w:tcW w:w="15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R$ 2.500,00</w:t>
            </w:r>
          </w:p>
        </w:tc>
      </w:tr>
      <w:tr>
        <w:trPr>
          <w:trHeight w:val="3164" w:hRule="atLeast"/>
        </w:trPr>
        <w:tc>
          <w:tcPr>
            <w:tcW w:w="8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tabs>
                <w:tab w:val="clear" w:pos="708"/>
              </w:tabs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750</w:t>
            </w:r>
          </w:p>
        </w:tc>
        <w:tc>
          <w:tcPr>
            <w:tcW w:w="9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FRAS</w:t>
            </w:r>
          </w:p>
        </w:tc>
        <w:tc>
          <w:tcPr>
            <w:tcW w:w="37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Creme barreira – tratamento para a pele seca ou irritada, causada pelo exsudato oriundo da pele perilesional. O creme barreira deve repelir a entrada de líquidos suavizando a pele, deve contér um protetor de pH que restaura o pH da pele, prevenindo lesões cutâneas. Deve ser composto por água, parafina líquida, petrolato, cera microcristalina, oleato de glicerol, álcool de lanolina, ácido cítrico, citrato de magnésio, ciclometicone, glicerina, metilparabeno, propilparabeno e propilenoglicol. Produto deve ter boa qualidade, com registro na ANVISA. Frasco com 60 gramas.</w:t>
            </w:r>
          </w:p>
        </w:tc>
        <w:tc>
          <w:tcPr>
            <w:tcW w:w="15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R$ 64,61</w:t>
            </w:r>
          </w:p>
        </w:tc>
        <w:tc>
          <w:tcPr>
            <w:tcW w:w="15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R$ 48.457,50</w:t>
            </w:r>
          </w:p>
        </w:tc>
      </w:tr>
      <w:tr>
        <w:trPr>
          <w:trHeight w:val="4283" w:hRule="atLeast"/>
        </w:trPr>
        <w:tc>
          <w:tcPr>
            <w:tcW w:w="8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tabs>
                <w:tab w:val="clear" w:pos="708"/>
              </w:tabs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</w:t>
            </w:r>
          </w:p>
        </w:tc>
        <w:tc>
          <w:tcPr>
            <w:tcW w:w="9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b w:val="false"/>
                <w:bCs w:val="false"/>
                <w:sz w:val="20"/>
                <w:szCs w:val="20"/>
              </w:rPr>
              <w:t>ROLO</w:t>
            </w:r>
          </w:p>
        </w:tc>
        <w:tc>
          <w:tcPr>
            <w:tcW w:w="37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Curativo de Filme Transparente - curativo transparente de composição estéril deve permitir uma aplicação discreta, enquanto sua permeabilidade ao oxigênio e ao vapor úmido favorece a cicatrização da ferida. O filme transparente deve atuar como uma segunda pele, criando uma barreira física que protege a ferida contra agentes externos como bactérias, vírus e poeira. Essa barreira deve impedir a contaminação, reduzindo o risco de infecções e promovendo um ambiente ideal para a cicatrização. O curativo deve permitir que a ferida fique visível o tempo todo, permitindo ao profissional de saúde monitorar a evolução da cicatrização sem a necessidade de remover o curativo. Produto deve ter boa qualidade, com registro na ANVISA. Rolo 10 cm x 2 metros.</w:t>
            </w:r>
          </w:p>
        </w:tc>
        <w:tc>
          <w:tcPr>
            <w:tcW w:w="15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R$ 105,11</w:t>
            </w:r>
          </w:p>
        </w:tc>
        <w:tc>
          <w:tcPr>
            <w:tcW w:w="15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R$ 31.533,00</w:t>
            </w:r>
          </w:p>
        </w:tc>
      </w:tr>
      <w:tr>
        <w:trPr>
          <w:trHeight w:val="276" w:hRule="atLeast"/>
        </w:trPr>
        <w:tc>
          <w:tcPr>
            <w:tcW w:w="8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tabs>
                <w:tab w:val="clear" w:pos="708"/>
              </w:tabs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</w:tc>
        <w:tc>
          <w:tcPr>
            <w:tcW w:w="9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AMP</w:t>
            </w:r>
          </w:p>
        </w:tc>
        <w:tc>
          <w:tcPr>
            <w:tcW w:w="37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Dimenidrato+ piridoxina 50mg+50mg/ml solução injetável (im) ampolas de 1ml</w:t>
            </w:r>
          </w:p>
        </w:tc>
        <w:tc>
          <w:tcPr>
            <w:tcW w:w="15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R$ 3,27</w:t>
            </w:r>
          </w:p>
        </w:tc>
        <w:tc>
          <w:tcPr>
            <w:tcW w:w="15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R$ 6.540,00</w:t>
            </w:r>
          </w:p>
        </w:tc>
      </w:tr>
      <w:tr>
        <w:trPr>
          <w:trHeight w:val="276" w:hRule="atLeast"/>
        </w:trPr>
        <w:tc>
          <w:tcPr>
            <w:tcW w:w="8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tabs>
                <w:tab w:val="clear" w:pos="708"/>
              </w:tabs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3800</w:t>
            </w:r>
          </w:p>
        </w:tc>
        <w:tc>
          <w:tcPr>
            <w:tcW w:w="9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FRAS</w:t>
            </w:r>
          </w:p>
        </w:tc>
        <w:tc>
          <w:tcPr>
            <w:tcW w:w="37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Dipirona sódica 500 mg/ml, solução oral gotas, frasco 20 ml</w:t>
            </w:r>
          </w:p>
        </w:tc>
        <w:tc>
          <w:tcPr>
            <w:tcW w:w="15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R$ 1,39</w:t>
            </w:r>
          </w:p>
        </w:tc>
        <w:tc>
          <w:tcPr>
            <w:tcW w:w="15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R$ 5.282,00</w:t>
            </w:r>
          </w:p>
        </w:tc>
      </w:tr>
      <w:tr>
        <w:trPr>
          <w:trHeight w:val="276" w:hRule="atLeast"/>
        </w:trPr>
        <w:tc>
          <w:tcPr>
            <w:tcW w:w="8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tabs>
                <w:tab w:val="clear" w:pos="708"/>
              </w:tabs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2100</w:t>
            </w:r>
          </w:p>
        </w:tc>
        <w:tc>
          <w:tcPr>
            <w:tcW w:w="9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</w:t>
            </w:r>
          </w:p>
        </w:tc>
        <w:tc>
          <w:tcPr>
            <w:tcW w:w="37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Divalproato de sódio 500 mg (Depakote ER), comprimido revestido de liberação prolongado</w:t>
            </w:r>
          </w:p>
        </w:tc>
        <w:tc>
          <w:tcPr>
            <w:tcW w:w="15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R$ 1,07</w:t>
            </w:r>
          </w:p>
        </w:tc>
        <w:tc>
          <w:tcPr>
            <w:tcW w:w="15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R$ 2.247,00</w:t>
            </w:r>
          </w:p>
        </w:tc>
      </w:tr>
      <w:tr>
        <w:trPr>
          <w:trHeight w:val="276" w:hRule="atLeast"/>
        </w:trPr>
        <w:tc>
          <w:tcPr>
            <w:tcW w:w="8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tabs>
                <w:tab w:val="clear" w:pos="708"/>
              </w:tabs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1400</w:t>
            </w:r>
          </w:p>
        </w:tc>
        <w:tc>
          <w:tcPr>
            <w:tcW w:w="9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Amp</w:t>
            </w:r>
          </w:p>
        </w:tc>
        <w:tc>
          <w:tcPr>
            <w:tcW w:w="37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Epinefrina, hemitartarato 1ml sol inj ampola de 1ml</w:t>
            </w:r>
          </w:p>
        </w:tc>
        <w:tc>
          <w:tcPr>
            <w:tcW w:w="15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R$ 1,03</w:t>
            </w:r>
          </w:p>
        </w:tc>
        <w:tc>
          <w:tcPr>
            <w:tcW w:w="15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R$ 1.442,00</w:t>
            </w:r>
          </w:p>
        </w:tc>
      </w:tr>
      <w:tr>
        <w:trPr>
          <w:trHeight w:val="276" w:hRule="atLeast"/>
        </w:trPr>
        <w:tc>
          <w:tcPr>
            <w:tcW w:w="8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tabs>
                <w:tab w:val="clear" w:pos="708"/>
              </w:tabs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</w:tc>
        <w:tc>
          <w:tcPr>
            <w:tcW w:w="9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</w:t>
            </w:r>
          </w:p>
        </w:tc>
        <w:tc>
          <w:tcPr>
            <w:tcW w:w="37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Espiramicina 500 mg</w:t>
            </w:r>
          </w:p>
        </w:tc>
        <w:tc>
          <w:tcPr>
            <w:tcW w:w="15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R$ 4,31</w:t>
            </w:r>
          </w:p>
        </w:tc>
        <w:tc>
          <w:tcPr>
            <w:tcW w:w="15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R$ 4.310,00</w:t>
            </w:r>
          </w:p>
        </w:tc>
      </w:tr>
      <w:tr>
        <w:trPr>
          <w:trHeight w:val="276" w:hRule="atLeast"/>
        </w:trPr>
        <w:tc>
          <w:tcPr>
            <w:tcW w:w="8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tabs>
                <w:tab w:val="clear" w:pos="708"/>
              </w:tabs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</w:t>
            </w:r>
          </w:p>
        </w:tc>
        <w:tc>
          <w:tcPr>
            <w:tcW w:w="9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Frasco</w:t>
            </w:r>
          </w:p>
        </w:tc>
        <w:tc>
          <w:tcPr>
            <w:tcW w:w="37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Fenoterol, bromidrato 5mg/ml sol p/ inalação, frasco de 20 ml</w:t>
            </w:r>
          </w:p>
        </w:tc>
        <w:tc>
          <w:tcPr>
            <w:tcW w:w="15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R$ 7,07</w:t>
            </w:r>
          </w:p>
        </w:tc>
        <w:tc>
          <w:tcPr>
            <w:tcW w:w="15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R$ 2.121,00</w:t>
            </w:r>
          </w:p>
        </w:tc>
      </w:tr>
      <w:tr>
        <w:trPr>
          <w:trHeight w:val="276" w:hRule="atLeast"/>
        </w:trPr>
        <w:tc>
          <w:tcPr>
            <w:tcW w:w="8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tabs>
                <w:tab w:val="clear" w:pos="708"/>
              </w:tabs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</w:tc>
        <w:tc>
          <w:tcPr>
            <w:tcW w:w="9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Amp</w:t>
            </w:r>
          </w:p>
        </w:tc>
        <w:tc>
          <w:tcPr>
            <w:tcW w:w="37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Fentanila 0,05 mg/ml sol injetável ampolas de 10 ml</w:t>
            </w:r>
          </w:p>
        </w:tc>
        <w:tc>
          <w:tcPr>
            <w:tcW w:w="15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R$ 2,56</w:t>
            </w:r>
          </w:p>
        </w:tc>
        <w:tc>
          <w:tcPr>
            <w:tcW w:w="15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R$ 1.280,00</w:t>
            </w:r>
          </w:p>
        </w:tc>
      </w:tr>
      <w:tr>
        <w:trPr>
          <w:trHeight w:val="276" w:hRule="atLeast"/>
        </w:trPr>
        <w:tc>
          <w:tcPr>
            <w:tcW w:w="8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tabs>
                <w:tab w:val="clear" w:pos="708"/>
              </w:tabs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9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CX</w:t>
            </w:r>
          </w:p>
        </w:tc>
        <w:tc>
          <w:tcPr>
            <w:tcW w:w="37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Fio cat gut simples, 0,70 m com agulha 2 cm cortante 2-0, cx com 24 unidades.</w:t>
            </w:r>
          </w:p>
        </w:tc>
        <w:tc>
          <w:tcPr>
            <w:tcW w:w="15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R$ 150,75</w:t>
            </w:r>
          </w:p>
        </w:tc>
        <w:tc>
          <w:tcPr>
            <w:tcW w:w="15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R$ 1.055,25</w:t>
            </w:r>
          </w:p>
        </w:tc>
      </w:tr>
      <w:tr>
        <w:trPr>
          <w:trHeight w:val="276" w:hRule="atLeast"/>
        </w:trPr>
        <w:tc>
          <w:tcPr>
            <w:tcW w:w="8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tabs>
                <w:tab w:val="clear" w:pos="708"/>
              </w:tabs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CX</w:t>
            </w:r>
          </w:p>
        </w:tc>
        <w:tc>
          <w:tcPr>
            <w:tcW w:w="37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Fio cat gut simples, 0,70 m com agulha 2 cm cortante 3-0, cx com 24 unidades.</w:t>
            </w:r>
          </w:p>
        </w:tc>
        <w:tc>
          <w:tcPr>
            <w:tcW w:w="15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R$ 197,57</w:t>
            </w:r>
          </w:p>
        </w:tc>
        <w:tc>
          <w:tcPr>
            <w:tcW w:w="15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R$ 1.975,70</w:t>
            </w:r>
          </w:p>
        </w:tc>
      </w:tr>
      <w:tr>
        <w:trPr>
          <w:trHeight w:val="3641" w:hRule="atLeast"/>
        </w:trPr>
        <w:tc>
          <w:tcPr>
            <w:tcW w:w="8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tabs>
                <w:tab w:val="clear" w:pos="708"/>
              </w:tabs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</w:t>
            </w:r>
          </w:p>
        </w:tc>
        <w:tc>
          <w:tcPr>
            <w:tcW w:w="9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both"/>
              <w:rPr>
                <w:b w:val="false"/>
                <w:b w:val="false"/>
                <w:bCs w:val="false"/>
                <w:sz w:val="20"/>
                <w:szCs w:val="20"/>
              </w:rPr>
            </w:pPr>
            <w:r>
              <w:rPr>
                <w:b w:val="false"/>
                <w:bCs w:val="false"/>
                <w:sz w:val="20"/>
                <w:szCs w:val="20"/>
              </w:rPr>
              <w:t>BISN</w:t>
            </w:r>
          </w:p>
        </w:tc>
        <w:tc>
          <w:tcPr>
            <w:tcW w:w="37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Hidrogel  - Gel absorvente transparente e viscoso. Composto a base de água purificada, propilenoglicol, carbômero 940, trietanolamina, alginato de cálcio e sódio, conservantes e carboximetilcelulose, sendo um curativo primário em: feridas secas, queimaduras de segundo grau, úlceras venosas, arteriais e por pressão, abrasões e lacerações. Deve possuir ação altamente absorvente que proporciona melhor cicatrização, favorecendo o ambiente úmido ideal para a hidratação da lesão. Além disso, deve ter capacidade de amolecer tecidos inviáveis, facilitando a cicatrização. Produto deve ter boa qualidade, com registro na ANVISA. Bisnaga com 30 gramas.</w:t>
            </w:r>
          </w:p>
        </w:tc>
        <w:tc>
          <w:tcPr>
            <w:tcW w:w="15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R$ 21,69</w:t>
            </w:r>
          </w:p>
        </w:tc>
        <w:tc>
          <w:tcPr>
            <w:tcW w:w="15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R$ 32.535,00</w:t>
            </w:r>
          </w:p>
        </w:tc>
      </w:tr>
      <w:tr>
        <w:trPr>
          <w:trHeight w:val="256" w:hRule="atLeast"/>
        </w:trPr>
        <w:tc>
          <w:tcPr>
            <w:tcW w:w="8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tabs>
                <w:tab w:val="clear" w:pos="708"/>
              </w:tabs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60000</w:t>
            </w:r>
          </w:p>
        </w:tc>
        <w:tc>
          <w:tcPr>
            <w:tcW w:w="9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</w:t>
            </w:r>
          </w:p>
        </w:tc>
        <w:tc>
          <w:tcPr>
            <w:tcW w:w="37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Imipramina cloridrato 25 mg</w:t>
            </w:r>
          </w:p>
        </w:tc>
        <w:tc>
          <w:tcPr>
            <w:tcW w:w="15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R$ 0,42</w:t>
            </w:r>
          </w:p>
        </w:tc>
        <w:tc>
          <w:tcPr>
            <w:tcW w:w="15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R$ 25.200,00</w:t>
            </w:r>
          </w:p>
        </w:tc>
      </w:tr>
      <w:tr>
        <w:trPr>
          <w:trHeight w:val="276" w:hRule="atLeast"/>
        </w:trPr>
        <w:tc>
          <w:tcPr>
            <w:tcW w:w="8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tabs>
                <w:tab w:val="clear" w:pos="708"/>
              </w:tabs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9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</w:t>
            </w:r>
          </w:p>
        </w:tc>
        <w:tc>
          <w:tcPr>
            <w:tcW w:w="37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Insulina RÁPIDA (FIASP) 100 UI, frasco de 10 ml , caixa com 01 frasco.</w:t>
            </w:r>
          </w:p>
        </w:tc>
        <w:tc>
          <w:tcPr>
            <w:tcW w:w="15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R$ 208,95</w:t>
            </w:r>
          </w:p>
        </w:tc>
        <w:tc>
          <w:tcPr>
            <w:tcW w:w="15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R$ 7.522,20</w:t>
            </w:r>
          </w:p>
        </w:tc>
      </w:tr>
      <w:tr>
        <w:trPr>
          <w:trHeight w:val="276" w:hRule="atLeast"/>
        </w:trPr>
        <w:tc>
          <w:tcPr>
            <w:tcW w:w="8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tabs>
                <w:tab w:val="clear" w:pos="708"/>
              </w:tabs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</w:tc>
        <w:tc>
          <w:tcPr>
            <w:tcW w:w="9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</w:t>
            </w:r>
          </w:p>
        </w:tc>
        <w:tc>
          <w:tcPr>
            <w:tcW w:w="37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Contedodatabela"/>
              <w:widowControl w:val="false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Isossorbida dinitrato 5 mg sublingual</w:t>
            </w:r>
          </w:p>
        </w:tc>
        <w:tc>
          <w:tcPr>
            <w:tcW w:w="15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R$ 0,27</w:t>
            </w:r>
          </w:p>
        </w:tc>
        <w:tc>
          <w:tcPr>
            <w:tcW w:w="15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R$ 540,00</w:t>
            </w:r>
          </w:p>
        </w:tc>
      </w:tr>
      <w:tr>
        <w:trPr>
          <w:trHeight w:val="1597" w:hRule="atLeast"/>
        </w:trPr>
        <w:tc>
          <w:tcPr>
            <w:tcW w:w="8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tabs>
                <w:tab w:val="clear" w:pos="708"/>
              </w:tabs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9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</w:tc>
        <w:tc>
          <w:tcPr>
            <w:tcW w:w="37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Kit para acesso venoso central, contendo 01 cateter de poliuretano 7 fr x 30 cm com oclusores , 01 aba sutura, 01 braçadeira, 01 um fio guia pontas reta e j, 01 agulha, 02 tampas luer, 01 seringa de 5 ml com agulha hipodérmica 30x7 e dilatador de vaso 8 fr x 4. Registro na anvisa</w:t>
            </w:r>
          </w:p>
        </w:tc>
        <w:tc>
          <w:tcPr>
            <w:tcW w:w="15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R$ 165,85</w:t>
            </w:r>
          </w:p>
        </w:tc>
        <w:tc>
          <w:tcPr>
            <w:tcW w:w="15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R$ 5.970,60</w:t>
            </w:r>
          </w:p>
        </w:tc>
      </w:tr>
      <w:tr>
        <w:trPr>
          <w:trHeight w:val="477" w:hRule="atLeast"/>
        </w:trPr>
        <w:tc>
          <w:tcPr>
            <w:tcW w:w="8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tabs>
                <w:tab w:val="clear" w:pos="708"/>
              </w:tabs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9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</w:tc>
        <w:tc>
          <w:tcPr>
            <w:tcW w:w="37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Lâmpada halogênea para foco cirúrgico 12 v x 25w</w:t>
            </w:r>
          </w:p>
        </w:tc>
        <w:tc>
          <w:tcPr>
            <w:tcW w:w="15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R$ 43,75</w:t>
            </w:r>
          </w:p>
        </w:tc>
        <w:tc>
          <w:tcPr>
            <w:tcW w:w="15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R$ 875,00</w:t>
            </w:r>
          </w:p>
        </w:tc>
      </w:tr>
      <w:tr>
        <w:trPr>
          <w:trHeight w:val="2492" w:hRule="atLeast"/>
        </w:trPr>
        <w:tc>
          <w:tcPr>
            <w:tcW w:w="8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tabs>
                <w:tab w:val="clear" w:pos="708"/>
              </w:tabs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4800</w:t>
            </w:r>
          </w:p>
        </w:tc>
        <w:tc>
          <w:tcPr>
            <w:tcW w:w="9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Rolos</w:t>
            </w:r>
          </w:p>
        </w:tc>
        <w:tc>
          <w:tcPr>
            <w:tcW w:w="37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Lençol de papel 70 cm x 50 cm, cor branca produzido com 100% fibras de celulose virgem, ou seja, não consta em sua composição nenhuma partícula de papel reciclável, a vantagem dessa pureza é a ausência de contaminantes, normalmente encontrados nos papéis reciclados, que são produzidos a partir de papéis provenientes de fontes desconhecidas, como lixões e sucatas sem qualquer controle higiênico. Folhas picotadas, facilitando o manuseio.</w:t>
            </w:r>
          </w:p>
        </w:tc>
        <w:tc>
          <w:tcPr>
            <w:tcW w:w="15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R$ 14,90</w:t>
            </w:r>
          </w:p>
        </w:tc>
        <w:tc>
          <w:tcPr>
            <w:tcW w:w="15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R$ 71.520,00</w:t>
            </w:r>
          </w:p>
        </w:tc>
      </w:tr>
      <w:tr>
        <w:trPr>
          <w:trHeight w:val="276" w:hRule="atLeast"/>
        </w:trPr>
        <w:tc>
          <w:tcPr>
            <w:tcW w:w="8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tabs>
                <w:tab w:val="clear" w:pos="708"/>
              </w:tabs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20000</w:t>
            </w:r>
          </w:p>
        </w:tc>
        <w:tc>
          <w:tcPr>
            <w:tcW w:w="9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</w:t>
            </w:r>
          </w:p>
        </w:tc>
        <w:tc>
          <w:tcPr>
            <w:tcW w:w="37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Levomepromazina maleato 25 mg</w:t>
            </w:r>
          </w:p>
        </w:tc>
        <w:tc>
          <w:tcPr>
            <w:tcW w:w="15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R$ 0,45</w:t>
            </w:r>
          </w:p>
        </w:tc>
        <w:tc>
          <w:tcPr>
            <w:tcW w:w="15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R$ 9.000,00</w:t>
            </w:r>
          </w:p>
        </w:tc>
      </w:tr>
      <w:tr>
        <w:trPr>
          <w:trHeight w:val="276" w:hRule="atLeast"/>
        </w:trPr>
        <w:tc>
          <w:tcPr>
            <w:tcW w:w="8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tabs>
                <w:tab w:val="clear" w:pos="708"/>
              </w:tabs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740</w:t>
            </w:r>
          </w:p>
        </w:tc>
        <w:tc>
          <w:tcPr>
            <w:tcW w:w="9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</w:t>
            </w:r>
          </w:p>
        </w:tc>
        <w:tc>
          <w:tcPr>
            <w:tcW w:w="37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Lidocaína cloridrato 20 mg/g, geléia.</w:t>
            </w:r>
          </w:p>
        </w:tc>
        <w:tc>
          <w:tcPr>
            <w:tcW w:w="15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R$ 15,99</w:t>
            </w:r>
          </w:p>
        </w:tc>
        <w:tc>
          <w:tcPr>
            <w:tcW w:w="15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R$ 11.832,60</w:t>
            </w:r>
          </w:p>
        </w:tc>
      </w:tr>
      <w:tr>
        <w:trPr>
          <w:trHeight w:val="276" w:hRule="atLeast"/>
        </w:trPr>
        <w:tc>
          <w:tcPr>
            <w:tcW w:w="8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tabs>
                <w:tab w:val="clear" w:pos="708"/>
              </w:tabs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440</w:t>
            </w:r>
          </w:p>
        </w:tc>
        <w:tc>
          <w:tcPr>
            <w:tcW w:w="9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Tubo</w:t>
            </w:r>
          </w:p>
        </w:tc>
        <w:tc>
          <w:tcPr>
            <w:tcW w:w="37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Lidocaína, cloridrato 2% gel tubo com 30 gr</w:t>
            </w:r>
          </w:p>
        </w:tc>
        <w:tc>
          <w:tcPr>
            <w:tcW w:w="15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R$ 3,53</w:t>
            </w:r>
          </w:p>
        </w:tc>
        <w:tc>
          <w:tcPr>
            <w:tcW w:w="15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R$ 1.553,20</w:t>
            </w:r>
          </w:p>
        </w:tc>
      </w:tr>
      <w:tr>
        <w:trPr>
          <w:trHeight w:val="276" w:hRule="atLeast"/>
        </w:trPr>
        <w:tc>
          <w:tcPr>
            <w:tcW w:w="8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tabs>
                <w:tab w:val="clear" w:pos="708"/>
              </w:tabs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9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</w:t>
            </w:r>
          </w:p>
        </w:tc>
        <w:tc>
          <w:tcPr>
            <w:tcW w:w="37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Manômetro - válvula reguladora com fluxômetro: válvula reguladora de pressão para cilindro de o2 mais fluxômetro com elemento cápsula e tubo de bourdon para visualização de pressão. Resistente a pressões positivas, com correção do ponto zero para gás e ar.escala de pressão do manômetro: 0 à 31,5 mpa (0 à 315kgf/cm²); corpo em latão cromado; conexões de entrada e saída em latão cromado; saída do gás calibrado: 3,5 + 0,3kgf/cm²; conexões de entrada e saída conforme normas abnt.</w:t>
            </w:r>
          </w:p>
        </w:tc>
        <w:tc>
          <w:tcPr>
            <w:tcW w:w="15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R$ 331,36</w:t>
            </w:r>
          </w:p>
        </w:tc>
        <w:tc>
          <w:tcPr>
            <w:tcW w:w="15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R$ 23.195,20</w:t>
            </w:r>
          </w:p>
        </w:tc>
      </w:tr>
      <w:tr>
        <w:trPr>
          <w:trHeight w:val="276" w:hRule="atLeast"/>
        </w:trPr>
        <w:tc>
          <w:tcPr>
            <w:tcW w:w="8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tabs>
                <w:tab w:val="clear" w:pos="708"/>
              </w:tabs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4000</w:t>
            </w:r>
          </w:p>
        </w:tc>
        <w:tc>
          <w:tcPr>
            <w:tcW w:w="9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AMP</w:t>
            </w:r>
          </w:p>
        </w:tc>
        <w:tc>
          <w:tcPr>
            <w:tcW w:w="37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Odansetrona, cloridrato 2 mg/ml solução injetável ampola de 2 ml</w:t>
            </w:r>
          </w:p>
        </w:tc>
        <w:tc>
          <w:tcPr>
            <w:tcW w:w="15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R$ 1,21</w:t>
            </w:r>
          </w:p>
        </w:tc>
        <w:tc>
          <w:tcPr>
            <w:tcW w:w="15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R$ 4.840,00</w:t>
            </w:r>
          </w:p>
        </w:tc>
      </w:tr>
      <w:tr>
        <w:trPr>
          <w:trHeight w:val="256" w:hRule="atLeast"/>
        </w:trPr>
        <w:tc>
          <w:tcPr>
            <w:tcW w:w="8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tabs>
                <w:tab w:val="clear" w:pos="708"/>
              </w:tabs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9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FRAS</w:t>
            </w:r>
          </w:p>
        </w:tc>
        <w:tc>
          <w:tcPr>
            <w:tcW w:w="37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Periciazina 40 mg/ml, solução oral</w:t>
            </w:r>
          </w:p>
        </w:tc>
        <w:tc>
          <w:tcPr>
            <w:tcW w:w="15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R$ 20,82</w:t>
            </w:r>
          </w:p>
        </w:tc>
        <w:tc>
          <w:tcPr>
            <w:tcW w:w="15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R$ 4.164,00</w:t>
            </w:r>
          </w:p>
        </w:tc>
      </w:tr>
      <w:tr>
        <w:trPr>
          <w:trHeight w:val="5179" w:hRule="atLeast"/>
        </w:trPr>
        <w:tc>
          <w:tcPr>
            <w:tcW w:w="8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tabs>
                <w:tab w:val="clear" w:pos="708"/>
              </w:tabs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</w:t>
            </w:r>
          </w:p>
        </w:tc>
        <w:tc>
          <w:tcPr>
            <w:tcW w:w="9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both"/>
              <w:rPr>
                <w:b w:val="false"/>
                <w:b w:val="false"/>
                <w:bCs w:val="false"/>
                <w:sz w:val="20"/>
                <w:szCs w:val="20"/>
              </w:rPr>
            </w:pPr>
            <w:r>
              <w:rPr>
                <w:b w:val="false"/>
                <w:bCs w:val="false"/>
                <w:sz w:val="20"/>
                <w:szCs w:val="20"/>
              </w:rPr>
              <w:t>PLAC</w:t>
            </w:r>
          </w:p>
        </w:tc>
        <w:tc>
          <w:tcPr>
            <w:tcW w:w="37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Placa de alginato de cálcio empregnado com prata - As placas devem ser compostas por fibras de ácido algínico (ácido gulurônico e ácido manurônico) extraído das algas marinhas marrons. Deve contér também íons de cálcio e sódio. As placas devem ter camada externa de poliuretano e camada interna composta de gelatina, pectina e carboximetilcelulose sódica. Deve apresentar-se em forma de placa ou cordão estéreis. Deve promover troca iônica do cálcio do alginato com o sódio do sangue e do exsudato. Sendo necessário promover a hemostasia, absorver exsudato, formar um gel que mantém a umidade, promover a granulação e auxilia o desbridamento autolítico.Indicado para feridas com ou sem infecção, com moderada a intensa exudação, com ou sem tecido necrótico, exceto, em caso de necrose seca e com ou sem sangramento. Placa com tamanho de 15x15 cm. Produto deve ter boa qualidade, com registro na ANVISA</w:t>
            </w:r>
          </w:p>
        </w:tc>
        <w:tc>
          <w:tcPr>
            <w:tcW w:w="15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R$ 20,33</w:t>
            </w:r>
          </w:p>
        </w:tc>
        <w:tc>
          <w:tcPr>
            <w:tcW w:w="15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R$ 30.495,00</w:t>
            </w:r>
          </w:p>
        </w:tc>
      </w:tr>
      <w:tr>
        <w:trPr>
          <w:trHeight w:val="4731" w:hRule="atLeast"/>
        </w:trPr>
        <w:tc>
          <w:tcPr>
            <w:tcW w:w="8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tabs>
                <w:tab w:val="clear" w:pos="708"/>
              </w:tabs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</w:t>
            </w:r>
          </w:p>
        </w:tc>
        <w:tc>
          <w:tcPr>
            <w:tcW w:w="9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both"/>
              <w:rPr>
                <w:b w:val="false"/>
                <w:b w:val="false"/>
                <w:bCs w:val="false"/>
                <w:sz w:val="20"/>
                <w:szCs w:val="20"/>
              </w:rPr>
            </w:pPr>
            <w:r>
              <w:rPr>
                <w:b w:val="false"/>
                <w:bCs w:val="false"/>
                <w:sz w:val="20"/>
                <w:szCs w:val="20"/>
              </w:rPr>
              <w:t>PLAC</w:t>
            </w:r>
          </w:p>
        </w:tc>
        <w:tc>
          <w:tcPr>
            <w:tcW w:w="37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Placa de Hidrocolóide - curativo para feridas que deve fornecer um ambiente cicatrizante úmido, para a proteção da lesão enquanto o processo cicatricial ocorre. O componente deve agir como uma segunda pele. Composto por uma camada interna autoadesiva hipoalergênica, que deve entrar em contato com o exsudato da ferida, a matriz elastomérica deve ser capaz de absorve-lo formando um gel que deve promover o desenvolvimento de um meio úmido otimizando todo o processo de cicatrização da ferida e permitindo a troca do curativo sem causar danos ao tecido recém-formado. A camada externa do hidrocolóide deve ser permeável a gases e vapores de água, funcionando como uma barreira oclusiva perante líquidos e micro-organismos. Placa com tamanho de 10x10 cm. Produto deve ter boa qualidade, com registro na ANVISA</w:t>
            </w:r>
          </w:p>
        </w:tc>
        <w:tc>
          <w:tcPr>
            <w:tcW w:w="15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R$ 9,32</w:t>
            </w:r>
          </w:p>
        </w:tc>
        <w:tc>
          <w:tcPr>
            <w:tcW w:w="15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R$ 13.980,00</w:t>
            </w:r>
          </w:p>
        </w:tc>
      </w:tr>
      <w:tr>
        <w:trPr>
          <w:trHeight w:val="701" w:hRule="atLeast"/>
        </w:trPr>
        <w:tc>
          <w:tcPr>
            <w:tcW w:w="8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tabs>
                <w:tab w:val="clear" w:pos="708"/>
              </w:tabs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</w:t>
            </w:r>
          </w:p>
        </w:tc>
        <w:tc>
          <w:tcPr>
            <w:tcW w:w="9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</w:t>
            </w:r>
          </w:p>
        </w:tc>
        <w:tc>
          <w:tcPr>
            <w:tcW w:w="37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Pvpi dergermante iodopovidona (polivinil pirrolidona iodo) – p.v.p.i 10% (1% de iodo ativo), frasco com 1000 ml 1000 ml</w:t>
            </w:r>
          </w:p>
        </w:tc>
        <w:tc>
          <w:tcPr>
            <w:tcW w:w="15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R$ 68,86</w:t>
            </w:r>
          </w:p>
        </w:tc>
        <w:tc>
          <w:tcPr>
            <w:tcW w:w="15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R$ 10.742,16</w:t>
            </w:r>
          </w:p>
        </w:tc>
      </w:tr>
      <w:tr>
        <w:trPr>
          <w:trHeight w:val="256" w:hRule="atLeast"/>
        </w:trPr>
        <w:tc>
          <w:tcPr>
            <w:tcW w:w="8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tabs>
                <w:tab w:val="clear" w:pos="708"/>
              </w:tabs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640</w:t>
            </w:r>
          </w:p>
        </w:tc>
        <w:tc>
          <w:tcPr>
            <w:tcW w:w="9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Frasco</w:t>
            </w:r>
          </w:p>
        </w:tc>
        <w:tc>
          <w:tcPr>
            <w:tcW w:w="37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Salbutamol, sulfato 100mcg/dose aerossol oral frasco de 200 doses</w:t>
            </w:r>
          </w:p>
        </w:tc>
        <w:tc>
          <w:tcPr>
            <w:tcW w:w="15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R$ 11,49</w:t>
            </w:r>
          </w:p>
        </w:tc>
        <w:tc>
          <w:tcPr>
            <w:tcW w:w="15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R$ 7.353,60</w:t>
            </w:r>
          </w:p>
        </w:tc>
      </w:tr>
      <w:tr>
        <w:trPr>
          <w:trHeight w:val="6104" w:hRule="atLeast"/>
        </w:trPr>
        <w:tc>
          <w:tcPr>
            <w:tcW w:w="8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tabs>
                <w:tab w:val="clear" w:pos="708"/>
              </w:tabs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580</w:t>
            </w:r>
          </w:p>
        </w:tc>
        <w:tc>
          <w:tcPr>
            <w:tcW w:w="9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both"/>
              <w:rPr>
                <w:b w:val="false"/>
                <w:b w:val="false"/>
                <w:bCs w:val="false"/>
                <w:sz w:val="20"/>
                <w:szCs w:val="20"/>
              </w:rPr>
            </w:pPr>
            <w:r>
              <w:rPr>
                <w:b w:val="false"/>
                <w:bCs w:val="false"/>
                <w:sz w:val="20"/>
                <w:szCs w:val="20"/>
              </w:rPr>
              <w:t>FRAS</w:t>
            </w:r>
          </w:p>
        </w:tc>
        <w:tc>
          <w:tcPr>
            <w:tcW w:w="37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Solução de PHMB - ou polihexametileno biguanida, composto químico utilizado para o tratamento de feridas. Polímero catiônico com propriedades antimicrobianas, o que significa que ele deve ter a capacidade de combater e controlar a proliferação de microorganismos, como bactérias, fungos e vírus.Quando aplicado em feridas, o PHMB deve agir de várias maneiras para promover a cicatrização e prevenir infecções. Deve possuir alta afinidade pelas membranas celulares dos microorganismos, alterando sua estrutura e função, o que resulta em danos e morte desses organismos. O PHMB na ferida deve criar uma barreira protetora, impedindo a colonização e crescimento de novos microorganismos.A ação antimicrobiana do PHMB deve ser ampla e eficaz contra uma gama de bactérias, incluindo aquelas resistentes a antibióticos comuns, como a meticilina-resistente Staphylococcus aureus (MRSA). Ele também deve combater fungos, como Candida spp., e vírus envelopados, como o herpes simplex. Produto deve ter boa qualidade, com registro na ANVISA. Frasco com 350 ml.</w:t>
            </w:r>
          </w:p>
        </w:tc>
        <w:tc>
          <w:tcPr>
            <w:tcW w:w="15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R$ 39,53</w:t>
            </w:r>
          </w:p>
        </w:tc>
        <w:tc>
          <w:tcPr>
            <w:tcW w:w="15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R$ 22.927,40</w:t>
            </w:r>
          </w:p>
        </w:tc>
      </w:tr>
      <w:tr>
        <w:trPr>
          <w:trHeight w:val="925" w:hRule="atLeast"/>
        </w:trPr>
        <w:tc>
          <w:tcPr>
            <w:tcW w:w="8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tabs>
                <w:tab w:val="clear" w:pos="708"/>
              </w:tabs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9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</w:tc>
        <w:tc>
          <w:tcPr>
            <w:tcW w:w="37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Sonda nasoenteral 08 fr fabricada em poliuretano e silicone, flexíveis e maleáveis, com calibre fino, ogiva distal e esfincter piloro.</w:t>
            </w:r>
          </w:p>
        </w:tc>
        <w:tc>
          <w:tcPr>
            <w:tcW w:w="15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R$ 8,98</w:t>
            </w:r>
          </w:p>
        </w:tc>
        <w:tc>
          <w:tcPr>
            <w:tcW w:w="15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R$ 179,60</w:t>
            </w:r>
          </w:p>
        </w:tc>
      </w:tr>
      <w:tr>
        <w:trPr>
          <w:trHeight w:val="701" w:hRule="atLeast"/>
        </w:trPr>
        <w:tc>
          <w:tcPr>
            <w:tcW w:w="8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tabs>
                <w:tab w:val="clear" w:pos="708"/>
              </w:tabs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9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</w:t>
            </w:r>
          </w:p>
        </w:tc>
        <w:tc>
          <w:tcPr>
            <w:tcW w:w="37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Sonda para aspiração traqueal nº 14, em tubo pvc, estéril , com válvula (conector para controle da aspiração)</w:t>
            </w:r>
          </w:p>
        </w:tc>
        <w:tc>
          <w:tcPr>
            <w:tcW w:w="15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R$ 0,73</w:t>
            </w:r>
          </w:p>
        </w:tc>
        <w:tc>
          <w:tcPr>
            <w:tcW w:w="15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R$ 36,50</w:t>
            </w:r>
          </w:p>
        </w:tc>
      </w:tr>
      <w:tr>
        <w:trPr>
          <w:trHeight w:val="2268" w:hRule="atLeast"/>
        </w:trPr>
        <w:tc>
          <w:tcPr>
            <w:tcW w:w="8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tabs>
                <w:tab w:val="clear" w:pos="708"/>
              </w:tabs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9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</w:tc>
        <w:tc>
          <w:tcPr>
            <w:tcW w:w="37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Sonda para gastrostomia 18 fr, 7-10 ml, de silicone grau médico com fita radiopaca em todo seu comprimento. Kit com: 01 sonda botton para gastrostomia; 01 seringa 6 ml; 01 seringa com ponta de tipo cateter de 35 ml; 01 conjunto de extensão com conector e ângulo reto e bifurcação (y) de 2 orifícios e pinça 12; 01 conjunto extensão alimentar com ponta tipo cateter , conector reto e pinça 12</w:t>
            </w:r>
          </w:p>
        </w:tc>
        <w:tc>
          <w:tcPr>
            <w:tcW w:w="15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R$ 76,05</w:t>
            </w:r>
          </w:p>
        </w:tc>
        <w:tc>
          <w:tcPr>
            <w:tcW w:w="15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R$ 2.281,50</w:t>
            </w:r>
          </w:p>
        </w:tc>
      </w:tr>
      <w:tr>
        <w:trPr>
          <w:trHeight w:val="256" w:hRule="atLeast"/>
        </w:trPr>
        <w:tc>
          <w:tcPr>
            <w:tcW w:w="8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tabs>
                <w:tab w:val="clear" w:pos="708"/>
              </w:tabs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</w:tc>
        <w:tc>
          <w:tcPr>
            <w:tcW w:w="9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</w:t>
            </w:r>
          </w:p>
        </w:tc>
        <w:tc>
          <w:tcPr>
            <w:tcW w:w="37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Sulfadiazina 500 mg</w:t>
            </w:r>
          </w:p>
        </w:tc>
        <w:tc>
          <w:tcPr>
            <w:tcW w:w="15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R$ 3,86</w:t>
            </w:r>
          </w:p>
        </w:tc>
        <w:tc>
          <w:tcPr>
            <w:tcW w:w="15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R$ 1.930,00</w:t>
            </w:r>
          </w:p>
        </w:tc>
      </w:tr>
      <w:tr>
        <w:trPr>
          <w:trHeight w:val="256" w:hRule="atLeast"/>
        </w:trPr>
        <w:tc>
          <w:tcPr>
            <w:tcW w:w="8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tabs>
                <w:tab w:val="clear" w:pos="708"/>
              </w:tabs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9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Amp</w:t>
            </w:r>
          </w:p>
        </w:tc>
        <w:tc>
          <w:tcPr>
            <w:tcW w:w="37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Suxametônio, cloreto 100mg suspensão injetável frasco/ampola</w:t>
            </w:r>
          </w:p>
        </w:tc>
        <w:tc>
          <w:tcPr>
            <w:tcW w:w="15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R$ 19,92</w:t>
            </w:r>
          </w:p>
        </w:tc>
        <w:tc>
          <w:tcPr>
            <w:tcW w:w="15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R$ 1.992,00</w:t>
            </w:r>
          </w:p>
        </w:tc>
      </w:tr>
      <w:tr>
        <w:trPr>
          <w:trHeight w:val="1149" w:hRule="atLeast"/>
        </w:trPr>
        <w:tc>
          <w:tcPr>
            <w:tcW w:w="8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tabs>
                <w:tab w:val="clear" w:pos="708"/>
              </w:tabs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9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</w:t>
            </w:r>
          </w:p>
        </w:tc>
        <w:tc>
          <w:tcPr>
            <w:tcW w:w="37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Teste bower &amp; dick 135 plus – 3m. Método usado para monitorar diariamente o sistema  de  pré  vácuo em esterilizadores a vapor.  Pacote pronto de 13 x 11 x 2,5 cm. Embalagem com 50 pacotes.</w:t>
            </w:r>
          </w:p>
        </w:tc>
        <w:tc>
          <w:tcPr>
            <w:tcW w:w="15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R$ 413,48</w:t>
            </w:r>
          </w:p>
        </w:tc>
        <w:tc>
          <w:tcPr>
            <w:tcW w:w="15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R$ 13.231,36</w:t>
            </w:r>
          </w:p>
        </w:tc>
      </w:tr>
      <w:tr>
        <w:trPr>
          <w:trHeight w:val="1149" w:hRule="atLeast"/>
        </w:trPr>
        <w:tc>
          <w:tcPr>
            <w:tcW w:w="8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tabs>
                <w:tab w:val="clear" w:pos="708"/>
              </w:tabs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1.250</w:t>
            </w:r>
          </w:p>
        </w:tc>
        <w:tc>
          <w:tcPr>
            <w:tcW w:w="9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</w:t>
            </w:r>
          </w:p>
        </w:tc>
        <w:tc>
          <w:tcPr>
            <w:tcW w:w="37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Testes imunocromatográfico , para detecção qualitativa de antígenos de SARS-CoV-2 em amostras de swab da nasofaringe, para leitura de resultados em até 15 minutos , COM CONTROLE POSITIVO E NEGATIVO,  sem necessidade de suporte laboratorial. </w:t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Os testes deverão possuir avaliação de desempenho clínico evidenciando ausência de reações cruzadas com outros agentes infecciosos (ítem 40.008)</w:t>
            </w:r>
          </w:p>
          <w:p>
            <w:pPr>
              <w:pStyle w:val="Normal"/>
              <w:widowControl w:val="false"/>
              <w:numPr>
                <w:ilvl w:val="0"/>
                <w:numId w:val="4"/>
              </w:numPr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Sensibilidade :   &gt; 95%</w:t>
            </w:r>
          </w:p>
          <w:p>
            <w:pPr>
              <w:pStyle w:val="Normal"/>
              <w:widowControl w:val="false"/>
              <w:numPr>
                <w:ilvl w:val="0"/>
                <w:numId w:val="4"/>
              </w:numPr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Especificidades: &gt; 95%</w:t>
            </w:r>
          </w:p>
          <w:p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Os kis de cada teste devem ser embalados individualmente, e devem prover o material necessário para cada teste:</w:t>
            </w:r>
          </w:p>
          <w:p>
            <w:pPr>
              <w:pStyle w:val="Normal"/>
              <w:widowControl w:val="false"/>
              <w:numPr>
                <w:ilvl w:val="0"/>
                <w:numId w:val="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Um dispositivo / placa de teste.</w:t>
            </w:r>
          </w:p>
          <w:p>
            <w:pPr>
              <w:pStyle w:val="Normal"/>
              <w:widowControl w:val="false"/>
              <w:numPr>
                <w:ilvl w:val="0"/>
                <w:numId w:val="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Um sachê dessecante com sílica gel.</w:t>
            </w:r>
          </w:p>
          <w:p>
            <w:pPr>
              <w:pStyle w:val="Normal"/>
              <w:widowControl w:val="false"/>
              <w:numPr>
                <w:ilvl w:val="0"/>
                <w:numId w:val="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Tampão de extração.</w:t>
            </w:r>
          </w:p>
          <w:p>
            <w:pPr>
              <w:pStyle w:val="Normal"/>
              <w:widowControl w:val="false"/>
              <w:numPr>
                <w:ilvl w:val="0"/>
                <w:numId w:val="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Tampa filtro.</w:t>
            </w:r>
          </w:p>
          <w:p>
            <w:pPr>
              <w:pStyle w:val="Normal"/>
              <w:widowControl w:val="false"/>
              <w:numPr>
                <w:ilvl w:val="0"/>
                <w:numId w:val="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Swab estéril longo para coleta em naso ou laringe.</w:t>
            </w:r>
          </w:p>
          <w:p>
            <w:pPr>
              <w:pStyle w:val="Normal"/>
              <w:widowControl w:val="false"/>
              <w:numPr>
                <w:ilvl w:val="0"/>
                <w:numId w:val="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Instruções de como realizar o teste.</w:t>
            </w:r>
          </w:p>
          <w:p>
            <w:pPr>
              <w:pStyle w:val="Normal"/>
              <w:widowControl w:val="false"/>
              <w:spacing w:before="0" w:after="160"/>
              <w:rPr>
                <w:b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REGISTRO NA ANVISA</w:t>
            </w:r>
          </w:p>
          <w:p>
            <w:pPr>
              <w:pStyle w:val="Normal"/>
              <w:widowControl w:val="false"/>
              <w:spacing w:before="0" w:after="160"/>
              <w:rPr>
                <w:b/>
                <w:b/>
                <w:bCs/>
                <w:sz w:val="22"/>
                <w:szCs w:val="22"/>
                <w:shd w:fill="FFFFFF" w:val="clear"/>
              </w:rPr>
            </w:pPr>
            <w:r>
              <w:rPr>
                <w:b/>
                <w:bCs/>
                <w:sz w:val="22"/>
                <w:szCs w:val="22"/>
                <w:shd w:fill="FFFFFF" w:val="clear"/>
              </w:rPr>
              <w:t>A empresa vencedora deste item deverá anexar o folder do mesmo na plataforma de realização do processo no prazo aberto para análise. (O prazo não será superior a duas horas).</w:t>
            </w:r>
          </w:p>
        </w:tc>
        <w:tc>
          <w:tcPr>
            <w:tcW w:w="15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R$14,96</w:t>
            </w:r>
          </w:p>
        </w:tc>
        <w:tc>
          <w:tcPr>
            <w:tcW w:w="15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R$18.700,00</w:t>
            </w:r>
          </w:p>
        </w:tc>
      </w:tr>
      <w:tr>
        <w:trPr>
          <w:trHeight w:val="256" w:hRule="atLeast"/>
        </w:trPr>
        <w:tc>
          <w:tcPr>
            <w:tcW w:w="8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tabs>
                <w:tab w:val="clear" w:pos="708"/>
              </w:tabs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9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Frasco</w:t>
            </w:r>
          </w:p>
        </w:tc>
        <w:tc>
          <w:tcPr>
            <w:tcW w:w="37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Tetracaína, cloridrato + fenilefrina, cloridrato 0,1% solução oftálmica estéril com 10ml</w:t>
            </w:r>
          </w:p>
        </w:tc>
        <w:tc>
          <w:tcPr>
            <w:tcW w:w="15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R$ 11,38</w:t>
            </w:r>
          </w:p>
        </w:tc>
        <w:tc>
          <w:tcPr>
            <w:tcW w:w="15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R$ 227,60</w:t>
            </w:r>
          </w:p>
        </w:tc>
      </w:tr>
      <w:tr>
        <w:trPr>
          <w:trHeight w:val="256" w:hRule="atLeast"/>
        </w:trPr>
        <w:tc>
          <w:tcPr>
            <w:tcW w:w="8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tabs>
                <w:tab w:val="clear" w:pos="708"/>
              </w:tabs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6000</w:t>
            </w:r>
          </w:p>
        </w:tc>
        <w:tc>
          <w:tcPr>
            <w:tcW w:w="9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</w:t>
            </w:r>
          </w:p>
        </w:tc>
        <w:tc>
          <w:tcPr>
            <w:tcW w:w="37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Tibolona 1,25 mg</w:t>
            </w:r>
          </w:p>
        </w:tc>
        <w:tc>
          <w:tcPr>
            <w:tcW w:w="15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R$ 1,52</w:t>
            </w:r>
          </w:p>
        </w:tc>
        <w:tc>
          <w:tcPr>
            <w:tcW w:w="15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R$ 9.120,00</w:t>
            </w:r>
          </w:p>
        </w:tc>
      </w:tr>
      <w:tr>
        <w:trPr>
          <w:trHeight w:val="477" w:hRule="atLeast"/>
        </w:trPr>
        <w:tc>
          <w:tcPr>
            <w:tcW w:w="8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tabs>
                <w:tab w:val="clear" w:pos="708"/>
              </w:tabs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9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</w:tc>
        <w:tc>
          <w:tcPr>
            <w:tcW w:w="37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Traçados impermeáveis medindo 100x140 cm</w:t>
            </w:r>
          </w:p>
        </w:tc>
        <w:tc>
          <w:tcPr>
            <w:tcW w:w="15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R$ 38,36</w:t>
            </w:r>
          </w:p>
        </w:tc>
        <w:tc>
          <w:tcPr>
            <w:tcW w:w="15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R$ 1.150,80</w:t>
            </w:r>
          </w:p>
        </w:tc>
      </w:tr>
      <w:tr>
        <w:trPr>
          <w:trHeight w:val="256" w:hRule="atLeast"/>
        </w:trPr>
        <w:tc>
          <w:tcPr>
            <w:tcW w:w="8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tabs>
                <w:tab w:val="clear" w:pos="708"/>
              </w:tabs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9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RL</w:t>
            </w:r>
          </w:p>
        </w:tc>
        <w:tc>
          <w:tcPr>
            <w:tcW w:w="37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Tubo autoclavável de silicone hospitalar 203 para oxigênio rolo 15 metros 6x10mm. espessura 2,00mm.</w:t>
            </w:r>
          </w:p>
        </w:tc>
        <w:tc>
          <w:tcPr>
            <w:tcW w:w="15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R$ 180,58</w:t>
            </w:r>
          </w:p>
        </w:tc>
        <w:tc>
          <w:tcPr>
            <w:tcW w:w="15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R$ 18.058,00</w:t>
            </w:r>
          </w:p>
        </w:tc>
      </w:tr>
      <w:tr>
        <w:trPr>
          <w:trHeight w:val="256" w:hRule="atLeast"/>
        </w:trPr>
        <w:tc>
          <w:tcPr>
            <w:tcW w:w="8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tabs>
                <w:tab w:val="clear" w:pos="708"/>
              </w:tabs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18000</w:t>
            </w:r>
          </w:p>
        </w:tc>
        <w:tc>
          <w:tcPr>
            <w:tcW w:w="9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</w:t>
            </w:r>
          </w:p>
        </w:tc>
        <w:tc>
          <w:tcPr>
            <w:tcW w:w="37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Verapamil cloridrato 80 mg</w:t>
            </w:r>
          </w:p>
        </w:tc>
        <w:tc>
          <w:tcPr>
            <w:tcW w:w="15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R$ 0,29</w:t>
            </w:r>
          </w:p>
        </w:tc>
        <w:tc>
          <w:tcPr>
            <w:tcW w:w="15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R$ 5.220,00</w:t>
            </w:r>
          </w:p>
        </w:tc>
      </w:tr>
      <w:tr>
        <w:trPr>
          <w:trHeight w:val="256" w:hRule="atLeast"/>
        </w:trPr>
        <w:tc>
          <w:tcPr>
            <w:tcW w:w="8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3"/>
              </w:numPr>
              <w:tabs>
                <w:tab w:val="clear" w:pos="708"/>
              </w:tabs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</w:r>
          </w:p>
        </w:tc>
        <w:tc>
          <w:tcPr>
            <w:tcW w:w="7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</w:tc>
        <w:tc>
          <w:tcPr>
            <w:tcW w:w="9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</w:t>
            </w:r>
          </w:p>
        </w:tc>
        <w:tc>
          <w:tcPr>
            <w:tcW w:w="37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Xarelto 20 mg (rivaroxabana), comprimido revestido</w:t>
            </w:r>
          </w:p>
        </w:tc>
        <w:tc>
          <w:tcPr>
            <w:tcW w:w="15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R$ 4,18</w:t>
            </w:r>
          </w:p>
        </w:tc>
        <w:tc>
          <w:tcPr>
            <w:tcW w:w="15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R$ 4.180,00</w:t>
            </w:r>
          </w:p>
        </w:tc>
      </w:tr>
      <w:tr>
        <w:trPr>
          <w:trHeight w:val="256" w:hRule="atLeast"/>
        </w:trPr>
        <w:tc>
          <w:tcPr>
            <w:tcW w:w="2517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left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5353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left"/>
              <w:rPr>
                <w:rFonts w:ascii="Arial" w:hAnsi="Arial"/>
                <w:b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</w:r>
          </w:p>
        </w:tc>
        <w:tc>
          <w:tcPr>
            <w:tcW w:w="15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R$ 555.750,22</w:t>
            </w:r>
          </w:p>
        </w:tc>
      </w:tr>
    </w:tbl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ListParagraph"/>
        <w:numPr>
          <w:ilvl w:val="1"/>
          <w:numId w:val="1"/>
        </w:numPr>
        <w:spacing w:before="120" w:after="120"/>
        <w:contextualSpacing/>
        <w:rPr>
          <w:rFonts w:ascii="Times New Roman" w:hAnsi="Times New Roman" w:cs="Times New Roman"/>
          <w:lang w:eastAsia="en-US"/>
        </w:rPr>
      </w:pPr>
      <w:r>
        <w:rPr>
          <w:rFonts w:cs="Times New Roman" w:ascii="Times New Roman" w:hAnsi="Times New Roman"/>
          <w:sz w:val="20"/>
          <w:szCs w:val="20"/>
          <w:lang w:eastAsia="en-US"/>
        </w:rPr>
        <w:t xml:space="preserve">Os </w:t>
      </w:r>
      <w:r>
        <w:rPr>
          <w:rFonts w:cs="Times New Roman" w:ascii="Times New Roman" w:hAnsi="Times New Roman"/>
          <w:i w:val="false"/>
          <w:iCs w:val="false"/>
          <w:sz w:val="20"/>
          <w:szCs w:val="20"/>
          <w:lang w:eastAsia="en-US"/>
        </w:rPr>
        <w:t>bens</w:t>
      </w:r>
      <w:r>
        <w:rPr>
          <w:rFonts w:cs="Times New Roman" w:ascii="Times New Roman" w:hAnsi="Times New Roman"/>
          <w:sz w:val="20"/>
          <w:szCs w:val="20"/>
          <w:lang w:eastAsia="en-US"/>
        </w:rPr>
        <w:t xml:space="preserve"> são de natureza comum.</w:t>
      </w:r>
    </w:p>
    <w:p>
      <w:pPr>
        <w:pStyle w:val="Normal"/>
        <w:spacing w:before="120" w:after="120"/>
        <w:rPr>
          <w:rFonts w:ascii="Times New Roman" w:hAnsi="Times New Roman" w:cs="Times New Roman"/>
          <w:lang w:eastAsia="en-US"/>
        </w:rPr>
      </w:pPr>
      <w:r>
        <w:rPr>
          <w:rFonts w:cs="Times New Roman" w:ascii="Times New Roman" w:hAnsi="Times New Roman"/>
          <w:lang w:eastAsia="en-US"/>
        </w:rPr>
      </w:r>
    </w:p>
    <w:p>
      <w:pPr>
        <w:pStyle w:val="Nivel2"/>
        <w:numPr>
          <w:ilvl w:val="1"/>
          <w:numId w:val="1"/>
        </w:numPr>
        <w:spacing w:lineRule="auto" w:line="240"/>
        <w:ind w:left="0" w:hanging="0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cs="Times New Roman" w:ascii="Times New Roman" w:hAnsi="Times New Roman"/>
          <w:sz w:val="24"/>
          <w:szCs w:val="24"/>
          <w:lang w:eastAsia="en-US"/>
        </w:rPr>
        <w:t>A listagem do cadastro de reserva referente ao presente registro de preços consta como anexo a esta Ata.</w:t>
      </w:r>
    </w:p>
    <w:p>
      <w:pPr>
        <w:pStyle w:val="Nivel2"/>
        <w:numPr>
          <w:ilvl w:val="0"/>
          <w:numId w:val="0"/>
        </w:numPr>
        <w:spacing w:lineRule="auto" w:line="240"/>
        <w:ind w:left="0" w:hanging="0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cs="Times New Roman" w:ascii="Times New Roman" w:hAnsi="Times New Roman"/>
          <w:sz w:val="24"/>
          <w:szCs w:val="24"/>
          <w:lang w:eastAsia="en-US"/>
        </w:rPr>
      </w:r>
    </w:p>
    <w:p>
      <w:pPr>
        <w:pStyle w:val="Nivel01"/>
        <w:numPr>
          <w:ilvl w:val="0"/>
          <w:numId w:val="1"/>
        </w:numPr>
        <w:spacing w:lineRule="auto" w:line="240"/>
        <w:ind w:left="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ÓRGÃO(S) GERENCIADOR E PARTICIPANTE(S)</w:t>
      </w:r>
    </w:p>
    <w:p>
      <w:pPr>
        <w:pStyle w:val="Nivel2"/>
        <w:numPr>
          <w:ilvl w:val="1"/>
          <w:numId w:val="1"/>
        </w:numPr>
        <w:spacing w:lineRule="auto" w:line="240"/>
        <w:ind w:left="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O órgão gerenciador será a Prefeitura Municipal de Carmo do Paranaíba/MG.</w:t>
      </w:r>
    </w:p>
    <w:p>
      <w:pPr>
        <w:pStyle w:val="Nivel01"/>
        <w:spacing w:lineRule="auto" w:line="240"/>
        <w:rPr>
          <w:rFonts w:ascii="Times New Roman" w:hAnsi="Times New Roman" w:cs="Times New Roman"/>
          <w:i/>
          <w:i/>
          <w:color w:val="FF0000"/>
          <w:sz w:val="24"/>
          <w:szCs w:val="24"/>
        </w:rPr>
      </w:pPr>
      <w:r>
        <w:rPr>
          <w:rFonts w:cs="Times New Roman" w:ascii="Times New Roman" w:hAnsi="Times New Roman"/>
          <w:i/>
          <w:color w:val="FF0000"/>
          <w:sz w:val="24"/>
          <w:szCs w:val="24"/>
        </w:rPr>
      </w:r>
    </w:p>
    <w:p>
      <w:pPr>
        <w:pStyle w:val="Nivel01"/>
        <w:numPr>
          <w:ilvl w:val="0"/>
          <w:numId w:val="1"/>
        </w:numPr>
        <w:spacing w:lineRule="auto" w:line="240"/>
        <w:ind w:left="0" w:hanging="0"/>
        <w:rPr>
          <w:rFonts w:ascii="Times New Roman" w:hAnsi="Times New Roman" w:cs="Times New Roman"/>
          <w:i/>
          <w:i/>
          <w:color w:val="FF0000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DA ADESÃO À ATA DE REGISTRO DE PREÇOS</w:t>
      </w:r>
    </w:p>
    <w:p>
      <w:pPr>
        <w:pStyle w:val="Nvel2Red"/>
        <w:numPr>
          <w:ilvl w:val="1"/>
          <w:numId w:val="1"/>
        </w:numPr>
        <w:spacing w:lineRule="auto" w:line="240"/>
        <w:ind w:left="0" w:hanging="0"/>
        <w:rPr>
          <w:rFonts w:ascii="Times New Roman" w:hAnsi="Times New Roman" w:cs="Times New Roman"/>
          <w:i w:val="false"/>
          <w:i w:val="false"/>
          <w:iCs w:val="false"/>
          <w:color w:val="auto"/>
          <w:sz w:val="24"/>
          <w:szCs w:val="24"/>
          <w:lang w:eastAsia="en-US"/>
        </w:rPr>
      </w:pPr>
      <w:r>
        <w:rPr>
          <w:rFonts w:cs="Times New Roman" w:ascii="Times New Roman" w:hAnsi="Times New Roman"/>
          <w:i w:val="false"/>
          <w:iCs w:val="false"/>
          <w:color w:val="auto"/>
          <w:sz w:val="24"/>
          <w:szCs w:val="24"/>
          <w:lang w:eastAsia="en-US"/>
        </w:rPr>
        <w:t xml:space="preserve"> </w:t>
      </w:r>
      <w:r>
        <w:rPr>
          <w:rFonts w:cs="Times New Roman" w:ascii="Times New Roman" w:hAnsi="Times New Roman"/>
          <w:i w:val="false"/>
          <w:iCs w:val="false"/>
          <w:color w:val="auto"/>
          <w:sz w:val="24"/>
          <w:szCs w:val="24"/>
          <w:lang w:eastAsia="en-US"/>
        </w:rPr>
        <w:t>Não será admitida a adesão à ata de registro de preços decorrente desta licitação ou desta contratação direta, conforme justificativa apresentada nos estudos técnicos preliminares.</w:t>
      </w:r>
    </w:p>
    <w:p>
      <w:pPr>
        <w:pStyle w:val="Nivel2"/>
        <w:numPr>
          <w:ilvl w:val="1"/>
          <w:numId w:val="1"/>
        </w:numPr>
        <w:spacing w:lineRule="auto" w:line="240"/>
        <w:ind w:left="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A adesão à ata de registro de preços por órgãos e en</w:t>
      </w:r>
      <w:r>
        <w:rPr>
          <w:rFonts w:eastAsia="Arial" w:cs="Times New Roman" w:ascii="Times New Roman" w:hAnsi="Times New Roman"/>
          <w:sz w:val="24"/>
          <w:szCs w:val="24"/>
        </w:rPr>
        <w:t>ti</w:t>
      </w:r>
      <w:r>
        <w:rPr>
          <w:rFonts w:cs="Times New Roman" w:ascii="Times New Roman" w:hAnsi="Times New Roman"/>
          <w:sz w:val="24"/>
          <w:szCs w:val="24"/>
        </w:rPr>
        <w:t>dades da Administração Pública estadual, distrital e municipal poderá ser exigida para fins de transferências voluntárias, não ficando sujeita ao limite de que trata o item 4.7, desde que seja des</w:t>
      </w:r>
      <w:r>
        <w:rPr>
          <w:rFonts w:eastAsia="Arial" w:cs="Times New Roman" w:ascii="Times New Roman" w:hAnsi="Times New Roman"/>
          <w:sz w:val="24"/>
          <w:szCs w:val="24"/>
        </w:rPr>
        <w:t>ti</w:t>
      </w:r>
      <w:r>
        <w:rPr>
          <w:rFonts w:cs="Times New Roman" w:ascii="Times New Roman" w:hAnsi="Times New Roman"/>
          <w:sz w:val="24"/>
          <w:szCs w:val="24"/>
        </w:rPr>
        <w:t>nada à execução descentralizada de programa ou projeto federal e comprovada a compatibilidade dos preços registrados com os valores praticados no mercado na forma do art. 23 da Lei nº 14.133, de 2021.</w:t>
      </w:r>
    </w:p>
    <w:p>
      <w:pPr>
        <w:pStyle w:val="SubTitNN"/>
        <w:spacing w:lineRule="auto" w:line="240" w:before="120" w:after="12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Vedação a acréscimo de quantitativos</w:t>
      </w:r>
    </w:p>
    <w:p>
      <w:pPr>
        <w:pStyle w:val="Nivel2"/>
        <w:numPr>
          <w:ilvl w:val="1"/>
          <w:numId w:val="1"/>
        </w:numPr>
        <w:spacing w:lineRule="auto" w:line="240"/>
        <w:ind w:left="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É vedado efetuar acréscimos nos quantitativos fixados na ata de registro de preços.</w:t>
      </w:r>
    </w:p>
    <w:p>
      <w:pPr>
        <w:pStyle w:val="Nivel2"/>
        <w:numPr>
          <w:ilvl w:val="0"/>
          <w:numId w:val="0"/>
        </w:numPr>
        <w:spacing w:lineRule="auto" w:line="240"/>
        <w:ind w:left="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ivel01"/>
        <w:numPr>
          <w:ilvl w:val="0"/>
          <w:numId w:val="1"/>
        </w:numPr>
        <w:spacing w:lineRule="auto" w:line="240"/>
        <w:ind w:left="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VALIDADE, FORMALIZAÇÃO DA ATA DE REGISTRO DE PREÇOS E CADASTRO RESERVA</w:t>
      </w:r>
    </w:p>
    <w:p>
      <w:pPr>
        <w:pStyle w:val="Nivel2"/>
        <w:numPr>
          <w:ilvl w:val="1"/>
          <w:numId w:val="1"/>
        </w:numPr>
        <w:spacing w:lineRule="auto" w:line="240"/>
        <w:ind w:left="0" w:hanging="0"/>
        <w:rPr>
          <w:rFonts w:ascii="Times New Roman" w:hAnsi="Times New Roman" w:cs="Times New Roman"/>
          <w:iCs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A validade da Ata de Registro de Preços será de 1 (um) ano, contado a partir do primeiro dia útil subsequente à data de divulgação no PNCP, podendo ser prorrogada por igual período, mediante a anuência do fornecedor, desde que comprovado o preço vantajoso.</w:t>
      </w:r>
    </w:p>
    <w:p>
      <w:pPr>
        <w:pStyle w:val="Nvel3"/>
        <w:numPr>
          <w:ilvl w:val="2"/>
          <w:numId w:val="1"/>
        </w:numPr>
        <w:spacing w:lineRule="auto" w:line="240"/>
        <w:ind w:left="284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O contrato decorrente da ata de registro de preços terá sua vigência estabelecida no próprio instrumento contratual e observará no momento da contratação e a cada exercício financeiro a disponibilidade de créditos orçamentários, bem como a previsão no plano plurianual, quando ultrapassar 1 (um) exercício financeiro.</w:t>
      </w:r>
    </w:p>
    <w:p>
      <w:pPr>
        <w:pStyle w:val="Nvel3"/>
        <w:numPr>
          <w:ilvl w:val="2"/>
          <w:numId w:val="1"/>
        </w:numPr>
        <w:spacing w:lineRule="auto" w:line="240"/>
        <w:ind w:left="284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Na formalização do contrato ou do instrumento substituto deverá haver a indicação da disponibilidade dos créditos orçamentários respectivos.</w:t>
      </w:r>
    </w:p>
    <w:p>
      <w:pPr>
        <w:pStyle w:val="Nivel2"/>
        <w:numPr>
          <w:ilvl w:val="1"/>
          <w:numId w:val="1"/>
        </w:numPr>
        <w:spacing w:lineRule="auto" w:line="240"/>
        <w:ind w:left="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A contratação com os fornecedores registrados na ata será formalizada pelo órgão ou pela en</w:t>
      </w:r>
      <w:r>
        <w:rPr>
          <w:rFonts w:eastAsia="Arial" w:cs="Times New Roman" w:ascii="Times New Roman" w:hAnsi="Times New Roman"/>
          <w:sz w:val="24"/>
          <w:szCs w:val="24"/>
        </w:rPr>
        <w:t>ti</w:t>
      </w:r>
      <w:r>
        <w:rPr>
          <w:rFonts w:cs="Times New Roman" w:ascii="Times New Roman" w:hAnsi="Times New Roman"/>
          <w:sz w:val="24"/>
          <w:szCs w:val="24"/>
        </w:rPr>
        <w:t>dade interessada por intermédio de instrumento contratual, emissão de nota de empenho de despesa, autorização de compra ou outro instrumento hábil, conforme o art. 95 da Lei nº 14.133, de 2021.</w:t>
      </w:r>
    </w:p>
    <w:p>
      <w:pPr>
        <w:pStyle w:val="Nvel3"/>
        <w:numPr>
          <w:ilvl w:val="2"/>
          <w:numId w:val="1"/>
        </w:numPr>
        <w:spacing w:lineRule="auto" w:line="240"/>
        <w:ind w:left="284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O instrumento contratual de que trata o item 5.2. deverá ser assinado no prazo de validade da ata de registro de preços.</w:t>
      </w:r>
    </w:p>
    <w:p>
      <w:pPr>
        <w:pStyle w:val="Nivel2"/>
        <w:numPr>
          <w:ilvl w:val="1"/>
          <w:numId w:val="1"/>
        </w:numPr>
        <w:spacing w:lineRule="auto" w:line="240"/>
        <w:ind w:left="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Os contratos decorrentes do sistema de registro de preços poderão ser alterados, observado o art. 124 da Lei nº 14.133, de 2021.</w:t>
      </w:r>
    </w:p>
    <w:p>
      <w:pPr>
        <w:pStyle w:val="Nivel2"/>
        <w:numPr>
          <w:ilvl w:val="1"/>
          <w:numId w:val="1"/>
        </w:numPr>
        <w:spacing w:lineRule="auto" w:line="240"/>
        <w:ind w:left="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Após a homologação da licitação ou da contratação direta, deverão ser observadas as seguintes condições para formalização da ata de registro de preços:</w:t>
      </w:r>
    </w:p>
    <w:p>
      <w:pPr>
        <w:pStyle w:val="Nvel3"/>
        <w:numPr>
          <w:ilvl w:val="2"/>
          <w:numId w:val="1"/>
        </w:numPr>
        <w:spacing w:lineRule="auto" w:line="240"/>
        <w:ind w:left="284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Serão registrados na ata os preços e os quantita</w:t>
      </w:r>
      <w:r>
        <w:rPr>
          <w:rFonts w:eastAsia="Arial" w:cs="Times New Roman" w:ascii="Times New Roman" w:hAnsi="Times New Roman"/>
          <w:sz w:val="24"/>
          <w:szCs w:val="24"/>
        </w:rPr>
        <w:t>ti</w:t>
      </w:r>
      <w:r>
        <w:rPr>
          <w:rFonts w:cs="Times New Roman" w:ascii="Times New Roman" w:hAnsi="Times New Roman"/>
          <w:sz w:val="24"/>
          <w:szCs w:val="24"/>
        </w:rPr>
        <w:t>vos do adjudicatário, devendo ser observada a possibilidade de o licitante oferecer ou não proposta em quantitativo inferior ao máximo previsto no Edital e se obrigar nos limites dela;</w:t>
      </w:r>
    </w:p>
    <w:p>
      <w:pPr>
        <w:pStyle w:val="Nvel3"/>
        <w:numPr>
          <w:ilvl w:val="2"/>
          <w:numId w:val="1"/>
        </w:numPr>
        <w:spacing w:lineRule="auto" w:line="240"/>
        <w:ind w:left="284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Será incluído na ata, na forma de anexo, o registro dos licitantes ou dos fornecedores que:</w:t>
      </w:r>
    </w:p>
    <w:p>
      <w:pPr>
        <w:pStyle w:val="Nvel4"/>
        <w:numPr>
          <w:ilvl w:val="3"/>
          <w:numId w:val="1"/>
        </w:numPr>
        <w:spacing w:lineRule="auto" w:line="240"/>
        <w:ind w:left="567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Aceitarem cotar os bens, as obras ou os serviços com preços iguais aos do adjudicatário, observada a classificação da licitação; e </w:t>
      </w:r>
    </w:p>
    <w:p>
      <w:pPr>
        <w:pStyle w:val="Nvel4"/>
        <w:numPr>
          <w:ilvl w:val="3"/>
          <w:numId w:val="1"/>
        </w:numPr>
        <w:spacing w:lineRule="auto" w:line="240"/>
        <w:ind w:left="567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Mantiverem sua proposta original. </w:t>
      </w:r>
      <w:bookmarkStart w:id="0" w:name="cadastro_reserva"/>
      <w:bookmarkEnd w:id="0"/>
    </w:p>
    <w:p>
      <w:pPr>
        <w:pStyle w:val="Nvel3"/>
        <w:numPr>
          <w:ilvl w:val="2"/>
          <w:numId w:val="1"/>
        </w:numPr>
        <w:spacing w:lineRule="auto" w:line="240"/>
        <w:ind w:left="284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Será respeitada, nas contratações, a ordem de classificação dos licitantes ou dos fornecedores registrados na ata.</w:t>
      </w:r>
    </w:p>
    <w:p>
      <w:pPr>
        <w:pStyle w:val="Nivel2"/>
        <w:numPr>
          <w:ilvl w:val="1"/>
          <w:numId w:val="1"/>
        </w:numPr>
        <w:spacing w:lineRule="auto" w:line="240"/>
        <w:ind w:left="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O registro a que se refere o item 5.4.2</w:t>
      </w:r>
      <w:r>
        <w:rPr>
          <w:rFonts w:cs="Times New Roman" w:ascii="Times New Roman" w:hAnsi="Times New Roman"/>
          <w:b/>
          <w:bCs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tem por obje</w:t>
      </w:r>
      <w:r>
        <w:rPr>
          <w:rFonts w:eastAsia="Arial" w:cs="Times New Roman" w:ascii="Times New Roman" w:hAnsi="Times New Roman"/>
          <w:sz w:val="24"/>
          <w:szCs w:val="24"/>
        </w:rPr>
        <w:t>ti</w:t>
      </w:r>
      <w:r>
        <w:rPr>
          <w:rFonts w:cs="Times New Roman" w:ascii="Times New Roman" w:hAnsi="Times New Roman"/>
          <w:sz w:val="24"/>
          <w:szCs w:val="24"/>
        </w:rPr>
        <w:t>vo a formação de cadastro de reserva para o caso de impossibilidade de atendimento pelo signatário da ata.</w:t>
      </w:r>
    </w:p>
    <w:p>
      <w:pPr>
        <w:pStyle w:val="Nivel2"/>
        <w:numPr>
          <w:ilvl w:val="1"/>
          <w:numId w:val="1"/>
        </w:numPr>
        <w:spacing w:lineRule="auto" w:line="240"/>
        <w:ind w:left="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Para fins da ordem de classificação, os licitantes ou fornecedores que aceitarem reduzir suas propostas para o preço do adjudicatário antecederão aqueles que mantiverem sua proposta original.</w:t>
      </w:r>
    </w:p>
    <w:p>
      <w:pPr>
        <w:pStyle w:val="Nivel2"/>
        <w:numPr>
          <w:ilvl w:val="1"/>
          <w:numId w:val="1"/>
        </w:numPr>
        <w:spacing w:lineRule="auto" w:line="240"/>
        <w:ind w:left="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A habilitação dos licitantes que comporão o cadastro de reserva a que se refere o item  somente será efetuada quando houver necessidade de contratação dos licitantes remanescentes, nas seguintes hipóteses:</w:t>
      </w:r>
    </w:p>
    <w:p>
      <w:pPr>
        <w:pStyle w:val="Nvel3"/>
        <w:numPr>
          <w:ilvl w:val="2"/>
          <w:numId w:val="1"/>
        </w:numPr>
        <w:spacing w:lineRule="auto" w:line="240"/>
        <w:ind w:left="284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Quando o licitante vencedor não assinar a ata de registro de preços, no prazo e nas condições estabelecidos no Edital; e</w:t>
      </w:r>
    </w:p>
    <w:p>
      <w:pPr>
        <w:pStyle w:val="Nvel3"/>
        <w:numPr>
          <w:ilvl w:val="2"/>
          <w:numId w:val="1"/>
        </w:numPr>
        <w:spacing w:lineRule="auto" w:line="240"/>
        <w:ind w:left="284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Quando houver o cancelamento do registro do licitante ou do registro de preços nas hipóteses previstas no item </w:t>
      </w:r>
      <w:r>
        <w:rPr>
          <w:rFonts w:cs="Times New Roman" w:ascii="Times New Roman" w:hAnsi="Times New Roman"/>
          <w:sz w:val="24"/>
          <w:szCs w:val="24"/>
        </w:rPr>
        <w:fldChar w:fldCharType="begin"/>
      </w:r>
      <w:r>
        <w:rPr>
          <w:sz w:val="24"/>
          <w:szCs w:val="24"/>
          <w:rFonts w:cs="Times New Roman" w:ascii="Times New Roman" w:hAnsi="Times New Roman"/>
        </w:rPr>
        <w:instrText> REF cancelamento \r \h </w:instrText>
      </w:r>
      <w:r>
        <w:rPr>
          <w:sz w:val="24"/>
          <w:szCs w:val="24"/>
          <w:rFonts w:cs="Times New Roman" w:ascii="Times New Roman" w:hAnsi="Times New Roman"/>
        </w:rPr>
        <w:fldChar w:fldCharType="separate"/>
      </w:r>
      <w:r>
        <w:rPr>
          <w:sz w:val="24"/>
          <w:szCs w:val="24"/>
          <w:rFonts w:cs="Times New Roman" w:ascii="Times New Roman" w:hAnsi="Times New Roman"/>
        </w:rPr>
        <w:t>9.</w:t>
      </w:r>
      <w:r>
        <w:rPr>
          <w:sz w:val="24"/>
          <w:szCs w:val="24"/>
          <w:rFonts w:cs="Times New Roman" w:ascii="Times New Roman" w:hAnsi="Times New Roman"/>
        </w:rPr>
        <w:fldChar w:fldCharType="end"/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Nivel2"/>
        <w:numPr>
          <w:ilvl w:val="1"/>
          <w:numId w:val="1"/>
        </w:numPr>
        <w:spacing w:lineRule="auto" w:line="240"/>
        <w:ind w:left="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O preço registrado com indicação dos licitantes e fornecedores será divulgado no PNCP e ficará disponibilizado durante a vigência da ata de registro de preços.</w:t>
      </w:r>
    </w:p>
    <w:p>
      <w:pPr>
        <w:pStyle w:val="Nivel2"/>
        <w:numPr>
          <w:ilvl w:val="1"/>
          <w:numId w:val="1"/>
        </w:numPr>
        <w:spacing w:lineRule="auto" w:line="240"/>
        <w:ind w:left="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Após a homologação da licitação ou da contratação direta, o licitante mais bem classificado ou o fornecedor, no caso da contratação direta, será convocado para assinar a ata de registro de preços, no prazo e nas condições estabelecidos no edital de licitação ou no aviso de contratação direta, sob pena de decair o direito, sem prejuízo das sanções previstas na Lei nº 14.133, de 2021.</w:t>
      </w:r>
    </w:p>
    <w:p>
      <w:pPr>
        <w:pStyle w:val="Nvel3"/>
        <w:numPr>
          <w:ilvl w:val="2"/>
          <w:numId w:val="1"/>
        </w:numPr>
        <w:spacing w:lineRule="auto" w:line="240"/>
        <w:ind w:left="284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O prazo de convocação poderá ser prorrogado 1 (uma) vez, por igual período, mediante solicitação do licitante ou fornecedor convocado, desde que apresentada dentro do prazo, devidamente justificada, e que a justificativa seja aceita pela Administração.</w:t>
      </w:r>
    </w:p>
    <w:p>
      <w:pPr>
        <w:pStyle w:val="Nivel2"/>
        <w:numPr>
          <w:ilvl w:val="1"/>
          <w:numId w:val="1"/>
        </w:numPr>
        <w:spacing w:lineRule="auto" w:line="240"/>
        <w:ind w:left="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A ata de registro de preços será assinada por meio de assinatura digital e disponibilizada no Sistema de Registro de Preços.</w:t>
      </w:r>
    </w:p>
    <w:p>
      <w:pPr>
        <w:pStyle w:val="Nivel2"/>
        <w:numPr>
          <w:ilvl w:val="1"/>
          <w:numId w:val="1"/>
        </w:numPr>
        <w:spacing w:lineRule="auto" w:line="240"/>
        <w:ind w:left="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Quando o convocado não assinar a ata de registro de preços no prazo e nas condições estabelecidos no edital ou no aviso de contratação, e observado o disposto no item, observando o item 5.7 e subitens, fica facultado à Administração convocar os licitantes remanescentes do cadastro de reserva, na ordem de classificação, para fazê-lo em igual prazo e nas condições propostas pelo primeiro classificado.</w:t>
      </w:r>
    </w:p>
    <w:p>
      <w:pPr>
        <w:pStyle w:val="Nivel2"/>
        <w:numPr>
          <w:ilvl w:val="1"/>
          <w:numId w:val="1"/>
        </w:numPr>
        <w:spacing w:lineRule="auto" w:line="240"/>
        <w:ind w:left="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Na hipótese de nenhum dos licitantes que trata o item, aceitar a contratação nos termos do item anterior, a Administração, observados o valor es</w:t>
      </w:r>
      <w:r>
        <w:rPr>
          <w:rFonts w:eastAsia="Arial" w:cs="Times New Roman" w:ascii="Times New Roman" w:hAnsi="Times New Roman"/>
          <w:sz w:val="24"/>
          <w:szCs w:val="24"/>
        </w:rPr>
        <w:t>ti</w:t>
      </w:r>
      <w:r>
        <w:rPr>
          <w:rFonts w:cs="Times New Roman" w:ascii="Times New Roman" w:hAnsi="Times New Roman"/>
          <w:sz w:val="24"/>
          <w:szCs w:val="24"/>
        </w:rPr>
        <w:t>mado e sua eventual atualização nos termos do Edital, poderá:</w:t>
      </w:r>
    </w:p>
    <w:p>
      <w:pPr>
        <w:pStyle w:val="Nvel3"/>
        <w:numPr>
          <w:ilvl w:val="2"/>
          <w:numId w:val="1"/>
        </w:numPr>
        <w:spacing w:lineRule="auto" w:line="240"/>
        <w:ind w:left="284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Convocar para negociação os demais licitantes ou fornecedores remanescentes cujos preços foram registrados sem redução, observada a ordem de classificação, com vistas à obtenção de preço melhor, mesmo que acima do preço do adjudicatário; ou</w:t>
      </w:r>
    </w:p>
    <w:p>
      <w:pPr>
        <w:pStyle w:val="Nvel3"/>
        <w:numPr>
          <w:ilvl w:val="2"/>
          <w:numId w:val="1"/>
        </w:numPr>
        <w:spacing w:lineRule="auto" w:line="240"/>
        <w:ind w:left="284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Adjudicar e firmar o contrato nas condições ofertadas pelos licitantes ou fornecedores remanescentes, atendida a ordem classificatória, quando frustrada a negociação de melhor condição.</w:t>
      </w:r>
    </w:p>
    <w:p>
      <w:pPr>
        <w:pStyle w:val="Nivel2"/>
        <w:numPr>
          <w:ilvl w:val="1"/>
          <w:numId w:val="1"/>
        </w:numPr>
        <w:spacing w:lineRule="auto" w:line="240"/>
        <w:ind w:left="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A existência de preços registrados implicará compromisso de fornecimento nas condições estabelecidas, mas não obrigará a Administração a contratar, facultada a realização de licitação específica para a aquisição pretendida, desde que devidamente justificada.</w:t>
      </w:r>
    </w:p>
    <w:p>
      <w:pPr>
        <w:pStyle w:val="Nivel2"/>
        <w:numPr>
          <w:ilvl w:val="0"/>
          <w:numId w:val="0"/>
        </w:numPr>
        <w:spacing w:lineRule="auto" w:line="240"/>
        <w:ind w:left="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ivel01"/>
        <w:numPr>
          <w:ilvl w:val="0"/>
          <w:numId w:val="1"/>
        </w:numPr>
        <w:spacing w:lineRule="auto" w:line="240"/>
        <w:ind w:left="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ALTERAÇÃO OU ATUALIZAÇÃO DOS PREÇOS REGISTRADOS</w:t>
      </w:r>
    </w:p>
    <w:p>
      <w:pPr>
        <w:pStyle w:val="Nivel2"/>
        <w:numPr>
          <w:ilvl w:val="1"/>
          <w:numId w:val="1"/>
        </w:numPr>
        <w:spacing w:lineRule="auto" w:line="240"/>
        <w:ind w:left="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Os preços registrados poderão ser alterados ou atualizados em decorrência de eventual redução dos preços pra</w:t>
      </w:r>
      <w:r>
        <w:rPr>
          <w:rFonts w:eastAsia="Calibri" w:cs="Times New Roman" w:ascii="Times New Roman" w:hAnsi="Times New Roman"/>
          <w:sz w:val="24"/>
          <w:szCs w:val="24"/>
        </w:rPr>
        <w:t>ti</w:t>
      </w:r>
      <w:r>
        <w:rPr>
          <w:rFonts w:cs="Times New Roman" w:ascii="Times New Roman" w:hAnsi="Times New Roman"/>
          <w:sz w:val="24"/>
          <w:szCs w:val="24"/>
        </w:rPr>
        <w:t>cados no mercado ou de fato que eleve o custo dos bens, das obras ou dos serviços registrados, nas seguintes situações:</w:t>
      </w:r>
    </w:p>
    <w:p>
      <w:pPr>
        <w:pStyle w:val="Nvel3"/>
        <w:numPr>
          <w:ilvl w:val="2"/>
          <w:numId w:val="1"/>
        </w:numPr>
        <w:spacing w:lineRule="auto" w:line="240"/>
        <w:ind w:left="284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Em caso de força maior, caso fortuito ou fato do príncipe ou em decorrência de fatos imprevisíveis ou previsíveis de consequências incalculáveis, que inviabilizem a execução da ata tal como pactuada, nos termos da alínea “d” do inciso II do caput do art. 124 da Lei nº 14.133, de 2021;</w:t>
      </w:r>
    </w:p>
    <w:p>
      <w:pPr>
        <w:pStyle w:val="Nvel3"/>
        <w:numPr>
          <w:ilvl w:val="2"/>
          <w:numId w:val="1"/>
        </w:numPr>
        <w:spacing w:lineRule="auto" w:line="240"/>
        <w:ind w:left="284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Em caso de criação, alteração ou ex</w:t>
      </w:r>
      <w:r>
        <w:rPr>
          <w:rFonts w:eastAsia="Calibri" w:cs="Times New Roman" w:ascii="Times New Roman" w:hAnsi="Times New Roman"/>
          <w:sz w:val="24"/>
          <w:szCs w:val="24"/>
        </w:rPr>
        <w:t>ti</w:t>
      </w:r>
      <w:r>
        <w:rPr>
          <w:rFonts w:cs="Times New Roman" w:ascii="Times New Roman" w:hAnsi="Times New Roman"/>
          <w:sz w:val="24"/>
          <w:szCs w:val="24"/>
        </w:rPr>
        <w:t xml:space="preserve">nção de quaisquer tributos ou encargos legais ou a superveniência de disposições legais, com comprovada repercussão sobre os preços registrados; </w:t>
      </w:r>
    </w:p>
    <w:p>
      <w:pPr>
        <w:pStyle w:val="Nvel3"/>
        <w:numPr>
          <w:ilvl w:val="2"/>
          <w:numId w:val="1"/>
        </w:numPr>
        <w:spacing w:lineRule="auto" w:line="240"/>
        <w:ind w:left="284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Na hipótese de previsão no edital ou no aviso de contratação direta de cláusula de reajustamento ou repactuação sobre os preços registrados, nos termos da Lei nº 14.133, de 2021.</w:t>
      </w:r>
    </w:p>
    <w:p>
      <w:pPr>
        <w:pStyle w:val="Nvel4"/>
        <w:numPr>
          <w:ilvl w:val="3"/>
          <w:numId w:val="1"/>
        </w:numPr>
        <w:spacing w:lineRule="auto" w:line="240"/>
        <w:ind w:left="567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No caso do reajustamento, deverá ser respeitada a contagem da anualidade e o índice previstos para a contratação;  </w:t>
      </w:r>
    </w:p>
    <w:p>
      <w:pPr>
        <w:pStyle w:val="Nvel4"/>
        <w:numPr>
          <w:ilvl w:val="3"/>
          <w:numId w:val="1"/>
        </w:numPr>
        <w:spacing w:lineRule="auto" w:line="240"/>
        <w:ind w:left="567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No caso da repactuação, poderá ser a pedido do interessado, conforme critérios definidos para a contratação.</w:t>
      </w:r>
    </w:p>
    <w:p>
      <w:pPr>
        <w:pStyle w:val="Nvel4"/>
        <w:tabs>
          <w:tab w:val="clear" w:pos="0"/>
        </w:tabs>
        <w:spacing w:lineRule="auto" w:line="24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ivel01"/>
        <w:numPr>
          <w:ilvl w:val="0"/>
          <w:numId w:val="1"/>
        </w:numPr>
        <w:spacing w:lineRule="auto" w:line="240"/>
        <w:ind w:left="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NEGOCIAÇÃO DE PREÇOS REGISTRADOS</w:t>
      </w:r>
    </w:p>
    <w:p>
      <w:pPr>
        <w:pStyle w:val="Nivel2"/>
        <w:numPr>
          <w:ilvl w:val="1"/>
          <w:numId w:val="1"/>
        </w:numPr>
        <w:spacing w:lineRule="auto" w:line="240"/>
        <w:ind w:left="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Na hipótese de o preço registrado tornar-se superior ao preço pra</w:t>
      </w:r>
      <w:r>
        <w:rPr>
          <w:rFonts w:eastAsia="Calibri" w:cs="Times New Roman" w:ascii="Times New Roman" w:hAnsi="Times New Roman"/>
          <w:sz w:val="24"/>
          <w:szCs w:val="24"/>
        </w:rPr>
        <w:t>ti</w:t>
      </w:r>
      <w:r>
        <w:rPr>
          <w:rFonts w:cs="Times New Roman" w:ascii="Times New Roman" w:hAnsi="Times New Roman"/>
          <w:sz w:val="24"/>
          <w:szCs w:val="24"/>
        </w:rPr>
        <w:t>cado no mercado por mo</w:t>
      </w:r>
      <w:r>
        <w:rPr>
          <w:rFonts w:eastAsia="Calibri" w:cs="Times New Roman" w:ascii="Times New Roman" w:hAnsi="Times New Roman"/>
          <w:sz w:val="24"/>
          <w:szCs w:val="24"/>
        </w:rPr>
        <w:t>ti</w:t>
      </w:r>
      <w:r>
        <w:rPr>
          <w:rFonts w:cs="Times New Roman" w:ascii="Times New Roman" w:hAnsi="Times New Roman"/>
          <w:sz w:val="24"/>
          <w:szCs w:val="24"/>
        </w:rPr>
        <w:t>vo superveniente, o órgão ou en</w:t>
      </w:r>
      <w:r>
        <w:rPr>
          <w:rFonts w:eastAsia="Calibri" w:cs="Times New Roman" w:ascii="Times New Roman" w:hAnsi="Times New Roman"/>
          <w:sz w:val="24"/>
          <w:szCs w:val="24"/>
        </w:rPr>
        <w:t>ti</w:t>
      </w:r>
      <w:r>
        <w:rPr>
          <w:rFonts w:cs="Times New Roman" w:ascii="Times New Roman" w:hAnsi="Times New Roman"/>
          <w:sz w:val="24"/>
          <w:szCs w:val="24"/>
        </w:rPr>
        <w:t>dade gerenciadora convocará o fornecedor para negociar a redução do preço registrado.</w:t>
      </w:r>
    </w:p>
    <w:p>
      <w:pPr>
        <w:pStyle w:val="Nvel3"/>
        <w:numPr>
          <w:ilvl w:val="2"/>
          <w:numId w:val="1"/>
        </w:numPr>
        <w:spacing w:lineRule="auto" w:line="240"/>
        <w:ind w:left="284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Caso não aceite reduzir seu preço aos valores pra</w:t>
      </w:r>
      <w:r>
        <w:rPr>
          <w:rFonts w:eastAsia="Calibri" w:cs="Times New Roman" w:ascii="Times New Roman" w:hAnsi="Times New Roman"/>
          <w:sz w:val="24"/>
          <w:szCs w:val="24"/>
        </w:rPr>
        <w:t>ti</w:t>
      </w:r>
      <w:r>
        <w:rPr>
          <w:rFonts w:cs="Times New Roman" w:ascii="Times New Roman" w:hAnsi="Times New Roman"/>
          <w:sz w:val="24"/>
          <w:szCs w:val="24"/>
        </w:rPr>
        <w:t>cados pelo mercado, o fornecedor será liberado do compromisso assumido quanto ao item registrado, sem aplicação de penalidades administrativas.</w:t>
      </w:r>
    </w:p>
    <w:p>
      <w:pPr>
        <w:pStyle w:val="Nvel3"/>
        <w:numPr>
          <w:ilvl w:val="2"/>
          <w:numId w:val="1"/>
        </w:numPr>
        <w:spacing w:lineRule="auto" w:line="240"/>
        <w:ind w:left="284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Na hipótese prevista no item anterior, o gerenciador convocará os fornecedores do cadastro de reserva, na ordem de classificação, para verificar se aceitam reduzir seus preços aos valores de mercado e não convocará os licitantes ou fornecedores que tiveram seu registro cancelado. </w:t>
      </w:r>
    </w:p>
    <w:p>
      <w:pPr>
        <w:pStyle w:val="Nvel3"/>
        <w:numPr>
          <w:ilvl w:val="2"/>
          <w:numId w:val="1"/>
        </w:numPr>
        <w:spacing w:lineRule="auto" w:line="240"/>
        <w:ind w:left="284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Se não obtiver êxito nas negociações, o órgão ou en</w:t>
      </w:r>
      <w:r>
        <w:rPr>
          <w:rFonts w:eastAsia="Calibri" w:cs="Times New Roman" w:ascii="Times New Roman" w:hAnsi="Times New Roman"/>
          <w:sz w:val="24"/>
          <w:szCs w:val="24"/>
        </w:rPr>
        <w:t>tid</w:t>
      </w:r>
      <w:r>
        <w:rPr>
          <w:rFonts w:cs="Times New Roman" w:ascii="Times New Roman" w:hAnsi="Times New Roman"/>
          <w:sz w:val="24"/>
          <w:szCs w:val="24"/>
        </w:rPr>
        <w:t>ade gerenciadora procederá ao cancelamento da ata de registro de preços, adotando as medidas cabíveis para obtenção de contratação mais vantajosa.</w:t>
      </w:r>
      <w:bookmarkStart w:id="1" w:name="reducao_preco_mercado_negociacao_frustra"/>
      <w:bookmarkEnd w:id="1"/>
    </w:p>
    <w:p>
      <w:pPr>
        <w:pStyle w:val="Nvel3"/>
        <w:numPr>
          <w:ilvl w:val="2"/>
          <w:numId w:val="1"/>
        </w:numPr>
        <w:spacing w:lineRule="auto" w:line="240"/>
        <w:ind w:left="284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Na hipótese de redução do preço registrado, o gerenciador comunicará aos órgãos e às en</w:t>
      </w:r>
      <w:r>
        <w:rPr>
          <w:rFonts w:eastAsia="Calibri" w:cs="Times New Roman" w:ascii="Times New Roman" w:hAnsi="Times New Roman"/>
          <w:sz w:val="24"/>
          <w:szCs w:val="24"/>
        </w:rPr>
        <w:t>ti</w:t>
      </w:r>
      <w:r>
        <w:rPr>
          <w:rFonts w:cs="Times New Roman" w:ascii="Times New Roman" w:hAnsi="Times New Roman"/>
          <w:sz w:val="24"/>
          <w:szCs w:val="24"/>
        </w:rPr>
        <w:t xml:space="preserve">dades que </w:t>
      </w:r>
      <w:r>
        <w:rPr>
          <w:rFonts w:eastAsia="Calibri" w:cs="Times New Roman" w:ascii="Times New Roman" w:hAnsi="Times New Roman"/>
          <w:sz w:val="24"/>
          <w:szCs w:val="24"/>
        </w:rPr>
        <w:t>ti</w:t>
      </w:r>
      <w:r>
        <w:rPr>
          <w:rFonts w:cs="Times New Roman" w:ascii="Times New Roman" w:hAnsi="Times New Roman"/>
          <w:sz w:val="24"/>
          <w:szCs w:val="24"/>
        </w:rPr>
        <w:t>verem firmado contratos decorrentes da ata de registro de preços para que avaliem a conveniência e a oportunidade de diligenciarem negociação com vistas à alteração contratual, observado o disposto no art. 124 da Lei nº 14.133, de 2021.</w:t>
      </w:r>
    </w:p>
    <w:p>
      <w:pPr>
        <w:pStyle w:val="Nivel2"/>
        <w:numPr>
          <w:ilvl w:val="1"/>
          <w:numId w:val="1"/>
        </w:numPr>
        <w:spacing w:lineRule="auto" w:line="240"/>
        <w:ind w:left="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Na hipótese de o preço de mercado tornar-se superior ao preço registrado e o fornecedor não poder cumprir as obrigações estabelecidas na ata, será facultado ao fornecedor requerer ao gerenciador a alteração do preço registrado, mediante comprovação de fato superveniente que supostamente o impossibilite de cumprir o compromisso.</w:t>
      </w:r>
      <w:bookmarkStart w:id="2" w:name="hipotese_preco_mercado_maior"/>
      <w:bookmarkEnd w:id="2"/>
    </w:p>
    <w:p>
      <w:pPr>
        <w:pStyle w:val="Nvel3"/>
        <w:numPr>
          <w:ilvl w:val="2"/>
          <w:numId w:val="1"/>
        </w:numPr>
        <w:spacing w:lineRule="auto" w:line="240"/>
        <w:ind w:left="284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Neste caso, o fornecedor encaminhará, juntamente com o pedido de alteração, a documentação comprobatória ou a planilha de custos que demonstre a inviabilidade do preço registrado em relação às condições inicialmente pactuadas.</w:t>
      </w:r>
      <w:bookmarkStart w:id="3" w:name="prova_preco_mercado_maior"/>
      <w:bookmarkEnd w:id="3"/>
    </w:p>
    <w:p>
      <w:pPr>
        <w:pStyle w:val="Nvel3"/>
        <w:numPr>
          <w:ilvl w:val="2"/>
          <w:numId w:val="1"/>
        </w:numPr>
        <w:spacing w:lineRule="auto" w:line="240"/>
        <w:ind w:left="284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Não hipótese de não comprovação da existência de fato superveniente que inviabilize o preço registrado, o pedido será indeferido pelo órgão ou en</w:t>
      </w:r>
      <w:r>
        <w:rPr>
          <w:rFonts w:eastAsia="Calibri" w:cs="Times New Roman" w:ascii="Times New Roman" w:hAnsi="Times New Roman"/>
          <w:sz w:val="24"/>
          <w:szCs w:val="24"/>
        </w:rPr>
        <w:t>ti</w:t>
      </w:r>
      <w:r>
        <w:rPr>
          <w:rFonts w:cs="Times New Roman" w:ascii="Times New Roman" w:hAnsi="Times New Roman"/>
          <w:sz w:val="24"/>
          <w:szCs w:val="24"/>
        </w:rPr>
        <w:t xml:space="preserve">dade gerenciadora e o fornecedor deverá cumprir as obrigações estabelecidas na ata, sob pena de cancelamento do seu registro, nos termos do item </w:t>
      </w:r>
      <w:r>
        <w:rPr>
          <w:rFonts w:cs="Times New Roman" w:ascii="Times New Roman" w:hAnsi="Times New Roman"/>
          <w:sz w:val="24"/>
          <w:szCs w:val="24"/>
        </w:rPr>
        <w:fldChar w:fldCharType="begin"/>
      </w:r>
      <w:r>
        <w:rPr>
          <w:sz w:val="24"/>
          <w:szCs w:val="24"/>
          <w:rFonts w:cs="Times New Roman" w:ascii="Times New Roman" w:hAnsi="Times New Roman"/>
        </w:rPr>
        <w:instrText> REF cancelamento_do_fornecedor \r \h </w:instrText>
      </w:r>
      <w:r>
        <w:rPr>
          <w:sz w:val="24"/>
          <w:szCs w:val="24"/>
          <w:rFonts w:cs="Times New Roman" w:ascii="Times New Roman" w:hAnsi="Times New Roman"/>
        </w:rPr>
        <w:fldChar w:fldCharType="separate"/>
      </w:r>
      <w:r>
        <w:rPr>
          <w:sz w:val="24"/>
          <w:szCs w:val="24"/>
          <w:rFonts w:cs="Times New Roman" w:ascii="Times New Roman" w:hAnsi="Times New Roman"/>
        </w:rPr>
        <w:t>9.1.</w:t>
      </w:r>
      <w:r>
        <w:rPr>
          <w:sz w:val="24"/>
          <w:szCs w:val="24"/>
          <w:rFonts w:cs="Times New Roman" w:ascii="Times New Roman" w:hAnsi="Times New Roman"/>
        </w:rPr>
        <w:fldChar w:fldCharType="end"/>
      </w:r>
      <w:r>
        <w:rPr>
          <w:rFonts w:cs="Times New Roman" w:ascii="Times New Roman" w:hAnsi="Times New Roman"/>
          <w:sz w:val="24"/>
          <w:szCs w:val="24"/>
        </w:rPr>
        <w:t>, sem prejuízo das sanções previstas na Lei nº 14.133, de 2021, e na legislação aplicável.</w:t>
      </w:r>
    </w:p>
    <w:p>
      <w:pPr>
        <w:pStyle w:val="Nvel3"/>
        <w:numPr>
          <w:ilvl w:val="2"/>
          <w:numId w:val="1"/>
        </w:numPr>
        <w:spacing w:lineRule="auto" w:line="240"/>
        <w:ind w:left="284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Na hipótese de cancelamento do registro do fornecedor, nos termos do item anterior, o gerenciador convocará os fornecedores do cadastro de reserva, na ordem de classificação, para verificar se aceitam manter seus preços registrados, observado o disposto no item 5.7.</w:t>
      </w:r>
    </w:p>
    <w:p>
      <w:pPr>
        <w:pStyle w:val="Nvel3"/>
        <w:numPr>
          <w:ilvl w:val="2"/>
          <w:numId w:val="1"/>
        </w:numPr>
        <w:spacing w:lineRule="auto" w:line="240"/>
        <w:ind w:left="284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Se não obtiver êxito nas negociações, o órgão ou entidade gerenciadora procederá ao cancelamento da ata de registro de preços, nos termos do item </w:t>
      </w:r>
      <w:r>
        <w:rPr>
          <w:rFonts w:cs="Times New Roman" w:ascii="Times New Roman" w:hAnsi="Times New Roman"/>
          <w:sz w:val="24"/>
          <w:szCs w:val="24"/>
        </w:rPr>
        <w:fldChar w:fldCharType="begin"/>
      </w:r>
      <w:r>
        <w:rPr>
          <w:sz w:val="24"/>
          <w:szCs w:val="24"/>
          <w:rFonts w:cs="Times New Roman" w:ascii="Times New Roman" w:hAnsi="Times New Roman"/>
        </w:rPr>
        <w:instrText> REF cancelamento_da_ata \r \h </w:instrText>
      </w:r>
      <w:r>
        <w:rPr>
          <w:sz w:val="24"/>
          <w:szCs w:val="24"/>
          <w:rFonts w:cs="Times New Roman" w:ascii="Times New Roman" w:hAnsi="Times New Roman"/>
        </w:rPr>
        <w:fldChar w:fldCharType="separate"/>
      </w:r>
      <w:r>
        <w:rPr>
          <w:sz w:val="24"/>
          <w:szCs w:val="24"/>
          <w:rFonts w:cs="Times New Roman" w:ascii="Times New Roman" w:hAnsi="Times New Roman"/>
        </w:rPr>
        <w:t>9.4.</w:t>
      </w:r>
      <w:r>
        <w:rPr>
          <w:sz w:val="24"/>
          <w:szCs w:val="24"/>
          <w:rFonts w:cs="Times New Roman" w:ascii="Times New Roman" w:hAnsi="Times New Roman"/>
        </w:rPr>
        <w:fldChar w:fldCharType="end"/>
      </w:r>
      <w:r>
        <w:rPr>
          <w:rFonts w:cs="Times New Roman" w:ascii="Times New Roman" w:hAnsi="Times New Roman"/>
          <w:sz w:val="24"/>
          <w:szCs w:val="24"/>
        </w:rPr>
        <w:t>, e adotará as medidas cabíveis para a obtenção da contratação mais vantajosa.</w:t>
      </w:r>
    </w:p>
    <w:p>
      <w:pPr>
        <w:pStyle w:val="Nvel3"/>
        <w:numPr>
          <w:ilvl w:val="2"/>
          <w:numId w:val="1"/>
        </w:numPr>
        <w:spacing w:lineRule="auto" w:line="240"/>
        <w:ind w:left="284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Na hipótese de comprovação da majoração do preço de mercado que inviabilize o preço registrado, conforme previsto no item </w:t>
      </w:r>
      <w:r>
        <w:rPr>
          <w:rFonts w:cs="Times New Roman" w:ascii="Times New Roman" w:hAnsi="Times New Roman"/>
          <w:sz w:val="24"/>
          <w:szCs w:val="24"/>
        </w:rPr>
        <w:fldChar w:fldCharType="begin"/>
      </w:r>
      <w:r>
        <w:rPr>
          <w:sz w:val="24"/>
          <w:szCs w:val="24"/>
          <w:rFonts w:cs="Times New Roman" w:ascii="Times New Roman" w:hAnsi="Times New Roman"/>
        </w:rPr>
        <w:instrText> REF hipotese_preco_mercado_maior \r \h </w:instrText>
      </w:r>
      <w:r>
        <w:rPr>
          <w:sz w:val="24"/>
          <w:szCs w:val="24"/>
          <w:rFonts w:cs="Times New Roman" w:ascii="Times New Roman" w:hAnsi="Times New Roman"/>
        </w:rPr>
        <w:fldChar w:fldCharType="separate"/>
      </w:r>
      <w:r>
        <w:rPr>
          <w:sz w:val="24"/>
          <w:szCs w:val="24"/>
          <w:rFonts w:cs="Times New Roman" w:ascii="Times New Roman" w:hAnsi="Times New Roman"/>
        </w:rPr>
        <w:t>7.2.</w:t>
      </w:r>
      <w:r>
        <w:rPr>
          <w:sz w:val="24"/>
          <w:szCs w:val="24"/>
          <w:rFonts w:cs="Times New Roman" w:ascii="Times New Roman" w:hAnsi="Times New Roman"/>
        </w:rPr>
        <w:fldChar w:fldCharType="end"/>
      </w:r>
      <w:r>
        <w:rPr>
          <w:rFonts w:cs="Times New Roman" w:ascii="Times New Roman" w:hAnsi="Times New Roman"/>
          <w:sz w:val="24"/>
          <w:szCs w:val="24"/>
        </w:rPr>
        <w:t xml:space="preserve"> e no item </w:t>
      </w:r>
      <w:r>
        <w:rPr>
          <w:rFonts w:cs="Times New Roman" w:ascii="Times New Roman" w:hAnsi="Times New Roman"/>
          <w:sz w:val="24"/>
          <w:szCs w:val="24"/>
        </w:rPr>
        <w:fldChar w:fldCharType="begin"/>
      </w:r>
      <w:r>
        <w:rPr>
          <w:sz w:val="24"/>
          <w:szCs w:val="24"/>
          <w:rFonts w:cs="Times New Roman" w:ascii="Times New Roman" w:hAnsi="Times New Roman"/>
        </w:rPr>
        <w:instrText> REF prova_preco_mercado_maior \r \h </w:instrText>
      </w:r>
      <w:r>
        <w:rPr>
          <w:sz w:val="24"/>
          <w:szCs w:val="24"/>
          <w:rFonts w:cs="Times New Roman" w:ascii="Times New Roman" w:hAnsi="Times New Roman"/>
        </w:rPr>
        <w:fldChar w:fldCharType="separate"/>
      </w:r>
      <w:r>
        <w:rPr>
          <w:sz w:val="24"/>
          <w:szCs w:val="24"/>
          <w:rFonts w:cs="Times New Roman" w:ascii="Times New Roman" w:hAnsi="Times New Roman"/>
        </w:rPr>
        <w:t>7.2.1.</w:t>
      </w:r>
      <w:r>
        <w:rPr>
          <w:sz w:val="24"/>
          <w:szCs w:val="24"/>
          <w:rFonts w:cs="Times New Roman" w:ascii="Times New Roman" w:hAnsi="Times New Roman"/>
        </w:rPr>
        <w:fldChar w:fldCharType="end"/>
      </w:r>
      <w:r>
        <w:rPr>
          <w:rFonts w:cs="Times New Roman" w:ascii="Times New Roman" w:hAnsi="Times New Roman"/>
          <w:sz w:val="24"/>
          <w:szCs w:val="24"/>
        </w:rPr>
        <w:t>, o órgão ou en</w:t>
      </w:r>
      <w:r>
        <w:rPr>
          <w:rFonts w:eastAsia="Calibri" w:cs="Times New Roman" w:ascii="Times New Roman" w:hAnsi="Times New Roman"/>
          <w:sz w:val="24"/>
          <w:szCs w:val="24"/>
        </w:rPr>
        <w:t>ti</w:t>
      </w:r>
      <w:r>
        <w:rPr>
          <w:rFonts w:cs="Times New Roman" w:ascii="Times New Roman" w:hAnsi="Times New Roman"/>
          <w:sz w:val="24"/>
          <w:szCs w:val="24"/>
        </w:rPr>
        <w:t>dade gerenciadora atualizará o preço registrado, de acordo com a realidade dos valores praticados pelo mercado.</w:t>
      </w:r>
    </w:p>
    <w:p>
      <w:pPr>
        <w:pStyle w:val="Nvel3"/>
        <w:numPr>
          <w:ilvl w:val="2"/>
          <w:numId w:val="1"/>
        </w:numPr>
        <w:spacing w:lineRule="auto" w:line="240"/>
        <w:ind w:left="284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O órgão ou en</w:t>
      </w:r>
      <w:r>
        <w:rPr>
          <w:rFonts w:eastAsia="Calibri" w:cs="Times New Roman" w:ascii="Times New Roman" w:hAnsi="Times New Roman"/>
          <w:sz w:val="24"/>
          <w:szCs w:val="24"/>
        </w:rPr>
        <w:t>ti</w:t>
      </w:r>
      <w:r>
        <w:rPr>
          <w:rFonts w:cs="Times New Roman" w:ascii="Times New Roman" w:hAnsi="Times New Roman"/>
          <w:sz w:val="24"/>
          <w:szCs w:val="24"/>
        </w:rPr>
        <w:t>dade gerenciadora comunicará aos órgãos e às en</w:t>
      </w:r>
      <w:r>
        <w:rPr>
          <w:rFonts w:eastAsia="Calibri" w:cs="Times New Roman" w:ascii="Times New Roman" w:hAnsi="Times New Roman"/>
          <w:sz w:val="24"/>
          <w:szCs w:val="24"/>
        </w:rPr>
        <w:t>ti</w:t>
      </w:r>
      <w:r>
        <w:rPr>
          <w:rFonts w:cs="Times New Roman" w:ascii="Times New Roman" w:hAnsi="Times New Roman"/>
          <w:sz w:val="24"/>
          <w:szCs w:val="24"/>
        </w:rPr>
        <w:t xml:space="preserve">dades que </w:t>
      </w:r>
      <w:r>
        <w:rPr>
          <w:rFonts w:eastAsia="Calibri" w:cs="Times New Roman" w:ascii="Times New Roman" w:hAnsi="Times New Roman"/>
          <w:sz w:val="24"/>
          <w:szCs w:val="24"/>
        </w:rPr>
        <w:t>ti</w:t>
      </w:r>
      <w:r>
        <w:rPr>
          <w:rFonts w:cs="Times New Roman" w:ascii="Times New Roman" w:hAnsi="Times New Roman"/>
          <w:sz w:val="24"/>
          <w:szCs w:val="24"/>
        </w:rPr>
        <w:t>verem firmado contratos decorrentes da ata de registro de preços sobre a efe</w:t>
      </w:r>
      <w:r>
        <w:rPr>
          <w:rFonts w:eastAsia="Calibri" w:cs="Times New Roman" w:ascii="Times New Roman" w:hAnsi="Times New Roman"/>
          <w:sz w:val="24"/>
          <w:szCs w:val="24"/>
        </w:rPr>
        <w:t>ti</w:t>
      </w:r>
      <w:r>
        <w:rPr>
          <w:rFonts w:cs="Times New Roman" w:ascii="Times New Roman" w:hAnsi="Times New Roman"/>
          <w:sz w:val="24"/>
          <w:szCs w:val="24"/>
        </w:rPr>
        <w:t>va alteração do preço registrado, para que avaliem a necessidade de alteração contratual, observado o disposto no art. 124 da Lei nº 14.133, de 2021.</w:t>
      </w:r>
    </w:p>
    <w:p>
      <w:pPr>
        <w:pStyle w:val="Nvel3"/>
        <w:tabs>
          <w:tab w:val="clear" w:pos="0"/>
        </w:tabs>
        <w:spacing w:lineRule="auto" w:line="24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ivel01"/>
        <w:numPr>
          <w:ilvl w:val="0"/>
          <w:numId w:val="1"/>
        </w:numPr>
        <w:spacing w:lineRule="auto" w:line="240"/>
        <w:ind w:left="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REMANEJAMENTO DAS QUANTIDADES REGISTRADAS NA ATA DE REGISTRO DE PREÇOS</w:t>
      </w:r>
    </w:p>
    <w:p>
      <w:pPr>
        <w:pStyle w:val="Nivel2"/>
        <w:numPr>
          <w:ilvl w:val="1"/>
          <w:numId w:val="1"/>
        </w:numPr>
        <w:spacing w:lineRule="auto" w:line="240"/>
        <w:ind w:left="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As quan</w:t>
      </w:r>
      <w:r>
        <w:rPr>
          <w:rFonts w:eastAsia="Arial" w:cs="Times New Roman" w:ascii="Times New Roman" w:hAnsi="Times New Roman"/>
          <w:sz w:val="24"/>
          <w:szCs w:val="24"/>
        </w:rPr>
        <w:t>ti</w:t>
      </w:r>
      <w:r>
        <w:rPr>
          <w:rFonts w:cs="Times New Roman" w:ascii="Times New Roman" w:hAnsi="Times New Roman"/>
          <w:sz w:val="24"/>
          <w:szCs w:val="24"/>
        </w:rPr>
        <w:t>dades previstas para os itens com preços registrados nas atas de registro de preços poderão ser remanejadas pelo órgão ou en</w:t>
      </w:r>
      <w:r>
        <w:rPr>
          <w:rFonts w:eastAsia="Arial" w:cs="Times New Roman" w:ascii="Times New Roman" w:hAnsi="Times New Roman"/>
          <w:sz w:val="24"/>
          <w:szCs w:val="24"/>
        </w:rPr>
        <w:t>ti</w:t>
      </w:r>
      <w:r>
        <w:rPr>
          <w:rFonts w:cs="Times New Roman" w:ascii="Times New Roman" w:hAnsi="Times New Roman"/>
          <w:sz w:val="24"/>
          <w:szCs w:val="24"/>
        </w:rPr>
        <w:t>dade gerenciadora entre os órgãos ou as en</w:t>
      </w:r>
      <w:r>
        <w:rPr>
          <w:rFonts w:eastAsia="Arial" w:cs="Times New Roman" w:ascii="Times New Roman" w:hAnsi="Times New Roman"/>
          <w:sz w:val="24"/>
          <w:szCs w:val="24"/>
        </w:rPr>
        <w:t>ti</w:t>
      </w:r>
      <w:r>
        <w:rPr>
          <w:rFonts w:cs="Times New Roman" w:ascii="Times New Roman" w:hAnsi="Times New Roman"/>
          <w:sz w:val="24"/>
          <w:szCs w:val="24"/>
        </w:rPr>
        <w:t>dades par</w:t>
      </w:r>
      <w:r>
        <w:rPr>
          <w:rFonts w:eastAsia="Arial" w:cs="Times New Roman" w:ascii="Times New Roman" w:hAnsi="Times New Roman"/>
          <w:sz w:val="24"/>
          <w:szCs w:val="24"/>
        </w:rPr>
        <w:t>ti</w:t>
      </w:r>
      <w:r>
        <w:rPr>
          <w:rFonts w:cs="Times New Roman" w:ascii="Times New Roman" w:hAnsi="Times New Roman"/>
          <w:sz w:val="24"/>
          <w:szCs w:val="24"/>
        </w:rPr>
        <w:t>cipantes e não par</w:t>
      </w:r>
      <w:r>
        <w:rPr>
          <w:rFonts w:eastAsia="Arial" w:cs="Times New Roman" w:ascii="Times New Roman" w:hAnsi="Times New Roman"/>
          <w:sz w:val="24"/>
          <w:szCs w:val="24"/>
        </w:rPr>
        <w:t>ti</w:t>
      </w:r>
      <w:r>
        <w:rPr>
          <w:rFonts w:cs="Times New Roman" w:ascii="Times New Roman" w:hAnsi="Times New Roman"/>
          <w:sz w:val="24"/>
          <w:szCs w:val="24"/>
        </w:rPr>
        <w:t>cipantes do registro de preços.</w:t>
      </w:r>
    </w:p>
    <w:p>
      <w:pPr>
        <w:pStyle w:val="Nivel2"/>
        <w:numPr>
          <w:ilvl w:val="1"/>
          <w:numId w:val="1"/>
        </w:numPr>
        <w:spacing w:lineRule="auto" w:line="240"/>
        <w:ind w:left="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O remanejamento somente poderá ser feito:</w:t>
      </w:r>
    </w:p>
    <w:p>
      <w:pPr>
        <w:pStyle w:val="Nvel3"/>
        <w:numPr>
          <w:ilvl w:val="2"/>
          <w:numId w:val="1"/>
        </w:numPr>
        <w:spacing w:lineRule="auto" w:line="240"/>
        <w:ind w:left="284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De órgão ou en</w:t>
      </w:r>
      <w:r>
        <w:rPr>
          <w:rFonts w:eastAsia="Arial" w:cs="Times New Roman" w:ascii="Times New Roman" w:hAnsi="Times New Roman"/>
          <w:sz w:val="24"/>
          <w:szCs w:val="24"/>
        </w:rPr>
        <w:t>ti</w:t>
      </w:r>
      <w:r>
        <w:rPr>
          <w:rFonts w:cs="Times New Roman" w:ascii="Times New Roman" w:hAnsi="Times New Roman"/>
          <w:sz w:val="24"/>
          <w:szCs w:val="24"/>
        </w:rPr>
        <w:t>dade par</w:t>
      </w:r>
      <w:r>
        <w:rPr>
          <w:rFonts w:eastAsia="Arial" w:cs="Times New Roman" w:ascii="Times New Roman" w:hAnsi="Times New Roman"/>
          <w:sz w:val="24"/>
          <w:szCs w:val="24"/>
        </w:rPr>
        <w:t>ti</w:t>
      </w:r>
      <w:r>
        <w:rPr>
          <w:rFonts w:cs="Times New Roman" w:ascii="Times New Roman" w:hAnsi="Times New Roman"/>
          <w:sz w:val="24"/>
          <w:szCs w:val="24"/>
        </w:rPr>
        <w:t>cipante para órgão ou en</w:t>
      </w:r>
      <w:r>
        <w:rPr>
          <w:rFonts w:eastAsia="Arial" w:cs="Times New Roman" w:ascii="Times New Roman" w:hAnsi="Times New Roman"/>
          <w:sz w:val="24"/>
          <w:szCs w:val="24"/>
        </w:rPr>
        <w:t>ti</w:t>
      </w:r>
      <w:r>
        <w:rPr>
          <w:rFonts w:cs="Times New Roman" w:ascii="Times New Roman" w:hAnsi="Times New Roman"/>
          <w:sz w:val="24"/>
          <w:szCs w:val="24"/>
        </w:rPr>
        <w:t>dade par</w:t>
      </w:r>
      <w:r>
        <w:rPr>
          <w:rFonts w:eastAsia="Arial" w:cs="Times New Roman" w:ascii="Times New Roman" w:hAnsi="Times New Roman"/>
          <w:sz w:val="24"/>
          <w:szCs w:val="24"/>
        </w:rPr>
        <w:t>ti</w:t>
      </w:r>
      <w:r>
        <w:rPr>
          <w:rFonts w:cs="Times New Roman" w:ascii="Times New Roman" w:hAnsi="Times New Roman"/>
          <w:sz w:val="24"/>
          <w:szCs w:val="24"/>
        </w:rPr>
        <w:t>cipante; ou</w:t>
      </w:r>
    </w:p>
    <w:p>
      <w:pPr>
        <w:pStyle w:val="Nvel3"/>
        <w:numPr>
          <w:ilvl w:val="2"/>
          <w:numId w:val="1"/>
        </w:numPr>
        <w:spacing w:lineRule="auto" w:line="240"/>
        <w:ind w:left="284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De órgão ou en</w:t>
      </w:r>
      <w:r>
        <w:rPr>
          <w:rFonts w:eastAsia="Arial" w:cs="Times New Roman" w:ascii="Times New Roman" w:hAnsi="Times New Roman"/>
          <w:sz w:val="24"/>
          <w:szCs w:val="24"/>
        </w:rPr>
        <w:t>ti</w:t>
      </w:r>
      <w:r>
        <w:rPr>
          <w:rFonts w:cs="Times New Roman" w:ascii="Times New Roman" w:hAnsi="Times New Roman"/>
          <w:sz w:val="24"/>
          <w:szCs w:val="24"/>
        </w:rPr>
        <w:t>dade par</w:t>
      </w:r>
      <w:r>
        <w:rPr>
          <w:rFonts w:eastAsia="Arial" w:cs="Times New Roman" w:ascii="Times New Roman" w:hAnsi="Times New Roman"/>
          <w:sz w:val="24"/>
          <w:szCs w:val="24"/>
        </w:rPr>
        <w:t>ti</w:t>
      </w:r>
      <w:r>
        <w:rPr>
          <w:rFonts w:cs="Times New Roman" w:ascii="Times New Roman" w:hAnsi="Times New Roman"/>
          <w:sz w:val="24"/>
          <w:szCs w:val="24"/>
        </w:rPr>
        <w:t>cipante para órgão ou entidade não participante.</w:t>
      </w:r>
    </w:p>
    <w:p>
      <w:pPr>
        <w:pStyle w:val="Nivel2"/>
        <w:numPr>
          <w:ilvl w:val="1"/>
          <w:numId w:val="1"/>
        </w:numPr>
        <w:spacing w:lineRule="auto" w:line="240"/>
        <w:ind w:left="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O órgão ou en</w:t>
      </w:r>
      <w:r>
        <w:rPr>
          <w:rFonts w:eastAsia="Arial" w:cs="Times New Roman" w:ascii="Times New Roman" w:hAnsi="Times New Roman"/>
          <w:sz w:val="24"/>
          <w:szCs w:val="24"/>
        </w:rPr>
        <w:t>ti</w:t>
      </w:r>
      <w:r>
        <w:rPr>
          <w:rFonts w:cs="Times New Roman" w:ascii="Times New Roman" w:hAnsi="Times New Roman"/>
          <w:sz w:val="24"/>
          <w:szCs w:val="24"/>
        </w:rPr>
        <w:t>dade gerenciadora que tiver es</w:t>
      </w:r>
      <w:r>
        <w:rPr>
          <w:rFonts w:eastAsia="Arial" w:cs="Times New Roman" w:ascii="Times New Roman" w:hAnsi="Times New Roman"/>
          <w:sz w:val="24"/>
          <w:szCs w:val="24"/>
        </w:rPr>
        <w:t>ti</w:t>
      </w:r>
      <w:r>
        <w:rPr>
          <w:rFonts w:cs="Times New Roman" w:ascii="Times New Roman" w:hAnsi="Times New Roman"/>
          <w:sz w:val="24"/>
          <w:szCs w:val="24"/>
        </w:rPr>
        <w:t>mado as quan</w:t>
      </w:r>
      <w:r>
        <w:rPr>
          <w:rFonts w:eastAsia="Arial" w:cs="Times New Roman" w:ascii="Times New Roman" w:hAnsi="Times New Roman"/>
          <w:sz w:val="24"/>
          <w:szCs w:val="24"/>
        </w:rPr>
        <w:t>ti</w:t>
      </w:r>
      <w:r>
        <w:rPr>
          <w:rFonts w:cs="Times New Roman" w:ascii="Times New Roman" w:hAnsi="Times New Roman"/>
          <w:sz w:val="24"/>
          <w:szCs w:val="24"/>
        </w:rPr>
        <w:t>dades que pretende contratar será considerado participante para efeito do remanejamento.</w:t>
      </w:r>
      <w:bookmarkStart w:id="4" w:name="gerenciador_estimador_é_partic_em_remane"/>
      <w:bookmarkEnd w:id="4"/>
    </w:p>
    <w:p>
      <w:pPr>
        <w:pStyle w:val="Nivel2"/>
        <w:numPr>
          <w:ilvl w:val="1"/>
          <w:numId w:val="1"/>
        </w:numPr>
        <w:spacing w:lineRule="auto" w:line="240"/>
        <w:ind w:left="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Na hipótese de remanejamento de órgão ou entidade par</w:t>
      </w:r>
      <w:r>
        <w:rPr>
          <w:rFonts w:eastAsia="Arial" w:cs="Times New Roman" w:ascii="Times New Roman" w:hAnsi="Times New Roman"/>
          <w:sz w:val="24"/>
          <w:szCs w:val="24"/>
        </w:rPr>
        <w:t>ti</w:t>
      </w:r>
      <w:r>
        <w:rPr>
          <w:rFonts w:cs="Times New Roman" w:ascii="Times New Roman" w:hAnsi="Times New Roman"/>
          <w:sz w:val="24"/>
          <w:szCs w:val="24"/>
        </w:rPr>
        <w:t>cipante para órgão ou entidade não participante, serão observados os limites previstos no §§4º e 5º do art. 86 da Lei federal nº 14.133/21.</w:t>
      </w:r>
    </w:p>
    <w:p>
      <w:pPr>
        <w:pStyle w:val="Nivel2"/>
        <w:numPr>
          <w:ilvl w:val="1"/>
          <w:numId w:val="1"/>
        </w:numPr>
        <w:spacing w:lineRule="auto" w:line="240"/>
        <w:ind w:left="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Competirá ao órgão ou à en</w:t>
      </w:r>
      <w:r>
        <w:rPr>
          <w:rFonts w:eastAsia="Arial" w:cs="Times New Roman" w:ascii="Times New Roman" w:hAnsi="Times New Roman"/>
          <w:sz w:val="24"/>
          <w:szCs w:val="24"/>
        </w:rPr>
        <w:t>ti</w:t>
      </w:r>
      <w:r>
        <w:rPr>
          <w:rFonts w:cs="Times New Roman" w:ascii="Times New Roman" w:hAnsi="Times New Roman"/>
          <w:sz w:val="24"/>
          <w:szCs w:val="24"/>
        </w:rPr>
        <w:t>dade gerenciadora autorizar o remanejamento solicitado, com a redução do quan</w:t>
      </w:r>
      <w:r>
        <w:rPr>
          <w:rFonts w:eastAsia="Arial" w:cs="Times New Roman" w:ascii="Times New Roman" w:hAnsi="Times New Roman"/>
          <w:sz w:val="24"/>
          <w:szCs w:val="24"/>
        </w:rPr>
        <w:t>ti</w:t>
      </w:r>
      <w:r>
        <w:rPr>
          <w:rFonts w:cs="Times New Roman" w:ascii="Times New Roman" w:hAnsi="Times New Roman"/>
          <w:sz w:val="24"/>
          <w:szCs w:val="24"/>
        </w:rPr>
        <w:t>ta</w:t>
      </w:r>
      <w:r>
        <w:rPr>
          <w:rFonts w:eastAsia="Arial" w:cs="Times New Roman" w:ascii="Times New Roman" w:hAnsi="Times New Roman"/>
          <w:sz w:val="24"/>
          <w:szCs w:val="24"/>
        </w:rPr>
        <w:t>ti</w:t>
      </w:r>
      <w:r>
        <w:rPr>
          <w:rFonts w:cs="Times New Roman" w:ascii="Times New Roman" w:hAnsi="Times New Roman"/>
          <w:sz w:val="24"/>
          <w:szCs w:val="24"/>
        </w:rPr>
        <w:t>vo inicialmente informado pelo órgão ou pela en</w:t>
      </w:r>
      <w:r>
        <w:rPr>
          <w:rFonts w:eastAsia="Arial" w:cs="Times New Roman" w:ascii="Times New Roman" w:hAnsi="Times New Roman"/>
          <w:sz w:val="24"/>
          <w:szCs w:val="24"/>
        </w:rPr>
        <w:t>ti</w:t>
      </w:r>
      <w:r>
        <w:rPr>
          <w:rFonts w:cs="Times New Roman" w:ascii="Times New Roman" w:hAnsi="Times New Roman"/>
          <w:sz w:val="24"/>
          <w:szCs w:val="24"/>
        </w:rPr>
        <w:t>dade par</w:t>
      </w:r>
      <w:r>
        <w:rPr>
          <w:rFonts w:eastAsia="Arial" w:cs="Times New Roman" w:ascii="Times New Roman" w:hAnsi="Times New Roman"/>
          <w:sz w:val="24"/>
          <w:szCs w:val="24"/>
        </w:rPr>
        <w:t>ti</w:t>
      </w:r>
      <w:r>
        <w:rPr>
          <w:rFonts w:cs="Times New Roman" w:ascii="Times New Roman" w:hAnsi="Times New Roman"/>
          <w:sz w:val="24"/>
          <w:szCs w:val="24"/>
        </w:rPr>
        <w:t>cipante, desde que haja prévia anuência do órgão ou da en</w:t>
      </w:r>
      <w:r>
        <w:rPr>
          <w:rFonts w:eastAsia="Arial" w:cs="Times New Roman" w:ascii="Times New Roman" w:hAnsi="Times New Roman"/>
          <w:sz w:val="24"/>
          <w:szCs w:val="24"/>
        </w:rPr>
        <w:t>ti</w:t>
      </w:r>
      <w:r>
        <w:rPr>
          <w:rFonts w:cs="Times New Roman" w:ascii="Times New Roman" w:hAnsi="Times New Roman"/>
          <w:sz w:val="24"/>
          <w:szCs w:val="24"/>
        </w:rPr>
        <w:t>dade que sofrer redução dos quantitativos informados.</w:t>
      </w:r>
    </w:p>
    <w:p>
      <w:pPr>
        <w:pStyle w:val="Nivel2"/>
        <w:numPr>
          <w:ilvl w:val="1"/>
          <w:numId w:val="1"/>
        </w:numPr>
        <w:spacing w:lineRule="auto" w:line="240"/>
        <w:ind w:left="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Caso o remanejamento seja feito entre órgãos ou en</w:t>
      </w:r>
      <w:r>
        <w:rPr>
          <w:rFonts w:eastAsia="Arial" w:cs="Times New Roman" w:ascii="Times New Roman" w:hAnsi="Times New Roman"/>
          <w:sz w:val="24"/>
          <w:szCs w:val="24"/>
        </w:rPr>
        <w:t>ti</w:t>
      </w:r>
      <w:r>
        <w:rPr>
          <w:rFonts w:cs="Times New Roman" w:ascii="Times New Roman" w:hAnsi="Times New Roman"/>
          <w:sz w:val="24"/>
          <w:szCs w:val="24"/>
        </w:rPr>
        <w:t>dades dos Estados, do Distrito Federal ou de Municípios dis</w:t>
      </w:r>
      <w:r>
        <w:rPr>
          <w:rFonts w:eastAsia="Arial" w:cs="Times New Roman" w:ascii="Times New Roman" w:hAnsi="Times New Roman"/>
          <w:sz w:val="24"/>
          <w:szCs w:val="24"/>
        </w:rPr>
        <w:t>ti</w:t>
      </w:r>
      <w:r>
        <w:rPr>
          <w:rFonts w:cs="Times New Roman" w:ascii="Times New Roman" w:hAnsi="Times New Roman"/>
          <w:sz w:val="24"/>
          <w:szCs w:val="24"/>
        </w:rPr>
        <w:t>ntos, caberá ao fornecedor beneficiário da ata de registro de preços, observadas as condições nela estabelecidas, optar pela aceitação ou não do fornecimento decorrente do remanejamento dos itens.</w:t>
      </w:r>
    </w:p>
    <w:p>
      <w:pPr>
        <w:pStyle w:val="Nivel2"/>
        <w:numPr>
          <w:ilvl w:val="1"/>
          <w:numId w:val="1"/>
        </w:numPr>
        <w:spacing w:lineRule="auto" w:line="240"/>
        <w:ind w:left="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Na hipótese da compra centralizada, não havendo indicação pelo órgão ou pela en</w:t>
      </w:r>
      <w:r>
        <w:rPr>
          <w:rFonts w:eastAsia="Arial" w:cs="Times New Roman" w:ascii="Times New Roman" w:hAnsi="Times New Roman"/>
          <w:sz w:val="24"/>
          <w:szCs w:val="24"/>
        </w:rPr>
        <w:t>ti</w:t>
      </w:r>
      <w:r>
        <w:rPr>
          <w:rFonts w:cs="Times New Roman" w:ascii="Times New Roman" w:hAnsi="Times New Roman"/>
          <w:sz w:val="24"/>
          <w:szCs w:val="24"/>
        </w:rPr>
        <w:t>dade gerenciadora, dos quan</w:t>
      </w:r>
      <w:r>
        <w:rPr>
          <w:rFonts w:eastAsia="Arial" w:cs="Times New Roman" w:ascii="Times New Roman" w:hAnsi="Times New Roman"/>
          <w:sz w:val="24"/>
          <w:szCs w:val="24"/>
        </w:rPr>
        <w:t>ti</w:t>
      </w:r>
      <w:r>
        <w:rPr>
          <w:rFonts w:cs="Times New Roman" w:ascii="Times New Roman" w:hAnsi="Times New Roman"/>
          <w:sz w:val="24"/>
          <w:szCs w:val="24"/>
        </w:rPr>
        <w:t>ta</w:t>
      </w:r>
      <w:r>
        <w:rPr>
          <w:rFonts w:eastAsia="Arial" w:cs="Times New Roman" w:ascii="Times New Roman" w:hAnsi="Times New Roman"/>
          <w:sz w:val="24"/>
          <w:szCs w:val="24"/>
        </w:rPr>
        <w:t>ti</w:t>
      </w:r>
      <w:r>
        <w:rPr>
          <w:rFonts w:cs="Times New Roman" w:ascii="Times New Roman" w:hAnsi="Times New Roman"/>
          <w:sz w:val="24"/>
          <w:szCs w:val="24"/>
        </w:rPr>
        <w:t>vos dos par</w:t>
      </w:r>
      <w:r>
        <w:rPr>
          <w:rFonts w:eastAsia="Arial" w:cs="Times New Roman" w:ascii="Times New Roman" w:hAnsi="Times New Roman"/>
          <w:sz w:val="24"/>
          <w:szCs w:val="24"/>
        </w:rPr>
        <w:t>ti</w:t>
      </w:r>
      <w:r>
        <w:rPr>
          <w:rFonts w:cs="Times New Roman" w:ascii="Times New Roman" w:hAnsi="Times New Roman"/>
          <w:sz w:val="24"/>
          <w:szCs w:val="24"/>
        </w:rPr>
        <w:t xml:space="preserve">cipantes da compra centralizada, nos termos do item </w:t>
      </w:r>
      <w:r>
        <w:rPr>
          <w:rFonts w:cs="Times New Roman" w:ascii="Times New Roman" w:hAnsi="Times New Roman"/>
          <w:sz w:val="24"/>
          <w:szCs w:val="24"/>
        </w:rPr>
        <w:fldChar w:fldCharType="begin"/>
      </w:r>
      <w:r>
        <w:rPr>
          <w:sz w:val="24"/>
          <w:szCs w:val="24"/>
          <w:rFonts w:cs="Times New Roman" w:ascii="Times New Roman" w:hAnsi="Times New Roman"/>
        </w:rPr>
        <w:instrText> REF gerenciador_estimador_é_partic_em_remane \r \h </w:instrText>
      </w:r>
      <w:r>
        <w:rPr>
          <w:sz w:val="24"/>
          <w:szCs w:val="24"/>
          <w:rFonts w:cs="Times New Roman" w:ascii="Times New Roman" w:hAnsi="Times New Roman"/>
        </w:rPr>
        <w:fldChar w:fldCharType="separate"/>
      </w:r>
      <w:r>
        <w:rPr>
          <w:sz w:val="24"/>
          <w:szCs w:val="24"/>
          <w:rFonts w:cs="Times New Roman" w:ascii="Times New Roman" w:hAnsi="Times New Roman"/>
        </w:rPr>
        <w:t>8.3.</w:t>
      </w:r>
      <w:r>
        <w:rPr>
          <w:sz w:val="24"/>
          <w:szCs w:val="24"/>
          <w:rFonts w:cs="Times New Roman" w:ascii="Times New Roman" w:hAnsi="Times New Roman"/>
        </w:rPr>
        <w:fldChar w:fldCharType="end"/>
      </w:r>
      <w:r>
        <w:rPr>
          <w:rFonts w:cs="Times New Roman" w:ascii="Times New Roman" w:hAnsi="Times New Roman"/>
          <w:sz w:val="24"/>
          <w:szCs w:val="24"/>
        </w:rPr>
        <w:t>, a distribuição das quantidades para a execução descentralizada será por meio do remanejamento.</w:t>
      </w:r>
    </w:p>
    <w:p>
      <w:pPr>
        <w:pStyle w:val="Nivel2"/>
        <w:numPr>
          <w:ilvl w:val="0"/>
          <w:numId w:val="0"/>
        </w:numPr>
        <w:spacing w:lineRule="auto" w:line="240"/>
        <w:ind w:left="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ivel01"/>
        <w:numPr>
          <w:ilvl w:val="0"/>
          <w:numId w:val="1"/>
        </w:numPr>
        <w:spacing w:lineRule="auto" w:line="240"/>
        <w:ind w:left="0" w:hanging="0"/>
        <w:rPr>
          <w:rFonts w:ascii="Times New Roman" w:hAnsi="Times New Roman" w:cs="Times New Roman"/>
          <w:iCs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CANCELAMENTO DO REGISTRO DO LICITANTE VENCEDOR E DOS PREÇOS REGISTRADOS</w:t>
      </w:r>
      <w:bookmarkStart w:id="5" w:name="cancelamento"/>
      <w:bookmarkEnd w:id="5"/>
    </w:p>
    <w:p>
      <w:pPr>
        <w:pStyle w:val="Nivel2"/>
        <w:numPr>
          <w:ilvl w:val="1"/>
          <w:numId w:val="1"/>
        </w:numPr>
        <w:spacing w:lineRule="auto" w:line="240"/>
        <w:ind w:left="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O registro do fornecedor será cancelado pelo gerenciador, quando o fornecedor:</w:t>
      </w:r>
      <w:bookmarkStart w:id="6" w:name="cancelamento_do_fornecedor"/>
      <w:bookmarkEnd w:id="6"/>
    </w:p>
    <w:p>
      <w:pPr>
        <w:pStyle w:val="Nvel3"/>
        <w:numPr>
          <w:ilvl w:val="2"/>
          <w:numId w:val="1"/>
        </w:numPr>
        <w:spacing w:lineRule="auto" w:line="240"/>
        <w:ind w:left="284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Descumprir as condições da ata de registro de preços, sem motivo justificado;</w:t>
      </w:r>
    </w:p>
    <w:p>
      <w:pPr>
        <w:pStyle w:val="Nvel3"/>
        <w:numPr>
          <w:ilvl w:val="2"/>
          <w:numId w:val="1"/>
        </w:numPr>
        <w:spacing w:lineRule="auto" w:line="240"/>
        <w:ind w:left="284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Não re</w:t>
      </w:r>
      <w:r>
        <w:rPr>
          <w:rFonts w:eastAsia="Arial" w:cs="Times New Roman" w:ascii="Times New Roman" w:hAnsi="Times New Roman"/>
          <w:sz w:val="24"/>
          <w:szCs w:val="24"/>
        </w:rPr>
        <w:t>ti</w:t>
      </w:r>
      <w:r>
        <w:rPr>
          <w:rFonts w:cs="Times New Roman" w:ascii="Times New Roman" w:hAnsi="Times New Roman"/>
          <w:sz w:val="24"/>
          <w:szCs w:val="24"/>
        </w:rPr>
        <w:t>rar a nota de empenho, ou instrumento equivalente, no prazo estabelecido pela Administração sem justificativa razoável;</w:t>
      </w:r>
    </w:p>
    <w:p>
      <w:pPr>
        <w:pStyle w:val="Nvel3"/>
        <w:numPr>
          <w:ilvl w:val="2"/>
          <w:numId w:val="1"/>
        </w:numPr>
        <w:spacing w:lineRule="auto" w:line="240"/>
        <w:ind w:left="284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Não aceitar manter seu preço registrado, na hipótese deste se tornar superior àqueles praticados no mercado; ou</w:t>
      </w:r>
    </w:p>
    <w:p>
      <w:pPr>
        <w:pStyle w:val="Nvel3"/>
        <w:numPr>
          <w:ilvl w:val="2"/>
          <w:numId w:val="1"/>
        </w:numPr>
        <w:spacing w:lineRule="auto" w:line="240"/>
        <w:ind w:left="284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Sofrer sanção prevista nos incisos III ou IV do caput do art. 156 da Lei nº 14.133, de 2021.</w:t>
      </w:r>
    </w:p>
    <w:p>
      <w:pPr>
        <w:pStyle w:val="Nvel4"/>
        <w:numPr>
          <w:ilvl w:val="3"/>
          <w:numId w:val="1"/>
        </w:numPr>
        <w:spacing w:lineRule="auto" w:line="240"/>
        <w:ind w:left="567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Na hipótese de aplicação de sanção prevista nos incisos III ou IV do caput do art. 156 da Lei nº 14.133, de 2021, caso a penalidade aplicada ao fornecedor não ultrapasse o prazo de vigência da ata de registro de preços, poderá o órgão ou a entidade gerenciadora poderá, mediante decisão fundamentada, decidir pela manutenção do registro de preços, vedadas contratações derivadas da ata enquanto perdurarem os efeitos da sanção.</w:t>
      </w:r>
    </w:p>
    <w:p>
      <w:pPr>
        <w:pStyle w:val="Nivel2"/>
        <w:numPr>
          <w:ilvl w:val="1"/>
          <w:numId w:val="1"/>
        </w:numPr>
        <w:spacing w:lineRule="auto" w:line="240"/>
        <w:ind w:left="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O cancelamento de registros nas hipóteses previstas no item </w:t>
      </w:r>
      <w:r>
        <w:rPr>
          <w:rFonts w:cs="Times New Roman" w:ascii="Times New Roman" w:hAnsi="Times New Roman"/>
          <w:sz w:val="24"/>
          <w:szCs w:val="24"/>
        </w:rPr>
        <w:fldChar w:fldCharType="begin"/>
      </w:r>
      <w:r>
        <w:rPr>
          <w:sz w:val="24"/>
          <w:szCs w:val="24"/>
          <w:rFonts w:cs="Times New Roman" w:ascii="Times New Roman" w:hAnsi="Times New Roman"/>
        </w:rPr>
        <w:instrText> REF cancelamento_do_fornecedor \r \h </w:instrText>
      </w:r>
      <w:r>
        <w:rPr>
          <w:sz w:val="24"/>
          <w:szCs w:val="24"/>
          <w:rFonts w:cs="Times New Roman" w:ascii="Times New Roman" w:hAnsi="Times New Roman"/>
        </w:rPr>
        <w:fldChar w:fldCharType="separate"/>
      </w:r>
      <w:r>
        <w:rPr>
          <w:sz w:val="24"/>
          <w:szCs w:val="24"/>
          <w:rFonts w:cs="Times New Roman" w:ascii="Times New Roman" w:hAnsi="Times New Roman"/>
        </w:rPr>
        <w:t>9.1.</w:t>
      </w:r>
      <w:r>
        <w:rPr>
          <w:sz w:val="24"/>
          <w:szCs w:val="24"/>
          <w:rFonts w:cs="Times New Roman" w:ascii="Times New Roman" w:hAnsi="Times New Roman"/>
        </w:rPr>
        <w:fldChar w:fldCharType="end"/>
      </w:r>
      <w:r>
        <w:rPr>
          <w:rFonts w:cs="Times New Roman" w:ascii="Times New Roman" w:hAnsi="Times New Roman"/>
          <w:sz w:val="24"/>
          <w:szCs w:val="24"/>
        </w:rPr>
        <w:t xml:space="preserve"> será formalizado por despacho do órgão ou da entidade gerenciadora, garantidos os princípios do contraditório e da ampla defesa.</w:t>
      </w:r>
    </w:p>
    <w:p>
      <w:pPr>
        <w:pStyle w:val="Nivel2"/>
        <w:numPr>
          <w:ilvl w:val="1"/>
          <w:numId w:val="1"/>
        </w:numPr>
        <w:spacing w:lineRule="auto" w:line="240"/>
        <w:ind w:left="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Na hipótese de cancelamento do registro do fornecedor, o órgão ou a entidade gerenciadora poderá convocar os licitantes que compõem o cadastro de reserva, observada a ordem de classificação.</w:t>
      </w:r>
    </w:p>
    <w:p>
      <w:pPr>
        <w:pStyle w:val="Nivel2"/>
        <w:numPr>
          <w:ilvl w:val="1"/>
          <w:numId w:val="1"/>
        </w:numPr>
        <w:spacing w:lineRule="auto" w:line="240"/>
        <w:ind w:left="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O cancelamento dos preços registrados poderá ser realizado pelo gerenciador, em determinada ata de registro de preços, total ou parcialmente, nas seguintes hipóteses, desde que devidamente comprovadas e justificadas:</w:t>
      </w:r>
      <w:bookmarkStart w:id="7" w:name="cancelamento_da_ata"/>
      <w:bookmarkEnd w:id="7"/>
      <w:r>
        <w:rPr>
          <w:rFonts w:cs="Times New Roman" w:ascii="Times New Roman" w:hAnsi="Times New Roman"/>
          <w:sz w:val="24"/>
          <w:szCs w:val="24"/>
        </w:rPr>
        <w:t xml:space="preserve"> </w:t>
      </w:r>
    </w:p>
    <w:p>
      <w:pPr>
        <w:pStyle w:val="Nvel3"/>
        <w:numPr>
          <w:ilvl w:val="2"/>
          <w:numId w:val="1"/>
        </w:numPr>
        <w:spacing w:lineRule="auto" w:line="240"/>
        <w:ind w:left="284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Por razão de interesse público;</w:t>
      </w:r>
    </w:p>
    <w:p>
      <w:pPr>
        <w:pStyle w:val="Nvel3"/>
        <w:numPr>
          <w:ilvl w:val="2"/>
          <w:numId w:val="1"/>
        </w:numPr>
        <w:spacing w:lineRule="auto" w:line="240"/>
        <w:ind w:left="284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A pedido do fornecedor, decorrente de caso fortuito ou força maior; ou</w:t>
      </w:r>
    </w:p>
    <w:p>
      <w:pPr>
        <w:pStyle w:val="Nvel3"/>
        <w:numPr>
          <w:ilvl w:val="2"/>
          <w:numId w:val="1"/>
        </w:numPr>
        <w:spacing w:lineRule="auto" w:line="240"/>
        <w:ind w:left="284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Se não houver êxito nas negociações, nas hipóteses em que o preço de mercado se tornar superior ou inferior ao preço registrado. </w:t>
      </w:r>
    </w:p>
    <w:p>
      <w:pPr>
        <w:pStyle w:val="Nvel3"/>
        <w:tabs>
          <w:tab w:val="clear" w:pos="0"/>
        </w:tabs>
        <w:spacing w:lineRule="auto" w:line="24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ivel01"/>
        <w:numPr>
          <w:ilvl w:val="0"/>
          <w:numId w:val="1"/>
        </w:numPr>
        <w:spacing w:lineRule="auto" w:line="240"/>
        <w:ind w:left="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DAS PENALIDADES</w:t>
      </w:r>
    </w:p>
    <w:p>
      <w:pPr>
        <w:pStyle w:val="Nivel2"/>
        <w:numPr>
          <w:ilvl w:val="1"/>
          <w:numId w:val="1"/>
        </w:numPr>
        <w:spacing w:lineRule="auto" w:line="240"/>
        <w:ind w:left="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O descumprimento da Ata de Registro de Preços ensejará aplicação das penalidades estabelecidas no Edital.</w:t>
      </w:r>
    </w:p>
    <w:p>
      <w:pPr>
        <w:pStyle w:val="Nvel3"/>
        <w:numPr>
          <w:ilvl w:val="2"/>
          <w:numId w:val="1"/>
        </w:numPr>
        <w:spacing w:lineRule="auto" w:line="240"/>
        <w:ind w:left="284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As sanções também se aplicam aos integrantes do cadastro de reserva no registro de preços que, convocados, não honrarem o compromisso assumido injustificadamente após terem assinado a ata. </w:t>
      </w:r>
    </w:p>
    <w:p>
      <w:pPr>
        <w:pStyle w:val="Nivel2"/>
        <w:numPr>
          <w:ilvl w:val="1"/>
          <w:numId w:val="1"/>
        </w:numPr>
        <w:spacing w:lineRule="auto" w:line="240"/>
        <w:ind w:left="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É da competência do gerenciador a aplicação das penalidades decorrentes do descumprimento do pactuado nesta ata de registro de preço, exceto nas hipóteses em que o descumprimento disser respeito às contratações dos órgãos ou entidade participante, caso no qual caberá ao respectivo órgão participante a aplicação da penalidade.</w:t>
      </w:r>
    </w:p>
    <w:p>
      <w:pPr>
        <w:pStyle w:val="Nivel2"/>
        <w:numPr>
          <w:ilvl w:val="1"/>
          <w:numId w:val="1"/>
        </w:numPr>
        <w:spacing w:lineRule="auto" w:line="240"/>
        <w:ind w:left="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O órgão ou entidade participante deverá comunicar ao órgão gerenciador qualquer das ocorrências previstas no item 9.1, dada a necessidade de instauração de procedimento para cancelamento do registro do fornecedor.</w:t>
      </w:r>
    </w:p>
    <w:p>
      <w:pPr>
        <w:pStyle w:val="Nivel2"/>
        <w:numPr>
          <w:ilvl w:val="0"/>
          <w:numId w:val="0"/>
        </w:numPr>
        <w:spacing w:lineRule="auto" w:line="240"/>
        <w:ind w:left="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ivel01"/>
        <w:numPr>
          <w:ilvl w:val="0"/>
          <w:numId w:val="1"/>
        </w:numPr>
        <w:spacing w:lineRule="auto" w:line="240"/>
        <w:ind w:left="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CONDIÇÕES GERAIS</w:t>
      </w:r>
    </w:p>
    <w:p>
      <w:pPr>
        <w:pStyle w:val="Nivel2"/>
        <w:numPr>
          <w:ilvl w:val="1"/>
          <w:numId w:val="1"/>
        </w:numPr>
        <w:spacing w:lineRule="auto" w:line="240"/>
        <w:ind w:left="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As condições gerais de execução do objeto, tais como os prazos para entrega e recebimento, as obrigações da Administração e do fornecedor registrado, penalidades e demais condições do ajuste, encontram-se definidos no Termo de Referência, ANEXO AO EDITAL.</w:t>
      </w:r>
    </w:p>
    <w:p>
      <w:pPr>
        <w:pStyle w:val="Nvel2Red"/>
        <w:numPr>
          <w:ilvl w:val="1"/>
          <w:numId w:val="1"/>
        </w:numPr>
        <w:spacing w:lineRule="auto" w:line="240"/>
        <w:ind w:left="0" w:hanging="0"/>
        <w:rPr>
          <w:rFonts w:ascii="Times New Roman" w:hAnsi="Times New Roman" w:cs="Times New Roman"/>
          <w:i w:val="false"/>
          <w:i w:val="false"/>
          <w:iCs w:val="false"/>
          <w:color w:val="auto"/>
          <w:sz w:val="24"/>
          <w:szCs w:val="24"/>
        </w:rPr>
      </w:pPr>
      <w:r>
        <w:rPr>
          <w:rFonts w:cs="Times New Roman" w:ascii="Times New Roman" w:hAnsi="Times New Roman"/>
          <w:i w:val="false"/>
          <w:iCs w:val="false"/>
          <w:color w:val="auto"/>
          <w:sz w:val="24"/>
          <w:szCs w:val="24"/>
        </w:rPr>
        <w:t>No caso de adjudicação por preço global de grupo de itens, só será admitida a contratação de parte de itens do grupo se houver prévia pesquisa de mercado e demonstração de sua vantagem para o órgão ou a entidade.</w:t>
      </w:r>
    </w:p>
    <w:p>
      <w:pPr>
        <w:pStyle w:val="Normal"/>
        <w:widowControl w:val="false"/>
        <w:spacing w:before="120" w:after="120"/>
        <w:jc w:val="both"/>
        <w:rPr>
          <w:rFonts w:ascii="Times New Roman" w:hAnsi="Times New Roman" w:cs="Times New Roman"/>
          <w:i/>
          <w:i/>
          <w:iCs/>
          <w:color w:val="FF0000"/>
        </w:rPr>
      </w:pPr>
      <w:r>
        <w:rPr>
          <w:rFonts w:cs="Times New Roman" w:ascii="Times New Roman" w:hAnsi="Times New Roman"/>
        </w:rPr>
        <w:t>Para firmeza e validade do pactuado, a presente Ata foi lavrada em duas (2) vias de igual teor, que, depois de lida e achada em ordem, vai assinada pelas partes e encaminhada cópia aos demais órgãos participantes (se houver).</w:t>
      </w:r>
    </w:p>
    <w:p>
      <w:pPr>
        <w:pStyle w:val="Normal"/>
        <w:widowControl w:val="false"/>
        <w:spacing w:before="120" w:after="120"/>
        <w:jc w:val="both"/>
        <w:rPr>
          <w:rFonts w:ascii="Times New Roman" w:hAnsi="Times New Roman" w:cs="Times New Roman"/>
          <w:i/>
          <w:i/>
          <w:iCs/>
          <w:color w:val="FF0000"/>
        </w:rPr>
      </w:pPr>
      <w:r>
        <w:rPr>
          <w:rFonts w:cs="Times New Roman" w:ascii="Times New Roman" w:hAnsi="Times New Roman"/>
          <w:i/>
          <w:iCs/>
          <w:color w:val="FF0000"/>
        </w:rPr>
      </w:r>
    </w:p>
    <w:p>
      <w:pPr>
        <w:pStyle w:val="Normal"/>
        <w:widowControl w:val="false"/>
        <w:spacing w:before="120" w:after="120"/>
        <w:ind w:right="-30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Carmo do Paranaíba/MG, ............ de ............. de 2024.</w:t>
      </w:r>
    </w:p>
    <w:p>
      <w:pPr>
        <w:pStyle w:val="Normal"/>
        <w:widowControl w:val="false"/>
        <w:spacing w:before="120" w:after="120"/>
        <w:ind w:right="-30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widowControl w:val="false"/>
        <w:spacing w:before="120" w:after="120"/>
        <w:ind w:right="-30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widowControl w:val="false"/>
        <w:spacing w:before="120" w:after="120"/>
        <w:ind w:right="-30" w:hanging="0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Assinaturas</w:t>
      </w:r>
    </w:p>
    <w:p>
      <w:pPr>
        <w:pStyle w:val="Normal"/>
        <w:widowControl w:val="false"/>
        <w:spacing w:before="120" w:after="120"/>
        <w:ind w:right="-30" w:hanging="0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widowControl w:val="false"/>
        <w:spacing w:before="120" w:after="120"/>
        <w:ind w:right="-30" w:hanging="0"/>
        <w:jc w:val="center"/>
        <w:rPr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</w:rPr>
        <w:t xml:space="preserve">Representante legal do órgão gerenciador e representante(s) legal(is) do(s) </w:t>
      </w:r>
      <w:r>
        <w:rPr>
          <w:rFonts w:cs="Times New Roman" w:ascii="Times New Roman" w:hAnsi="Times New Roman"/>
          <w:color w:val="000000"/>
        </w:rPr>
        <w:t>fornecedor(s) registrado(s)</w:t>
      </w:r>
    </w:p>
    <w:p>
      <w:pPr>
        <w:pStyle w:val="Normal"/>
        <w:widowControl w:val="false"/>
        <w:spacing w:before="120" w:after="120"/>
        <w:ind w:right="-30" w:hanging="0"/>
        <w:jc w:val="center"/>
        <w:rPr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</w:rPr>
      </w:r>
    </w:p>
    <w:p>
      <w:pPr>
        <w:pStyle w:val="Normal"/>
        <w:widowControl w:val="false"/>
        <w:spacing w:before="120" w:after="120"/>
        <w:ind w:right="-30" w:hanging="0"/>
        <w:jc w:val="center"/>
        <w:rPr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</w:rPr>
      </w:r>
    </w:p>
    <w:p>
      <w:pPr>
        <w:pStyle w:val="Normal"/>
        <w:rPr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</w:rPr>
      </w:r>
      <w:r>
        <w:br w:type="page"/>
      </w:r>
    </w:p>
    <w:p>
      <w:pPr>
        <w:pStyle w:val="Normal"/>
        <w:widowControl w:val="false"/>
        <w:spacing w:before="120" w:after="120"/>
        <w:ind w:right="-30" w:hanging="0"/>
        <w:jc w:val="center"/>
        <w:rPr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</w:rPr>
      </w:r>
    </w:p>
    <w:p>
      <w:pPr>
        <w:pStyle w:val="Normal"/>
        <w:widowControl w:val="false"/>
        <w:spacing w:before="120" w:after="120"/>
        <w:ind w:right="-30" w:hanging="0"/>
        <w:jc w:val="center"/>
        <w:rPr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</w:rPr>
        <w:t>Anexo</w:t>
      </w:r>
    </w:p>
    <w:p>
      <w:pPr>
        <w:pStyle w:val="Normal"/>
        <w:widowControl w:val="false"/>
        <w:spacing w:before="120" w:after="120"/>
        <w:ind w:right="-30" w:hanging="0"/>
        <w:jc w:val="center"/>
        <w:rPr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</w:rPr>
      </w:r>
    </w:p>
    <w:p>
      <w:pPr>
        <w:pStyle w:val="Normal"/>
        <w:widowControl w:val="false"/>
        <w:spacing w:before="120" w:after="120"/>
        <w:ind w:right="-30" w:hanging="0"/>
        <w:jc w:val="center"/>
        <w:rPr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</w:rPr>
        <w:t>Cadastro Reserva</w:t>
      </w:r>
    </w:p>
    <w:sectPr>
      <w:headerReference w:type="first" r:id="rId2"/>
      <w:footerReference w:type="default" r:id="rId3"/>
      <w:type w:val="nextPage"/>
      <w:pgSz w:w="11906" w:h="16838"/>
      <w:pgMar w:left="1701" w:right="1134" w:header="708" w:top="708" w:footer="708" w:bottom="1418" w:gutter="0"/>
      <w:pgNumType w:fmt="decimal"/>
      <w:formProt w:val="false"/>
      <w:titlePg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Ecofont_Spranq_eco_Sans">
    <w:charset w:val="00"/>
    <w:family w:val="roman"/>
    <w:pitch w:val="variable"/>
  </w:font>
  <w:font w:name="Cambria">
    <w:charset w:val="00"/>
    <w:family w:val="roman"/>
    <w:pitch w:val="variable"/>
  </w:font>
  <w:font w:name="Arial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Top of Page)"/>
        <w:docPartUnique w:val="true"/>
      </w:docPartObj>
      <w:id w:val="1586286187"/>
    </w:sdtPr>
    <w:sdtContent>
      <w:p>
        <w:pPr>
          <w:pStyle w:val="Rodap"/>
          <w:jc w:val="right"/>
          <w:rPr>
            <w:rFonts w:ascii="Times New Roman" w:hAnsi="Times New Roman" w:cs="Times New Roman"/>
          </w:rPr>
        </w:pPr>
        <w:r>
          <w:rPr>
            <w:rFonts w:cs="Times New Roman" w:ascii="Times New Roman" w:hAnsi="Times New Roman"/>
          </w:rPr>
          <w:t xml:space="preserve">Página </w:t>
        </w:r>
        <w:r>
          <w:rPr>
            <w:rFonts w:cs="Times New Roman" w:ascii="Times New Roman" w:hAnsi="Times New Roman"/>
            <w:b/>
            <w:bCs/>
          </w:rPr>
          <w:fldChar w:fldCharType="begin"/>
        </w:r>
        <w:r>
          <w:rPr>
            <w:b/>
            <w:bCs/>
            <w:rFonts w:cs="Times New Roman" w:ascii="Times New Roman" w:hAnsi="Times New Roman"/>
          </w:rPr>
          <w:instrText> PAGE </w:instrText>
        </w:r>
        <w:r>
          <w:rPr>
            <w:b/>
            <w:bCs/>
            <w:rFonts w:cs="Times New Roman" w:ascii="Times New Roman" w:hAnsi="Times New Roman"/>
          </w:rPr>
          <w:fldChar w:fldCharType="separate"/>
        </w:r>
        <w:r>
          <w:rPr>
            <w:b/>
            <w:bCs/>
            <w:rFonts w:cs="Times New Roman" w:ascii="Times New Roman" w:hAnsi="Times New Roman"/>
          </w:rPr>
          <w:t>14</w:t>
        </w:r>
        <w:r>
          <w:rPr>
            <w:b/>
            <w:bCs/>
            <w:rFonts w:cs="Times New Roman" w:ascii="Times New Roman" w:hAnsi="Times New Roman"/>
          </w:rPr>
          <w:fldChar w:fldCharType="end"/>
        </w:r>
        <w:r>
          <w:rPr>
            <w:rFonts w:cs="Times New Roman" w:ascii="Times New Roman" w:hAnsi="Times New Roman"/>
          </w:rPr>
          <w:t xml:space="preserve"> de </w:t>
        </w:r>
        <w:r>
          <w:rPr>
            <w:rFonts w:cs="Times New Roman" w:ascii="Times New Roman" w:hAnsi="Times New Roman"/>
            <w:b/>
            <w:bCs/>
          </w:rPr>
          <w:fldChar w:fldCharType="begin"/>
        </w:r>
        <w:r>
          <w:rPr>
            <w:b/>
            <w:bCs/>
            <w:rFonts w:cs="Times New Roman" w:ascii="Times New Roman" w:hAnsi="Times New Roman"/>
          </w:rPr>
          <w:instrText> NUMPAGES </w:instrText>
        </w:r>
        <w:r>
          <w:rPr>
            <w:b/>
            <w:bCs/>
            <w:rFonts w:cs="Times New Roman" w:ascii="Times New Roman" w:hAnsi="Times New Roman"/>
          </w:rPr>
          <w:fldChar w:fldCharType="separate"/>
        </w:r>
        <w:r>
          <w:rPr>
            <w:b/>
            <w:bCs/>
            <w:rFonts w:cs="Times New Roman" w:ascii="Times New Roman" w:hAnsi="Times New Roman"/>
          </w:rPr>
          <w:t>14</w:t>
        </w:r>
        <w:r>
          <w:rPr>
            <w:b/>
            <w:bCs/>
            <w:rFonts w:cs="Times New Roman" w:ascii="Times New Roman" w:hAnsi="Times New Roman"/>
          </w:rPr>
          <w:fldChar w:fldCharType="end"/>
        </w:r>
      </w:p>
    </w:sdtContent>
  </w:sdt>
  <w:p>
    <w:pPr>
      <w:pStyle w:val="Rodap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before="120" w:after="120"/>
      <w:jc w:val="center"/>
      <w:rPr>
        <w:rFonts w:ascii="Times New Roman" w:hAnsi="Times New Roman" w:cs="Times New Roman"/>
        <w:b/>
        <w:b/>
        <w:iCs/>
      </w:rPr>
    </w:pPr>
    <w:r>
      <w:rPr/>
      <w:drawing>
        <wp:inline distT="0" distB="0" distL="0" distR="0">
          <wp:extent cx="647700" cy="647700"/>
          <wp:effectExtent l="0" t="0" r="0" b="0"/>
          <wp:docPr id="1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Normal"/>
      <w:spacing w:before="120" w:after="120"/>
      <w:jc w:val="center"/>
      <w:rPr>
        <w:rFonts w:ascii="Times New Roman" w:hAnsi="Times New Roman" w:cs="Times New Roman"/>
        <w:b/>
        <w:b/>
        <w:iCs/>
      </w:rPr>
    </w:pPr>
    <w:r>
      <w:rPr>
        <w:rFonts w:cs="Times New Roman" w:ascii="Times New Roman" w:hAnsi="Times New Roman"/>
        <w:b/>
        <w:iCs/>
      </w:rPr>
      <w:t>PREFEITURA MUNICIPAL DE CARMO DO PARANAÍBA-MG</w:t>
    </w:r>
  </w:p>
  <w:p>
    <w:pPr>
      <w:pStyle w:val="Normal"/>
      <w:spacing w:before="120" w:after="120"/>
      <w:jc w:val="center"/>
      <w:rPr/>
    </w:pPr>
    <w:r>
      <w:rPr>
        <w:rFonts w:cs="Times New Roman" w:ascii="Times New Roman" w:hAnsi="Times New Roman"/>
        <w:b/>
        <w:iCs/>
      </w:rPr>
      <w:t>ESTADO DE MINAS GERAIS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sz w:val="24"/>
        <w:b/>
        <w:rFonts w:ascii="Times New Roman" w:hAnsi="Times New Roman"/>
        <w:color w:val="auto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83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97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3"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2.%3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3.%4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4.%5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5.%6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6.%7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7.%8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8.%9"/>
      <w:lvlJc w:val="left"/>
      <w:pPr>
        <w:tabs>
          <w:tab w:val="num" w:pos="3600"/>
        </w:tabs>
        <w:ind w:left="3600" w:hanging="360"/>
      </w:pPr>
    </w:lvl>
  </w:abstractNum>
  <w:abstractNum w:abstractNumId="4"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2.%3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3.%4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4.%5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5.%6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6.%7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7.%8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8.%9"/>
      <w:lvlJc w:val="left"/>
      <w:pPr>
        <w:tabs>
          <w:tab w:val="num" w:pos="3600"/>
        </w:tabs>
        <w:ind w:left="3600" w:hanging="360"/>
      </w:pPr>
    </w:lvl>
  </w:abstractNum>
  <w:abstractNum w:abstractNumId="5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130"/>
  <w:mirrorMargins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0" w:defSemiHidden="0" w:defUnhideWhenUsed="0" w:defQFormat="0" w:count="376"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iPriority="99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uiPriority="99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uiPriority="99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cb46fc"/>
    <w:pPr>
      <w:widowControl/>
      <w:suppressAutoHyphens w:val="true"/>
      <w:bidi w:val="0"/>
      <w:spacing w:before="0" w:after="0"/>
      <w:jc w:val="left"/>
    </w:pPr>
    <w:rPr>
      <w:rFonts w:ascii="Ecofont_Spranq_eco_Sans" w:hAnsi="Ecofont_Spranq_eco_Sans" w:eastAsia="Times New Roman" w:cs="Tahoma"/>
      <w:color w:val="auto"/>
      <w:kern w:val="0"/>
      <w:sz w:val="24"/>
      <w:szCs w:val="24"/>
      <w:lang w:val="pt-BR" w:eastAsia="pt-BR" w:bidi="ar-SA"/>
    </w:rPr>
  </w:style>
  <w:style w:type="paragraph" w:styleId="Ttulo1">
    <w:name w:val="Heading 1"/>
    <w:basedOn w:val="Normal"/>
    <w:next w:val="Normal"/>
    <w:link w:val="Ttulo1Char"/>
    <w:qFormat/>
    <w:rsid w:val="006362ae"/>
    <w:pPr>
      <w:keepNext w:val="true"/>
      <w:keepLines/>
      <w:spacing w:before="480" w:after="0"/>
      <w:outlineLvl w:val="0"/>
    </w:pPr>
    <w:rPr>
      <w:rFonts w:ascii="Cambria" w:hAnsi="Cambria"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GradeColoridanfase1Char" w:customStyle="1">
    <w:name w:val="Grade Colorida - Ênfase 1 Char"/>
    <w:qFormat/>
    <w:rsid w:val="00cb46fc"/>
    <w:rPr>
      <w:rFonts w:ascii="Ecofont_Spranq_eco_Sans" w:hAnsi="Ecofont_Spranq_eco_Sans" w:eastAsia="Calibri" w:cs="Tahoma"/>
      <w:i/>
      <w:iCs/>
      <w:color w:val="000000"/>
      <w:szCs w:val="24"/>
      <w:lang w:val="pt-BR" w:eastAsia="en-US" w:bidi="ar-SA"/>
    </w:rPr>
  </w:style>
  <w:style w:type="character" w:styleId="CorpodetextoChar" w:customStyle="1">
    <w:name w:val="Corpo de texto Char"/>
    <w:link w:val="Corpodetexto"/>
    <w:uiPriority w:val="99"/>
    <w:qFormat/>
    <w:rsid w:val="002f4c05"/>
    <w:rPr>
      <w:sz w:val="24"/>
      <w:szCs w:val="24"/>
    </w:rPr>
  </w:style>
  <w:style w:type="character" w:styleId="LinkdaInternet" w:customStyle="1">
    <w:name w:val="Link da Internet"/>
    <w:uiPriority w:val="99"/>
    <w:unhideWhenUsed/>
    <w:rsid w:val="00520e7a"/>
    <w:rPr>
      <w:color w:val="0000FF"/>
      <w:u w:val="single"/>
    </w:rPr>
  </w:style>
  <w:style w:type="character" w:styleId="CabealhoChar" w:customStyle="1">
    <w:name w:val="Cabeçalho Char"/>
    <w:basedOn w:val="DefaultParagraphFont"/>
    <w:link w:val="Cabealho"/>
    <w:qFormat/>
    <w:rsid w:val="00bb5309"/>
    <w:rPr>
      <w:rFonts w:ascii="Ecofont_Spranq_eco_Sans" w:hAnsi="Ecofont_Spranq_eco_Sans" w:cs="Tahoma"/>
      <w:sz w:val="24"/>
      <w:szCs w:val="24"/>
    </w:rPr>
  </w:style>
  <w:style w:type="character" w:styleId="RodapChar" w:customStyle="1">
    <w:name w:val="Rodapé Char"/>
    <w:basedOn w:val="DefaultParagraphFont"/>
    <w:link w:val="Rodap"/>
    <w:uiPriority w:val="99"/>
    <w:qFormat/>
    <w:rsid w:val="00bb5309"/>
    <w:rPr>
      <w:rFonts w:ascii="Ecofont_Spranq_eco_Sans" w:hAnsi="Ecofont_Spranq_eco_Sans" w:cs="Tahoma"/>
      <w:sz w:val="24"/>
      <w:szCs w:val="24"/>
    </w:rPr>
  </w:style>
  <w:style w:type="character" w:styleId="Citao2Char" w:customStyle="1">
    <w:name w:val="citação 2 Char"/>
    <w:basedOn w:val="CitaoChar"/>
    <w:qFormat/>
    <w:rsid w:val="002038c8"/>
    <w:rPr>
      <w:rFonts w:ascii="Ecofont_Spranq_eco_Sans" w:hAnsi="Ecofont_Spranq_eco_Sans" w:eastAsia="Calibri" w:cs="Tahoma"/>
      <w:i/>
      <w:iCs/>
      <w:color w:val="000000"/>
      <w:sz w:val="24"/>
      <w:szCs w:val="24"/>
      <w:shd w:fill="FFFFCC" w:val="clear"/>
      <w:lang w:eastAsia="en-US"/>
    </w:rPr>
  </w:style>
  <w:style w:type="character" w:styleId="CitaoChar" w:customStyle="1">
    <w:name w:val="Citação Char"/>
    <w:basedOn w:val="DefaultParagraphFont"/>
    <w:link w:val="Citao"/>
    <w:uiPriority w:val="29"/>
    <w:qFormat/>
    <w:rsid w:val="002038c8"/>
    <w:rPr>
      <w:rFonts w:ascii="Ecofont_Spranq_eco_Sans" w:hAnsi="Ecofont_Spranq_eco_Sans" w:cs="Tahoma"/>
      <w:i/>
      <w:iCs/>
      <w:color w:val="000000" w:themeColor="text1"/>
      <w:sz w:val="24"/>
      <w:szCs w:val="24"/>
    </w:rPr>
  </w:style>
  <w:style w:type="character" w:styleId="Ttulo1Char" w:customStyle="1">
    <w:name w:val="Título 1 Char"/>
    <w:basedOn w:val="DefaultParagraphFont"/>
    <w:link w:val="Ttulo1"/>
    <w:qFormat/>
    <w:rsid w:val="006362ae"/>
    <w:rPr>
      <w:rFonts w:ascii="Cambria" w:hAnsi="Cambria"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character" w:styleId="Nivel1Char" w:customStyle="1">
    <w:name w:val="Nivel1 Char"/>
    <w:basedOn w:val="Ttulo1Char"/>
    <w:link w:val="Nivel1"/>
    <w:qFormat/>
    <w:rsid w:val="006362ae"/>
    <w:rPr>
      <w:rFonts w:ascii="Arial" w:hAnsi="Arial" w:eastAsia="" w:cs="Arial" w:eastAsiaTheme="majorEastAsia"/>
      <w:b/>
      <w:bCs/>
      <w:color w:val="365F91" w:themeColor="accent1" w:themeShade="bf"/>
      <w:sz w:val="28"/>
      <w:szCs w:val="28"/>
    </w:rPr>
  </w:style>
  <w:style w:type="character" w:styleId="Annotationreference">
    <w:name w:val="annotation reference"/>
    <w:basedOn w:val="DefaultParagraphFont"/>
    <w:semiHidden/>
    <w:unhideWhenUsed/>
    <w:qFormat/>
    <w:rsid w:val="006a7a1a"/>
    <w:rPr>
      <w:sz w:val="16"/>
      <w:szCs w:val="16"/>
    </w:rPr>
  </w:style>
  <w:style w:type="character" w:styleId="TextodecomentrioChar" w:customStyle="1">
    <w:name w:val="Texto de comentário Char"/>
    <w:basedOn w:val="DefaultParagraphFont"/>
    <w:link w:val="Textodecomentrio"/>
    <w:qFormat/>
    <w:rsid w:val="006a7a1a"/>
    <w:rPr>
      <w:rFonts w:ascii="Ecofont_Spranq_eco_Sans" w:hAnsi="Ecofont_Spranq_eco_Sans" w:cs="Tahoma"/>
    </w:rPr>
  </w:style>
  <w:style w:type="character" w:styleId="AssuntodocomentrioChar" w:customStyle="1">
    <w:name w:val="Assunto do comentário Char"/>
    <w:basedOn w:val="TextodecomentrioChar"/>
    <w:link w:val="Assuntodocomentrio"/>
    <w:semiHidden/>
    <w:qFormat/>
    <w:rsid w:val="006a7a1a"/>
    <w:rPr>
      <w:rFonts w:ascii="Ecofont_Spranq_eco_Sans" w:hAnsi="Ecofont_Spranq_eco_Sans" w:cs="Tahoma"/>
      <w:b/>
      <w:bCs/>
    </w:rPr>
  </w:style>
  <w:style w:type="character" w:styleId="TextodebaloChar" w:customStyle="1">
    <w:name w:val="Texto de balão Char"/>
    <w:basedOn w:val="DefaultParagraphFont"/>
    <w:link w:val="Textodebalo"/>
    <w:semiHidden/>
    <w:qFormat/>
    <w:rsid w:val="006a7a1a"/>
    <w:rPr>
      <w:rFonts w:ascii="Segoe UI" w:hAnsi="Segoe UI" w:cs="Segoe UI"/>
      <w:sz w:val="18"/>
      <w:szCs w:val="18"/>
    </w:rPr>
  </w:style>
  <w:style w:type="character" w:styleId="Nivel01Char" w:customStyle="1">
    <w:name w:val="Nivel 01 Char"/>
    <w:basedOn w:val="DefaultParagraphFont"/>
    <w:link w:val="Nivel01"/>
    <w:qFormat/>
    <w:rsid w:val="00636001"/>
    <w:rPr>
      <w:rFonts w:ascii="Arial" w:hAnsi="Arial" w:eastAsia="" w:cs="Arial" w:eastAsiaTheme="majorEastAsia"/>
      <w:b/>
      <w:bCs/>
      <w:lang w:eastAsia="en-US"/>
    </w:rPr>
  </w:style>
  <w:style w:type="character" w:styleId="Nivel2Char" w:customStyle="1">
    <w:name w:val="Nivel 2 Char"/>
    <w:basedOn w:val="DefaultParagraphFont"/>
    <w:link w:val="Nivel2"/>
    <w:qFormat/>
    <w:locked/>
    <w:rsid w:val="00d8054f"/>
    <w:rPr>
      <w:rFonts w:ascii="Arial" w:hAnsi="Arial" w:cs="Arial"/>
    </w:rPr>
  </w:style>
  <w:style w:type="character" w:styleId="Nvel2RedChar" w:customStyle="1">
    <w:name w:val="Nível 2 -Red Char"/>
    <w:basedOn w:val="Nivel2Char"/>
    <w:qFormat/>
    <w:rsid w:val="00be6ea8"/>
    <w:rPr>
      <w:rFonts w:ascii="Arial" w:hAnsi="Arial" w:cs="Arial"/>
      <w:i/>
      <w:iCs/>
      <w:color w:val="FF0000"/>
    </w:rPr>
  </w:style>
  <w:style w:type="character" w:styleId="OuChar" w:customStyle="1">
    <w:name w:val="ou Char"/>
    <w:basedOn w:val="DefaultParagraphFont"/>
    <w:qFormat/>
    <w:rsid w:val="009d6ccc"/>
    <w:rPr>
      <w:rFonts w:ascii="Arial" w:hAnsi="Arial" w:eastAsia="Calibri" w:cs="Arial" w:eastAsiaTheme="minorHAnsi"/>
      <w:b/>
      <w:bCs/>
      <w:i/>
      <w:iCs/>
      <w:color w:val="FF0000"/>
      <w:szCs w:val="24"/>
      <w:u w:val="single"/>
    </w:rPr>
  </w:style>
  <w:style w:type="character" w:styleId="Nvel3RChar" w:customStyle="1">
    <w:name w:val="Nível 3-R Char"/>
    <w:basedOn w:val="DefaultParagraphFont"/>
    <w:qFormat/>
    <w:rsid w:val="00b73e47"/>
    <w:rPr>
      <w:rFonts w:ascii="Arial" w:hAnsi="Arial" w:eastAsia="" w:cs="Arial" w:eastAsiaTheme="minorEastAsia"/>
      <w:i/>
      <w:iCs/>
      <w:color w:val="FF0000"/>
    </w:rPr>
  </w:style>
  <w:style w:type="character" w:styleId="Nvel3Char" w:customStyle="1">
    <w:name w:val="Nível 3 Char"/>
    <w:basedOn w:val="Nvel3RChar"/>
    <w:link w:val="Nvel3"/>
    <w:qFormat/>
    <w:rsid w:val="009d6ccc"/>
    <w:rPr>
      <w:rFonts w:ascii="Arial" w:hAnsi="Arial" w:eastAsia="" w:cs="Arial" w:eastAsiaTheme="minorEastAsia"/>
      <w:i w:val="false"/>
      <w:iCs w:val="false"/>
      <w:color w:val="FF0000"/>
    </w:rPr>
  </w:style>
  <w:style w:type="character" w:styleId="Nvel4Char" w:customStyle="1">
    <w:name w:val="Nível 4 Char"/>
    <w:basedOn w:val="Nvel3Char"/>
    <w:link w:val="Nvel4"/>
    <w:qFormat/>
    <w:rsid w:val="009d6ccc"/>
    <w:rPr>
      <w:rFonts w:ascii="Arial" w:hAnsi="Arial" w:eastAsia="" w:cs="Arial" w:eastAsiaTheme="minorEastAsia"/>
      <w:i w:val="false"/>
      <w:iCs w:val="false"/>
      <w:color w:val="FF0000"/>
    </w:rPr>
  </w:style>
  <w:style w:type="character" w:styleId="SubTitNNChar" w:customStyle="1">
    <w:name w:val="SubTitNN Char"/>
    <w:basedOn w:val="DefaultParagraphFont"/>
    <w:link w:val="SubTitNN"/>
    <w:qFormat/>
    <w:rsid w:val="009d6ccc"/>
    <w:rPr>
      <w:rFonts w:ascii="Arial" w:hAnsi="Arial" w:cs="Arial"/>
      <w:b/>
      <w:bCs/>
      <w:iCs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link w:val="CorpodetextoChar"/>
    <w:uiPriority w:val="99"/>
    <w:unhideWhenUsed/>
    <w:rsid w:val="002f4c05"/>
    <w:pPr>
      <w:spacing w:beforeAutospacing="1" w:afterAutospacing="1"/>
    </w:pPr>
    <w:rPr>
      <w:rFonts w:ascii="Times New Roman" w:hAnsi="Times New Roman" w:cs="Times New Roman"/>
    </w:rPr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Lucida Sans"/>
    </w:rPr>
  </w:style>
  <w:style w:type="paragraph" w:styleId="Ttulododocumento">
    <w:name w:val="Title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styleId="GradeColoridanfase11" w:customStyle="1">
    <w:name w:val="Grade Colorida - Ênfase 11"/>
    <w:basedOn w:val="Normal"/>
    <w:next w:val="Normal"/>
    <w:qFormat/>
    <w:rsid w:val="00cb46fc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 w:after="0"/>
      <w:jc w:val="both"/>
    </w:pPr>
    <w:rPr>
      <w:rFonts w:eastAsia="Calibri"/>
      <w:i/>
      <w:iCs/>
      <w:color w:val="000000"/>
      <w:sz w:val="20"/>
      <w:lang w:eastAsia="en-US"/>
    </w:rPr>
  </w:style>
  <w:style w:type="paragraph" w:styleId="ListParagraph">
    <w:name w:val="List Paragraph"/>
    <w:basedOn w:val="Normal"/>
    <w:uiPriority w:val="34"/>
    <w:qFormat/>
    <w:rsid w:val="003f48df"/>
    <w:pPr>
      <w:spacing w:before="0" w:after="0"/>
      <w:ind w:left="720" w:hanging="0"/>
      <w:contextualSpacing/>
    </w:pPr>
    <w:rPr/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nhideWhenUsed/>
    <w:rsid w:val="00bb5309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Rodap">
    <w:name w:val="Footer"/>
    <w:basedOn w:val="Normal"/>
    <w:link w:val="RodapChar"/>
    <w:uiPriority w:val="99"/>
    <w:unhideWhenUsed/>
    <w:rsid w:val="00bb5309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Citao2" w:customStyle="1">
    <w:name w:val="citação 2"/>
    <w:basedOn w:val="Quote"/>
    <w:qFormat/>
    <w:rsid w:val="002038c8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 w:after="0"/>
      <w:jc w:val="both"/>
    </w:pPr>
    <w:rPr>
      <w:rFonts w:eastAsia="Calibri"/>
      <w:color w:val="000000"/>
      <w:lang w:eastAsia="en-US"/>
    </w:rPr>
  </w:style>
  <w:style w:type="paragraph" w:styleId="Quote">
    <w:name w:val="Quote"/>
    <w:basedOn w:val="Normal"/>
    <w:next w:val="Normal"/>
    <w:link w:val="CitaoChar"/>
    <w:uiPriority w:val="29"/>
    <w:qFormat/>
    <w:rsid w:val="002038c8"/>
    <w:pPr/>
    <w:rPr>
      <w:i/>
      <w:iCs/>
      <w:color w:val="000000" w:themeColor="text1"/>
    </w:rPr>
  </w:style>
  <w:style w:type="paragraph" w:styleId="Nivel1" w:customStyle="1">
    <w:name w:val="Nivel1"/>
    <w:basedOn w:val="Ttulo1"/>
    <w:next w:val="Normal"/>
    <w:link w:val="Nivel1Char"/>
    <w:qFormat/>
    <w:rsid w:val="006362ae"/>
    <w:pPr>
      <w:widowControl w:val="false"/>
      <w:spacing w:lineRule="auto" w:line="276" w:before="480" w:after="120"/>
      <w:ind w:left="360" w:hanging="360"/>
      <w:jc w:val="both"/>
    </w:pPr>
    <w:rPr>
      <w:rFonts w:ascii="Arial" w:hAnsi="Arial" w:cs="Arial"/>
      <w:color w:val="auto"/>
      <w:sz w:val="20"/>
      <w:szCs w:val="20"/>
    </w:rPr>
  </w:style>
  <w:style w:type="paragraph" w:styleId="Nivel01" w:customStyle="1">
    <w:name w:val="Nivel 01"/>
    <w:basedOn w:val="Ttulo1"/>
    <w:next w:val="Normal"/>
    <w:link w:val="Nivel01Char"/>
    <w:qFormat/>
    <w:rsid w:val="00636001"/>
    <w:pPr>
      <w:tabs>
        <w:tab w:val="clear" w:pos="708"/>
        <w:tab w:val="left" w:pos="567" w:leader="none"/>
      </w:tabs>
      <w:spacing w:lineRule="auto" w:line="276" w:before="120" w:after="120"/>
      <w:jc w:val="both"/>
    </w:pPr>
    <w:rPr>
      <w:rFonts w:ascii="Arial" w:hAnsi="Arial" w:cs="Arial"/>
      <w:color w:val="auto"/>
      <w:sz w:val="20"/>
      <w:szCs w:val="20"/>
      <w:lang w:eastAsia="en-US"/>
    </w:rPr>
  </w:style>
  <w:style w:type="paragraph" w:styleId="Annotationtext">
    <w:name w:val="annotation text"/>
    <w:basedOn w:val="Normal"/>
    <w:link w:val="TextodecomentrioChar"/>
    <w:unhideWhenUsed/>
    <w:qFormat/>
    <w:rsid w:val="006a7a1a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ssuntodocomentrioChar"/>
    <w:semiHidden/>
    <w:unhideWhenUsed/>
    <w:qFormat/>
    <w:rsid w:val="006a7a1a"/>
    <w:pPr/>
    <w:rPr>
      <w:b/>
      <w:bCs/>
    </w:rPr>
  </w:style>
  <w:style w:type="paragraph" w:styleId="BalloonText">
    <w:name w:val="Balloon Text"/>
    <w:basedOn w:val="Normal"/>
    <w:link w:val="TextodebaloChar"/>
    <w:semiHidden/>
    <w:unhideWhenUsed/>
    <w:qFormat/>
    <w:rsid w:val="006a7a1a"/>
    <w:pPr/>
    <w:rPr>
      <w:rFonts w:ascii="Segoe UI" w:hAnsi="Segoe UI" w:cs="Segoe UI"/>
      <w:sz w:val="18"/>
      <w:szCs w:val="18"/>
    </w:rPr>
  </w:style>
  <w:style w:type="paragraph" w:styleId="Revision">
    <w:name w:val="Revision"/>
    <w:uiPriority w:val="99"/>
    <w:semiHidden/>
    <w:qFormat/>
    <w:rsid w:val="00586901"/>
    <w:pPr>
      <w:widowControl/>
      <w:suppressAutoHyphens w:val="true"/>
      <w:bidi w:val="0"/>
      <w:spacing w:before="0" w:after="0"/>
      <w:jc w:val="left"/>
    </w:pPr>
    <w:rPr>
      <w:rFonts w:ascii="Ecofont_Spranq_eco_Sans" w:hAnsi="Ecofont_Spranq_eco_Sans" w:eastAsia="Times New Roman" w:cs="Tahoma"/>
      <w:color w:val="auto"/>
      <w:kern w:val="0"/>
      <w:sz w:val="24"/>
      <w:szCs w:val="24"/>
      <w:lang w:val="pt-BR" w:eastAsia="pt-BR" w:bidi="ar-SA"/>
    </w:rPr>
  </w:style>
  <w:style w:type="paragraph" w:styleId="Nivel2" w:customStyle="1">
    <w:name w:val="Nivel 2"/>
    <w:basedOn w:val="Normal"/>
    <w:link w:val="Nivel2Char"/>
    <w:qFormat/>
    <w:rsid w:val="00d8054f"/>
    <w:pPr>
      <w:numPr>
        <w:ilvl w:val="0"/>
        <w:numId w:val="1"/>
      </w:numPr>
      <w:spacing w:lineRule="auto" w:line="276" w:before="120" w:after="120"/>
      <w:ind w:left="0" w:hanging="0"/>
      <w:jc w:val="both"/>
    </w:pPr>
    <w:rPr>
      <w:rFonts w:ascii="Arial" w:hAnsi="Arial" w:cs="Arial"/>
      <w:sz w:val="20"/>
      <w:szCs w:val="20"/>
    </w:rPr>
  </w:style>
  <w:style w:type="paragraph" w:styleId="Nvel2Red" w:customStyle="1">
    <w:name w:val="Nível 2 -Red"/>
    <w:basedOn w:val="Nivel2"/>
    <w:qFormat/>
    <w:rsid w:val="00be6ea8"/>
    <w:pPr/>
    <w:rPr>
      <w:i/>
      <w:iCs/>
      <w:color w:val="FF0000"/>
    </w:rPr>
  </w:style>
  <w:style w:type="paragraph" w:styleId="Ou" w:customStyle="1">
    <w:name w:val="ou"/>
    <w:basedOn w:val="ListParagraph"/>
    <w:qFormat/>
    <w:rsid w:val="009d6ccc"/>
    <w:pPr>
      <w:spacing w:lineRule="auto" w:line="259" w:before="60" w:after="60"/>
      <w:ind w:left="0" w:hanging="0"/>
      <w:contextualSpacing/>
      <w:jc w:val="center"/>
    </w:pPr>
    <w:rPr>
      <w:rFonts w:ascii="Arial" w:hAnsi="Arial" w:eastAsia="Calibri" w:cs="Arial" w:eastAsiaTheme="minorHAnsi"/>
      <w:b/>
      <w:bCs/>
      <w:i/>
      <w:iCs/>
      <w:color w:val="FF0000"/>
      <w:sz w:val="20"/>
      <w:u w:val="single"/>
    </w:rPr>
  </w:style>
  <w:style w:type="paragraph" w:styleId="Nvel3R" w:customStyle="1">
    <w:name w:val="Nível 3-R"/>
    <w:basedOn w:val="Normal"/>
    <w:qFormat/>
    <w:rsid w:val="00b73e47"/>
    <w:pPr>
      <w:tabs>
        <w:tab w:val="clear" w:pos="708"/>
        <w:tab w:val="left" w:pos="0" w:leader="none"/>
      </w:tabs>
      <w:spacing w:lineRule="auto" w:line="276" w:before="120" w:after="120"/>
      <w:ind w:left="284" w:hanging="0"/>
      <w:jc w:val="both"/>
    </w:pPr>
    <w:rPr>
      <w:rFonts w:ascii="Arial" w:hAnsi="Arial" w:eastAsia="" w:cs="Arial" w:eastAsiaTheme="minorEastAsia"/>
      <w:i/>
      <w:iCs/>
      <w:color w:val="FF0000"/>
      <w:sz w:val="20"/>
      <w:szCs w:val="20"/>
    </w:rPr>
  </w:style>
  <w:style w:type="paragraph" w:styleId="Nvel3" w:customStyle="1">
    <w:name w:val="Nível 3"/>
    <w:basedOn w:val="Nvel3R"/>
    <w:link w:val="Nvel3Char"/>
    <w:qFormat/>
    <w:rsid w:val="009d6ccc"/>
    <w:pPr/>
    <w:rPr>
      <w:rFonts w:eastAsia="Times New Roman"/>
      <w:i w:val="false"/>
      <w:iCs w:val="false"/>
      <w:color w:val="auto"/>
    </w:rPr>
  </w:style>
  <w:style w:type="paragraph" w:styleId="Nvel4" w:customStyle="1">
    <w:name w:val="Nível 4"/>
    <w:basedOn w:val="Nvel3"/>
    <w:link w:val="Nvel4Char"/>
    <w:qFormat/>
    <w:rsid w:val="009d6ccc"/>
    <w:pPr>
      <w:ind w:left="567" w:hanging="0"/>
    </w:pPr>
    <w:rPr/>
  </w:style>
  <w:style w:type="paragraph" w:styleId="SubTitNN" w:customStyle="1">
    <w:name w:val="SubTitNN"/>
    <w:basedOn w:val="Normal"/>
    <w:link w:val="SubTitNNChar"/>
    <w:qFormat/>
    <w:rsid w:val="009d6ccc"/>
    <w:pPr>
      <w:spacing w:lineRule="auto" w:line="276" w:before="240" w:after="120"/>
      <w:jc w:val="both"/>
    </w:pPr>
    <w:rPr>
      <w:rFonts w:ascii="Arial" w:hAnsi="Arial" w:cs="Arial"/>
      <w:b/>
      <w:bCs/>
      <w:iCs/>
      <w:sz w:val="20"/>
      <w:szCs w:val="20"/>
    </w:rPr>
  </w:style>
  <w:style w:type="paragraph" w:styleId="Nivel3" w:customStyle="1">
    <w:name w:val="Nivel 3"/>
    <w:basedOn w:val="Normal"/>
    <w:qFormat/>
    <w:rsid w:val="00025d80"/>
    <w:pPr>
      <w:suppressAutoHyphens w:val="false"/>
      <w:spacing w:lineRule="auto" w:line="276" w:before="120" w:after="120"/>
      <w:ind w:left="284" w:hanging="504"/>
      <w:jc w:val="both"/>
    </w:pPr>
    <w:rPr>
      <w:rFonts w:ascii="Arial" w:hAnsi="Arial" w:eastAsia="" w:cs="Arial" w:eastAsiaTheme="minorEastAsia"/>
      <w:color w:val="000000"/>
      <w:sz w:val="20"/>
      <w:szCs w:val="20"/>
    </w:rPr>
  </w:style>
  <w:style w:type="paragraph" w:styleId="Nivel4" w:customStyle="1">
    <w:name w:val="Nivel 4"/>
    <w:basedOn w:val="Nivel3"/>
    <w:qFormat/>
    <w:rsid w:val="00025d80"/>
    <w:pPr>
      <w:ind w:left="567" w:hanging="648"/>
    </w:pPr>
    <w:rPr>
      <w:color w:val="auto"/>
    </w:rPr>
  </w:style>
  <w:style w:type="paragraph" w:styleId="Nivel5" w:customStyle="1">
    <w:name w:val="Nivel 5"/>
    <w:basedOn w:val="Nivel4"/>
    <w:qFormat/>
    <w:rsid w:val="00025d80"/>
    <w:pPr>
      <w:tabs>
        <w:tab w:val="clear" w:pos="708"/>
        <w:tab w:val="left" w:pos="0" w:leader="none"/>
      </w:tabs>
      <w:ind w:left="851" w:hanging="792"/>
    </w:pPr>
    <w:rPr/>
  </w:style>
  <w:style w:type="paragraph" w:styleId="Contedodatabela">
    <w:name w:val="Conteúdo da tabela"/>
    <w:basedOn w:val="Normal"/>
    <w:qFormat/>
    <w:pPr>
      <w:widowControl w:val="false"/>
      <w:suppressLineNumbers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39"/>
    <w:rsid w:val="00663a44"/>
    <w:rPr>
      <w:rFonts w:asciiTheme="minorHAnsi" w:hAnsiTheme="minorHAnsi" w:eastAsiaTheme="minorHAnsi" w:cstheme="minorBidi"/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<Relationship Id="rId9" Type="http://schemas.openxmlformats.org/officeDocument/2006/relationships/customXml" Target="../customXml/item2.xml"/><Relationship Id="rId10" Type="http://schemas.openxmlformats.org/officeDocument/2006/relationships/customXml" Target="../customXml/item3.xml"/><Relationship Id="rId11" Type="http://schemas.openxmlformats.org/officeDocument/2006/relationships/customXml" Target="../customXml/item4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2A2765E7DFD38469B2E626874CD0041" ma:contentTypeVersion="10" ma:contentTypeDescription="Crie um novo documento." ma:contentTypeScope="" ma:versionID="0c31b71fa78768df031cf3ecb486ccda">
  <xsd:schema xmlns:xsd="http://www.w3.org/2001/XMLSchema" xmlns:xs="http://www.w3.org/2001/XMLSchema" xmlns:p="http://schemas.microsoft.com/office/2006/metadata/properties" xmlns:ns2="52c93ea8-e2de-466c-b401-d7fabeb9490e" xmlns:ns3="d7c48ea4-4748-4e79-bb61-d51d73419c91" targetNamespace="http://schemas.microsoft.com/office/2006/metadata/properties" ma:root="true" ma:fieldsID="8e4945030905baccc89c526be19744c4" ns2:_="" ns3:_="">
    <xsd:import namespace="52c93ea8-e2de-466c-b401-d7fabeb9490e"/>
    <xsd:import namespace="d7c48ea4-4748-4e79-bb61-d51d73419c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c93ea8-e2de-466c-b401-d7fabeb949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c48ea4-4748-4e79-bb61-d51d73419c9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E413F30-1464-43D5-A034-C65A5C7E88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c93ea8-e2de-466c-b401-d7fabeb9490e"/>
    <ds:schemaRef ds:uri="d7c48ea4-4748-4e79-bb61-d51d73419c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AA1BF10-BA21-41FC-B966-68D460302E9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889E34A-84DA-419E-B215-E09D24916CC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84269E5-3F4A-46A6-9868-DF427E392C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Application>LibreOffice/7.0.4.2$Windows_X86_64 LibreOffice_project/dcf040e67528d9187c66b2379df5ea4407429775</Application>
  <AppVersion>15.0000</AppVersion>
  <Pages>14</Pages>
  <Words>4874</Words>
  <Characters>26048</Characters>
  <CharactersWithSpaces>30408</CharactersWithSpaces>
  <Paragraphs>462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2023-05-20T12:12:00Z</dcterms:created>
  <dc:creator>LICITAÇÃO</dc:creator>
  <dc:description/>
  <dc:language>pt-BR</dc:language>
  <cp:lastModifiedBy/>
  <cp:lastPrinted>2024-04-22T14:18:00Z</cp:lastPrinted>
  <dcterms:modified xsi:type="dcterms:W3CDTF">2024-07-09T12:48:14Z</dcterms:modified>
  <cp:revision>14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0x01010012A2765E7DFD38469B2E626874CD0041</vt:lpwstr>
  </property>
</Properties>
</file>