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MODELO DE DOCUMENTO DE FORMALIZAÇÃO DE DEMANDA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DFD 21</w:t>
      </w:r>
    </w:p>
    <w:tbl>
      <w:tblPr>
        <w:tblStyle w:val="Tabelacomgrade"/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0"/>
        <w:gridCol w:w="6373"/>
      </w:tblGrid>
      <w:tr>
        <w:trPr/>
        <w:tc>
          <w:tcPr>
            <w:tcW w:w="8493" w:type="dxa"/>
            <w:gridSpan w:val="2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Identificação do requisitante</w:t>
            </w:r>
          </w:p>
        </w:tc>
      </w:tr>
      <w:tr>
        <w:trPr/>
        <w:tc>
          <w:tcPr>
            <w:tcW w:w="2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Setor requisitante: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>UPA – Unidade de Pronto Atendimento , UBS’s -Unidades Básicas de Saúde, Farmácias(rename, especiais e remune) , Núcleo Municipal Saúde , CAPS I E CAPS AD e Vigilância Epidemiologica.</w:t>
            </w:r>
          </w:p>
        </w:tc>
      </w:tr>
      <w:tr>
        <w:trPr/>
        <w:tc>
          <w:tcPr>
            <w:tcW w:w="2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Responsável pela demanda: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 w:themeColor="text1"/>
                <w:sz w:val="20"/>
                <w:szCs w:val="20"/>
              </w:rPr>
              <w:t>Leandra de Fátima Silva Costa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2"/>
                <w:sz w:val="20"/>
                <w:szCs w:val="20"/>
                <w:lang w:val="pt-BR" w:eastAsia="en-US" w:bidi="ar-SA"/>
              </w:rPr>
              <w:t>Lúcia Maria Queiroz Guimarães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00000"/>
                <w:kern w:val="2"/>
                <w:sz w:val="20"/>
                <w:szCs w:val="20"/>
                <w:lang w:val="pt-BR" w:eastAsia="en-US" w:bidi="ar-SA"/>
              </w:rPr>
              <w:t>Alessandra Cristina S. Andrade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00000"/>
                <w:kern w:val="2"/>
                <w:sz w:val="20"/>
                <w:szCs w:val="20"/>
                <w:lang w:val="pt-BR" w:eastAsia="en-US" w:bidi="ar-SA"/>
              </w:rPr>
              <w:t>Mara Tuanny de Oliveira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00000"/>
                <w:kern w:val="2"/>
                <w:sz w:val="20"/>
                <w:szCs w:val="20"/>
                <w:lang w:val="pt-BR" w:eastAsia="en-US" w:bidi="ar-SA"/>
              </w:rPr>
              <w:t>Josue Jamerson Oliveira Mota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00000"/>
                <w:kern w:val="2"/>
                <w:sz w:val="20"/>
                <w:szCs w:val="20"/>
                <w:lang w:val="pt-BR" w:eastAsia="en-US" w:bidi="ar-SA"/>
              </w:rPr>
              <w:t>Alex Ferreira Leal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eastAsia="Calibri" w:cs="Times New Roman" w:ascii="Arial" w:hAnsi="Arial"/>
                <w:color w:val="000000" w:themeColor="text1"/>
                <w:kern w:val="2"/>
                <w:sz w:val="20"/>
                <w:szCs w:val="20"/>
                <w:lang w:val="pt-BR" w:eastAsia="en-US" w:bidi="ar-SA"/>
              </w:rPr>
              <w:t>Daiane Brandão Almeida</w:t>
            </w:r>
          </w:p>
        </w:tc>
      </w:tr>
      <w:tr>
        <w:trPr/>
        <w:tc>
          <w:tcPr>
            <w:tcW w:w="2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Matrícula: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 w:themeColor="text1"/>
                <w:sz w:val="20"/>
                <w:szCs w:val="20"/>
              </w:rPr>
              <w:t>Leandra 2267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 w:themeColor="text1"/>
                <w:sz w:val="20"/>
                <w:szCs w:val="20"/>
              </w:rPr>
              <w:t>Lúcia 2057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 w:themeColor="text1"/>
                <w:sz w:val="20"/>
                <w:szCs w:val="20"/>
              </w:rPr>
              <w:t>Alessandra 3513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 w:themeColor="text1"/>
                <w:sz w:val="20"/>
                <w:szCs w:val="20"/>
              </w:rPr>
              <w:t>Mara 5641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 w:themeColor="text1"/>
                <w:sz w:val="20"/>
                <w:szCs w:val="20"/>
              </w:rPr>
              <w:t>Josue 3965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 w:themeColor="text1"/>
                <w:sz w:val="20"/>
                <w:szCs w:val="20"/>
              </w:rPr>
              <w:t>Alex 2946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 w:themeColor="text1"/>
                <w:sz w:val="20"/>
                <w:szCs w:val="20"/>
              </w:rPr>
              <w:t>Daiane 3055</w:t>
            </w:r>
          </w:p>
        </w:tc>
      </w:tr>
      <w:tr>
        <w:trPr/>
        <w:tc>
          <w:tcPr>
            <w:tcW w:w="2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E-mail institucional: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comprassaude@carmodoparanaiba.mg.gov.br</w:t>
            </w:r>
          </w:p>
        </w:tc>
      </w:tr>
      <w:tr>
        <w:trPr/>
        <w:tc>
          <w:tcPr>
            <w:tcW w:w="2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Telefone: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i/>
                <w:iCs/>
                <w:color w:val="000000"/>
                <w:kern w:val="0"/>
                <w:sz w:val="24"/>
                <w:szCs w:val="24"/>
                <w:lang w:val="pt-BR" w:eastAsia="en-US" w:bidi="ar-SA"/>
              </w:rPr>
              <w:t>(34) 3851-2063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comgrade"/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0"/>
        <w:gridCol w:w="6373"/>
      </w:tblGrid>
      <w:tr>
        <w:trPr/>
        <w:tc>
          <w:tcPr>
            <w:tcW w:w="8493" w:type="dxa"/>
            <w:gridSpan w:val="2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Identificação da demanda</w:t>
            </w:r>
          </w:p>
        </w:tc>
      </w:tr>
      <w:tr>
        <w:trPr/>
        <w:tc>
          <w:tcPr>
            <w:tcW w:w="2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Objeto: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160"/>
              <w:ind w:lef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Aquisição  de  materiais médico  hospitalares  e medicamentos  para atender à demanda dos pacientes  em todas as unidades de saúde com referência à Secretaria de Saúde de Carmo do Paranaíba.</w:t>
            </w:r>
          </w:p>
        </w:tc>
      </w:tr>
      <w:tr>
        <w:trPr/>
        <w:tc>
          <w:tcPr>
            <w:tcW w:w="212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Quantidade:</w:t>
            </w:r>
          </w:p>
        </w:tc>
        <w:tc>
          <w:tcPr>
            <w:tcW w:w="63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</w:rPr>
              <w:t>EM ANEXO</w:t>
            </w:r>
          </w:p>
        </w:tc>
      </w:tr>
      <w:tr>
        <w:trPr/>
        <w:tc>
          <w:tcPr>
            <w:tcW w:w="2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Unidade de medida: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</w:rPr>
              <w:t>EM ANEXO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tbl>
      <w:tblPr>
        <w:tblStyle w:val="Tabelacomgrade"/>
        <w:tblW w:w="8445" w:type="dxa"/>
        <w:jc w:val="left"/>
        <w:tblInd w:w="16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8445"/>
      </w:tblGrid>
      <w:tr>
        <w:trPr/>
        <w:tc>
          <w:tcPr>
            <w:tcW w:w="84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Justificativa</w:t>
            </w:r>
          </w:p>
        </w:tc>
      </w:tr>
      <w:tr>
        <w:trPr/>
        <w:tc>
          <w:tcPr>
            <w:tcW w:w="844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>A</w:t>
            </w:r>
            <w:r>
              <w:rPr>
                <w:rFonts w:ascii="S hne;ui-sans-serif;system-ui;apple-system;Segoe UI;Roboto;Ubuntu;Cantarell;Noto Sans;sans-serif;Helvetica Neue;Arial;Apple Color Emoji;Segoe UI Emoji;Segoe UI Symbol;Noto Color Emoji" w:hAnsi="S hne;ui-sans-serif;system-ui;apple-system;Segoe UI;Roboto;Ubuntu;Cantarell;Noto Sans;sans-serif;Helvetica Neue;Arial;Apple Color Emoji;Segoe UI Emoji;Segoe UI Symbol;Noto Color Emoji"/>
                <w:b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 disponibilidade de material médico adequado e moderno contribui para a eficiência e a precisão durante procedimentos clínicos, melhorando a qualidade dos cuidados prestados. </w:t>
            </w:r>
            <w:r>
              <w:rPr>
                <w:rFonts w:ascii="verdana;helvetica;sans-serif" w:hAnsi="verdan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A principal razão para adquirir medicamentos é proporcionar tratamento adequado aos pacientes. Medicamentos são fundamentais para controlar e tratar uma variedade de condições de saúde, aliviar sintomas e promover a recuperação.</w:t>
            </w:r>
            <w:r>
              <w:rPr>
                <w:rFonts w:ascii="Arial" w:hAnsi="Arial"/>
                <w:b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verdana;helvetica;sans-serif" w:hAnsi="verdan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A disponibilidade de medicamentos apropriados contribui para a melhoria geral da qualidade do atendimento. Isso impacta positivamente os resultados do tratamento e a satisfação dos pacientes.</w:t>
            </w:r>
          </w:p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cs="S hne;ui-sans-serif" w:ascii="verdana;helvetica;sans-serif" w:hAnsi="verdana;helvetica;sans-serif"/>
                <w:b w:val="false"/>
                <w:i w:val="false"/>
                <w:caps w:val="false"/>
                <w:smallCaps w:val="false"/>
                <w:color w:val="0F0F0F"/>
                <w:spacing w:val="0"/>
                <w:sz w:val="20"/>
                <w:szCs w:val="20"/>
              </w:rPr>
              <w:t>Aquisição  de testes de covid é parte de uma estratégia mais ampla de vigilância epidemiológica, permitindo que as autoridades de saúde ajam proativamente para evitar a propagação da doença.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tbl>
      <w:tblPr>
        <w:tblStyle w:val="Tabelacomgrade"/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Alinhamento estratégico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</w:rPr>
            </w:r>
          </w:p>
          <w:p>
            <w:pPr>
              <w:pStyle w:val="Normal"/>
              <w:widowControl w:val="false"/>
              <w:spacing w:lineRule="auto" w:line="276" w:before="0" w:after="160"/>
              <w:ind w:left="1065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Não se aplica.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tbl>
      <w:tblPr>
        <w:tblStyle w:val="Tabelacomgrade"/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Previsão no Plano de Contratação Anual (PCA)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color w:val="000000"/>
              </w:rPr>
            </w:pPr>
            <w:r>
              <w:rPr>
                <w:rFonts w:eastAsia="Cambria" w:cs="Times New Roman" w:ascii="Times New Roman" w:hAnsi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>A presente demanda  está prevista no PCA nº 61/2023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tbl>
      <w:tblPr>
        <w:tblStyle w:val="Tabelacomgrade"/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Indicação do(s) integrante(s) da equipe de planejamento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Nome:  Cristina Maria Canuto Oliveira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Cargo:  Auxiliar Administrativo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Matrícula:  2328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E-mail institucional:  comprassaude@carmodoparanaiba.mg.gov.br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Telefone:  34-3851-2063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Nome:  Rosimeiry Amaral Goulart de Deus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Cargo:  Auxiliar administrativo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Matrícula:   2328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E-mail institucional:  comprassaude@carmodoparanaiba.mg.gov.br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Telefone: 34-3851-2063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tbl>
      <w:tblPr>
        <w:tblStyle w:val="Tabelacomgrade"/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Estimativa preliminar do valor da contratação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(procedimento simplificado)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Estimativa do valor da  aquisição será 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UPA:R$ 102.724,40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b/>
                <w:bCs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FONTE:01.0621.0000.0604 Resolução 8008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UBS’s : R$ 252.553,22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b/>
                <w:bCs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FONTE:01.0621.0000.0501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NÚCLEO MUNICIPAL SAÚDE: R$ 22.126,26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b/>
                <w:bCs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FONTE:01.0600.0000.0049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RENAME: R$ 96.272,00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b/>
                <w:bCs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FONTE:01.0500.000.0002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ESPECIAIS: R$ 13.949,20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b/>
                <w:bCs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FONTE:01.0500.0000.0002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REMUNE: R$ 47.484,00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b/>
                <w:bCs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FONTE:01.0500.0000.0002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CAPS I: R$ 2.700,00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b/>
                <w:bCs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FONTE:01.0621.0000.0631 Resolução 8633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CAPS AD: R$2.925,00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b/>
                <w:bCs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FONTE:01.0621.0000.0631 Resolução 8633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eastAsia="Cambria" w:cs="Times New Roman" w:ascii="Arial" w:hAnsi="Arial"/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VIGILÂNCIA EPIDEMIOLÓGICA:R$ 18.700,00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eastAsia="Cambria" w:cs="Times New Roman" w:ascii="Arial" w:hAnsi="Arial"/>
                <w:b/>
                <w:bCs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FONTE:01.0600.0000.518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tbl>
      <w:tblPr>
        <w:tblStyle w:val="Tabelacomgrade"/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Indicação da dotação orçamentária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UPA:R$ 102.724,40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b/>
                <w:bCs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DOTAÇÃO: 138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UBS’s : R$ 252.553,22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b/>
                <w:bCs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DOTAÇÃO:52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NÚCLEO MUNICIPAL SAÚDE: R$ 22.126,26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b/>
                <w:bCs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DOTAÇÃO:94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RENAME: R$ 96.272,00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b/>
                <w:bCs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DOTAÇÃO:208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ESPECIAIS: R$ 13.949,20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b/>
                <w:bCs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DOTAÇÃO: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REMUNE: R$ 47.484,00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b/>
                <w:bCs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DOTAÇÃO:208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CAPS I: R$ 2.700,00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b/>
                <w:bCs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DOTAÇÃO:124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cs="Times New Roman" w:ascii="Arial" w:hAnsi="Arial"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CAPS AD: R$2.925,00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mbria" w:ascii="Arial" w:hAnsi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DOTAÇÃO : 171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eastAsia="Cambria" w:cs="Times New Roman" w:ascii="Arial" w:hAnsi="Arial"/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VIGILÂNCIA EPIDEMIOLÓGICA:R$ 18.700,00</w:t>
            </w:r>
          </w:p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eastAsia="Cambria" w:cs="Times New Roman" w:ascii="Arial" w:hAnsi="Arial"/>
                <w:b/>
                <w:bCs/>
                <w:color w:val="000000" w:themeColor="text1"/>
                <w:kern w:val="0"/>
                <w:sz w:val="20"/>
                <w:szCs w:val="20"/>
                <w:lang w:val="pt-BR" w:eastAsia="en-US" w:bidi="ar-SA"/>
              </w:rPr>
              <w:t>DOTAÇÃO:237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tbl>
      <w:tblPr>
        <w:tblStyle w:val="Tabelacomgrade"/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Data pretendida para a conclusão da contratação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A presente contratação deverá ser formalizada até 20</w:t>
            </w:r>
            <w:r>
              <w:rPr>
                <w:rFonts w:eastAsia="Cambria" w:cs="Times New Roman" w:ascii="Times New Roman" w:hAnsi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>/06/202</w:t>
            </w:r>
            <w:r>
              <w:rPr>
                <w:rFonts w:eastAsia="Cambria" w:cs="Times New Roman" w:ascii="Times New Roman" w:hAnsi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>4</w:t>
            </w:r>
            <w:r>
              <w:rPr>
                <w:rFonts w:eastAsia="Cambria" w:cs="Times New Roman" w:ascii="Times New Roman" w:hAnsi="Times New Roman"/>
                <w:color w:val="C9211E"/>
                <w:kern w:val="0"/>
                <w:sz w:val="24"/>
                <w:szCs w:val="24"/>
                <w:lang w:val="pt-BR" w:eastAsia="en-US" w:bidi="ar-SA"/>
              </w:rPr>
              <w:t>,</w:t>
            </w: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 xml:space="preserve"> de modo a permitir o início da execução do objeto em tempo hábil.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tbl>
      <w:tblPr>
        <w:tblStyle w:val="Tabelacomgrade"/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Vinculação ou dependência com outra contratação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9" wp14:anchorId="16451B1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18415</wp:posOffset>
                      </wp:positionV>
                      <wp:extent cx="249555" cy="233680"/>
                      <wp:effectExtent l="12700" t="13335" r="12700" b="12065"/>
                      <wp:wrapNone/>
                      <wp:docPr id="1" name="Retângulo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760" cy="23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0" fillcolor="black" stroked="t" style="position:absolute;margin-left:0.1pt;margin-top:1.45pt;width:19.55pt;height:18.3pt;mso-wrap-style:none;v-text-anchor:middle" wp14:anchorId="16451B1D">
                      <v:fill o:detectmouseclick="t" type="solid" color2="white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 xml:space="preserve">        </w:t>
            </w: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Não há vinculação ou dependência desta contratação em relação a outra; ou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0" wp14:anchorId="1E3AB3A2">
                      <wp:simplePos x="0" y="0"/>
                      <wp:positionH relativeFrom="column">
                        <wp:posOffset>6405880</wp:posOffset>
                      </wp:positionH>
                      <wp:positionV relativeFrom="paragraph">
                        <wp:posOffset>18415</wp:posOffset>
                      </wp:positionV>
                      <wp:extent cx="249555" cy="233680"/>
                      <wp:effectExtent l="12700" t="13335" r="12700" b="12065"/>
                      <wp:wrapNone/>
                      <wp:docPr id="2" name="Retângulo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760" cy="23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1" fillcolor="white" stroked="t" style="position:absolute;margin-left:504.4pt;margin-top:1.45pt;width:19.55pt;height:18.3pt;mso-wrap-style:none;v-text-anchor:middle" wp14:anchorId="1E3AB3A2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 xml:space="preserve">        </w:t>
            </w: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Há vinculação ou dependência desta contratação em relação a seguinte: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i/>
                <w:i/>
                <w:iCs/>
                <w:color w:val="000000" w:themeColor="text1"/>
              </w:rPr>
            </w:pPr>
            <w:r>
              <w:rPr>
                <w:rFonts w:cs="Times New Roman" w:ascii="Times New Roman" w:hAnsi="Times New Roman"/>
                <w:i/>
                <w:iCs/>
                <w:color w:val="000000" w:themeColor="text1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i/>
                <w:i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(especificar)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Prioridade da contratação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A contratação possui o seguinte grau de prioridade: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6" wp14:anchorId="18F50AB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18415</wp:posOffset>
                      </wp:positionV>
                      <wp:extent cx="249555" cy="233680"/>
                      <wp:effectExtent l="12700" t="13335" r="12700" b="12065"/>
                      <wp:wrapNone/>
                      <wp:docPr id="3" name="Retângulo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760" cy="23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14" fillcolor="white" stroked="t" style="position:absolute;margin-left:0.1pt;margin-top:1.45pt;width:19.55pt;height:18.3pt;mso-wrap-style:none;v-text-anchor:middle" wp14:anchorId="18F50ABC">
                      <v:fill o:detectmouseclick="t" type="solid" color2="black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 xml:space="preserve">        </w:t>
            </w: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Alta;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7" wp14:anchorId="03627DE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49555" cy="233680"/>
                      <wp:effectExtent l="12700" t="13335" r="12700" b="12065"/>
                      <wp:wrapNone/>
                      <wp:docPr id="4" name="Retângul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760" cy="23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2" fillcolor="black" stroked="t" style="position:absolute;margin-left:-0.5pt;margin-top:0.65pt;width:19.55pt;height:18.3pt;mso-wrap-style:none;v-text-anchor:middle" wp14:anchorId="03627DE5">
                      <v:fill o:detectmouseclick="t" type="solid" color2="white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 xml:space="preserve">        </w:t>
            </w: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Média; ou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8" wp14:anchorId="183F01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9555" cy="233680"/>
                      <wp:effectExtent l="12700" t="13335" r="12700" b="12065"/>
                      <wp:wrapNone/>
                      <wp:docPr id="5" name="Retângulo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760" cy="23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ângulo 3" stroked="t" style="position:absolute;margin-left:-0.5pt;margin-top:0.4pt;width:19.55pt;height:18.3pt;mso-wrap-style:none;v-text-anchor:middle" wp14:anchorId="183F017C">
                      <v:fill o:detectmouseclick="t" on="false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 xml:space="preserve">        </w:t>
            </w: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Baixa.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tbl>
      <w:tblPr>
        <w:tblStyle w:val="Tabelacomgrade"/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Autorização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Submeto este documento de formalização de demanda para análise e deliberação acerca de seu o prosseguimento.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____/____/_____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i/>
                <w:i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Talita Gontijo Mendes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i/>
                <w:i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Secretária Municipal de Saúde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 xml:space="preserve">Considerando a pertinência da demanda, </w:t>
            </w:r>
            <w:r>
              <w:rPr>
                <w:rFonts w:eastAsia="Cambria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AUTORIZO</w:t>
            </w: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 xml:space="preserve"> a continuidade do procedimento destinado à contratação em tela.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____/____/_____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color w:val="000000" w:themeColor="text1"/>
              </w:rPr>
            </w:pPr>
            <w:r>
              <w:rPr>
                <w:rFonts w:eastAsia="Cambria" w:cs="Times New Roman" w:ascii="Times New Roman" w:hAnsi="Times New Roman"/>
                <w:i/>
                <w:iCs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>(Autoridade competente)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widowControl w:val="false"/>
        <w:rPr/>
      </w:pPr>
      <w:r>
        <w:rPr>
          <w:rFonts w:ascii="Arial" w:hAnsi="Arial"/>
        </w:rPr>
        <w:t>UPA</w:t>
      </w:r>
    </w:p>
    <w:tbl>
      <w:tblPr>
        <w:tblW w:w="9975" w:type="dxa"/>
        <w:jc w:val="left"/>
        <w:tblInd w:w="-6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689"/>
        <w:gridCol w:w="665"/>
        <w:gridCol w:w="5230"/>
        <w:gridCol w:w="1421"/>
        <w:gridCol w:w="1294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MÉDIO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TOTAL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UND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Ambu pediátrico - balão em silicone translúcido autoclavável, pediátrico 500 ml . Máscara facial em silicone válvula unidirecional (bico de pato). Reservatório (não autoclavável) pediátrico 1000ml, extensão plástica 2,0m (não autoclavável) com conexão para oxigênio.com registro no órgão competente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R$ 175,40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R$ 877,00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UND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Bolsa térmica confeccionada em borracha, capacidade aproximada 2,0 litros,. Com registro na anvisa.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R$ 22,01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R$ 100,05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CX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Fio cat gut simples, 0,70 m com agulha 2 cm cortante 2-0, cx com 24 unidades.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R$ 150,75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R$ 603,00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CX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Fio cat gut simples, 0,70 m com agulha 2 cm cortante 3-0, cx com 24 unidades.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R$ 197,57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R$ 987,85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Kit para acesso venoso central, contendo 01 cateter de poliuretano 7 fr x 30 cm com oclusores , 01 aba sutura, 01 braçadeira, 01 um fio guia pontas reta e j, 01 agulha, 02 tampas luer, 01 seringa de 5 ml com agulha hipodérmica 30x7 e dilatador de vaso 8 fr x 4. Registro na anvisa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R$ 165,85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R$ 5.970,60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Lâmpada halogênea para foco cirúrgico 12 v x 25w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R$ 43,75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R$ 875,00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Rolos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Lençol de papel 70 cm x 50 cm, cor branca produzido com 100% fibras de celulose virgem, ou seja, não consta em sua composição nenhuma partícula de papel reciclável, a vantagem dessa pureza é a ausência de contaminantes, normalmente encontrados nos papéis reciclados, que são produzidos a partir de papéis provenientes de fontes desconhecidas, como lixões e sucatas sem qualquer controle higiênico. Folhas picotadas, facilitando o manuseio.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R$ 14,90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R$ 29.800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UND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Manômetro - válvula reguladora com fluxômetro: válvula reguladora de pressão para cilindro de o2 mais fluxômetro com elemento cápsula e tubo de bourdon para visualização de pressão. Resistente a pressões positivas, com correção do ponto zero para gás e ar.escala de pressão do manômetro: 0 à 31,5 mpa (0 à 315kgf/cm²); corpo em latão cromado; conexões de entrada e saída em latão cromado; saída do gás calibrado: 3,5 + 0,3kgf/cm²; conexões de entrada e saída conforme normas abnt.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R$ 331,36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R$ 9.940,80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UND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Pvpi dergermante iodopovidona (polivinil pirrolidona iodo) – p.v.p.i 10% (1% de iodo ativo), frasco com 1000 ml 1000 ml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R$ 68,86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R$ 4.131,60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Sonda nasoenteral 08 fr fabricada em poliuretano e silicone, flexíveis e maleáveis, com calibre fino, ogiva distal e esfincter piloro.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R$ 8,98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R$ 179,60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UND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Sonda para aspiração traqueal nº 14, em tubo pvc, estéril , com válvula (conector para controle da aspiração)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R$ 0,73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R$ 36,50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Sonda para gastrostomia 18 fr, 7-10 ml, de silicone grau médico com fita radiopaca em todo seu comprimento. Kit com: 01 sonda botton para gastrostomia; 01 seringa 6 ml; 01 seringa com ponta de tipo cateter de 35 ml; 01 conjunto de extensão com conector e ângulo reto e bifurcação (y) de 2 orifícios e pinça 12; 01 conjunto extensão alimentar com ponta tipo cateter , conector reto e pinça 12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R$ 76,05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R$ 2.281,50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PC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Teste bower &amp; dick 135 plus – 3m. Método usado para monitorar diariamente o sistema  de  pré  vácuo em esterilizadores a vapor.  Pacote pronto de 13 x 11 x 2,5 cm. Embalagem com 50 pacotes.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R$ 413,48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R$ 4.134,80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Traçados impermeáveis medindo 100x140 cm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R$ 38,36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R$ 1.150,80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RL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Tubo autoclavável de silicone hospitalar 203 para oxigênio rolo 15 metros 6x10mm. espessura 2,00mm.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R$ 180,58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R$ 18.058,00</w:t>
            </w:r>
          </w:p>
        </w:tc>
      </w:tr>
      <w:tr>
        <w:trPr/>
        <w:tc>
          <w:tcPr>
            <w:tcW w:w="99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MEDICAMENTOS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AMP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Ampicilina sodica 1g pó p/ solução injetável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R$ 3,80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R$ 380,00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Amp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Biperideno lactato de 5mg/ml solução inj ampola de 1ml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R$ 2,47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R$ 247,00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Pc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Carvão ativado, pacote 1 kg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R$ 11,15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R$ 44,60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AMP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16"/>
                <w:szCs w:val="16"/>
              </w:rPr>
            </w:pPr>
            <w:r>
              <w:rPr>
                <w:rFonts w:ascii="Arial" w:hAnsi="Arial"/>
                <w:sz w:val="20"/>
                <w:szCs w:val="20"/>
              </w:rPr>
              <w:t>Dimenidrato+ piridoxina 50mg+50mg/ml solução injetável (im) ampolas de 1ml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R$ 3,27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R$ 6.540,00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Amp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Epinefrina, hemitartarato 1ml sol inj ampola de 1ml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R$ 1,03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R$ 1.030,00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Frasco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Fenoterol, bromidrato 5mg/ml sol p/ inalação, frasco de 20 ml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R$ 7,07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R$ 212,10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Amp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Fentanila 0,05 mg/ml sol injetável ampolas de 10 ml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R$ 2,56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R$ 1.280,00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Tubo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Lidocaína, cloridrato 2% gel tubo com 30 gr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R$ 3,53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R$ 1.059,00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Frasco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Salbutamol, sulfato 100mcg/dose aerossol oral frasco de 200 doses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R$ 11,49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R$ 5.745,00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Amp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Suxametônio, cloreto 100mg suspensão injetável frasco/ampola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R$ 19,92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R$ 1.992,00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AMP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Arial MT" w:hAnsi="Arial MT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18"/>
                <w:u w:val="none"/>
                <w:em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Odansetrona, cloridrato 2 mg/ml solução injetável ampola de 2 ml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R$ 1,21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R$ 4.840,00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Frasco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Tetracaína, cloridrato + fenilefrina, cloridrato 0,1% solução</w:t>
              <w:br/>
              <w:t>oftálmica estéril com 10ml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R$ 11,38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R$ 227,60</w:t>
            </w:r>
          </w:p>
        </w:tc>
      </w:tr>
      <w:tr>
        <w:trPr/>
        <w:tc>
          <w:tcPr>
            <w:tcW w:w="868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R$ 102.724,40</w:t>
            </w:r>
          </w:p>
        </w:tc>
      </w:tr>
    </w:tbl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Corpodotexto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UBS’s</w:t>
      </w:r>
    </w:p>
    <w:tbl>
      <w:tblPr>
        <w:tblW w:w="10200" w:type="dxa"/>
        <w:jc w:val="left"/>
        <w:tblInd w:w="-6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830"/>
        <w:gridCol w:w="580"/>
        <w:gridCol w:w="5520"/>
        <w:gridCol w:w="1139"/>
        <w:gridCol w:w="1500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MÉDIO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TOTAL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350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Fras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098" w:leader="none"/>
              </w:tabs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auto" w:val="clear"/>
              </w:rPr>
              <w:t>CLOREXIDINE DEGERMANTE 2%. Gliconato de Clorexidina solução a 2% é um antisséptico tópico, indicado para antissepsia da pele no pré operatório. Embalagem 100 ml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R$ 4,75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R$ 1.662,50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350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Fras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CLOREDIXINE AQUOSA 0,5% Gliconato de Clorexina solução a 2% Aquosa e um antisséptico tópico indicado oara o preparo de mucosas para a realização de procedimentos cirúrgicas , preparo de região genital pre-sondagem vesical, assepsia extrabucal. Embalagem 100 ml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R$ 3,62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R$ 1.267,00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Rolo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Lençol de papel 70 cm x 50 cm, cor branca produzido com 100% fibras de celulose virgem, ou seja, não consta em sua composição nenhuma partícula de papel reciclável, a vantagem dessa pureza é a ausência de contaminantes, normalmente encontrados nos papéis reciclados, que são produzidos a partir de papéis provenientes de fontes desconhecidas, como lixões e sucatas sem qualquer controle higiênico. Folhas picotadas, facilitando o manuseio.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R$ 14,90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R$ 29.800,00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UND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Manômetro - válvula reguladora com fluxômetro: válvula reguladora de pressão para cilindro de o2 mais fluxômetro com elemento cápsula e tubo de bourdon para visualização de pressão. Resistente a pressões positivas, com correção do ponto zero para gás e ar.escala de pressão do manômetro: 0 à 31,5 mpa (0 à 315kgf/cm²); corpo em latão cromado; conexões de entrada e saída em latão cromado; saída do gás calibrado: 3,5 + 0,3kgf/cm²; conexões de entrada e saída conforme normas abnt.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R$ 331,36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R$ 11.928,96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UND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Pvpi dergermante iodopovidona (polivinil pirrolidona iodo) – p.v.p.i 10% (1% de iodo ativo), frasco com 1000 ml 1000 ml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R$ 68,86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R$ 4.131,60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PC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Teste bower &amp; dick 135 plus – 3m. Método usado para monitorar diariamente o sistema  de  pré  vácuo em esterilizadores a vapor.  Pacote pronto de 13 x 11 x 2,5 cm. Embalagem com 50 pacotes.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R$ 413,48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R$ 4.134,80</w:t>
            </w:r>
          </w:p>
        </w:tc>
      </w:tr>
      <w:tr>
        <w:trPr/>
        <w:tc>
          <w:tcPr>
            <w:tcW w:w="101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CURATIVO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1.500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tulododocumento"/>
              <w:widowControl w:val="fals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pt-BR" w:bidi="ar-SA"/>
              </w:rPr>
              <w:t>PLAC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numPr>
                <w:ilvl w:val="0"/>
                <w:numId w:val="0"/>
              </w:numPr>
              <w:shd w:val="clear" w:fill="FFFFFF"/>
              <w:spacing w:before="0" w:after="0"/>
              <w:ind w:left="0" w:hanging="0"/>
              <w:jc w:val="both"/>
              <w:outlineLvl w:val="2"/>
              <w:rPr>
                <w:color w:val="111111"/>
                <w:sz w:val="22"/>
              </w:rPr>
            </w:pPr>
            <w:r>
              <w:rPr>
                <w:rFonts w:ascii="Arial" w:hAnsi="Arial"/>
                <w:b/>
                <w:color w:val="1F1F1F"/>
                <w:kern w:val="0"/>
                <w:sz w:val="20"/>
                <w:szCs w:val="20"/>
                <w:lang w:val="pt-BR" w:bidi="ar-SA"/>
              </w:rPr>
              <w:t>Placa de Hidrocolóide</w:t>
            </w:r>
            <w:r>
              <w:rPr>
                <w:rFonts w:ascii="Arial" w:hAnsi="Arial"/>
                <w:color w:val="1F1F1F"/>
                <w:kern w:val="0"/>
                <w:sz w:val="20"/>
                <w:szCs w:val="20"/>
                <w:lang w:val="pt-BR" w:bidi="ar-SA"/>
              </w:rPr>
              <w:t xml:space="preserve"> - </w:t>
            </w:r>
            <w:r>
              <w:rPr>
                <w:rFonts w:ascii="Arial" w:hAnsi="Arial"/>
                <w:color w:val="111111"/>
                <w:kern w:val="0"/>
                <w:sz w:val="20"/>
                <w:szCs w:val="20"/>
                <w:lang w:val="pt-BR" w:bidi="ar-SA"/>
              </w:rPr>
              <w:t>curativo para feridas que deve fornecer um ambiente cicatrizante úmido, para a proteção da lesão enquanto o processo cicatricial ocorre. O componente deve agir como uma segunda pele. Composto por uma camada interna autoadesiva hipoalergênica, que deve entrar em contato com o exsudato da ferida, a matriz elastomérica deve ser capaz de absorve-lo formando um gel que deve promover o desenvolvimento de um meio úmido otimizando todo o processo de cicatrização da ferida e permitindo a troca do curativo sem causar danos ao tecido recém-formado. A camada externa do hidrocolóide deve ser permeável a gases e vapores de água, funcionando como uma barreira oclusiva perante líquidos e micro-organismos. Placa com tamanho de 10x10 cm.</w:t>
            </w:r>
            <w:r>
              <w:rPr>
                <w:rFonts w:ascii="Arial" w:hAnsi="Arial"/>
                <w:kern w:val="0"/>
                <w:sz w:val="20"/>
                <w:szCs w:val="20"/>
                <w:lang w:val="pt-BR" w:bidi="ar-SA"/>
              </w:rPr>
              <w:t xml:space="preserve"> Produto deve ter boa qualidade, com registro na ANVISA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R$ 9,32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R$ 13.980,00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1.500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tulododocumento"/>
              <w:widowControl w:val="fals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pt-BR" w:bidi="ar-SA"/>
              </w:rPr>
              <w:t>BISN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hd w:val="clear" w:fill="FFFFFF"/>
              <w:spacing w:before="0" w:after="0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kern w:val="0"/>
                <w:sz w:val="20"/>
                <w:szCs w:val="20"/>
                <w:lang w:val="pt-BR" w:bidi="ar-SA"/>
              </w:rPr>
              <w:t>Hidrogel</w:t>
            </w:r>
            <w:r>
              <w:rPr>
                <w:rFonts w:ascii="Arial" w:hAnsi="Arial"/>
                <w:kern w:val="0"/>
                <w:sz w:val="20"/>
                <w:szCs w:val="20"/>
                <w:lang w:val="pt-BR" w:bidi="ar-SA"/>
              </w:rPr>
              <w:t xml:space="preserve">  - Gel absorvente transparente e viscoso. Composto a base de á</w:t>
            </w:r>
            <w:r>
              <w:rPr>
                <w:rFonts w:ascii="Arial" w:hAnsi="Arial"/>
                <w:color w:val="333333"/>
                <w:kern w:val="0"/>
                <w:sz w:val="20"/>
                <w:szCs w:val="20"/>
                <w:shd w:fill="FFFFFF" w:val="clear"/>
                <w:lang w:val="pt-BR" w:bidi="ar-SA"/>
              </w:rPr>
              <w:t>gua purificada, propilenoglicol, carbômero 940, trietanolamina, alginato de cálcio e sódio, conservantes e carboximetilcelulose</w:t>
            </w:r>
            <w:r>
              <w:rPr>
                <w:rFonts w:ascii="Arial" w:hAnsi="Arial"/>
                <w:kern w:val="0"/>
                <w:sz w:val="20"/>
                <w:szCs w:val="20"/>
                <w:lang w:val="pt-BR" w:bidi="ar-SA"/>
              </w:rPr>
              <w:t>, sendo um</w:t>
            </w: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pt-BR" w:bidi="ar-SA"/>
              </w:rPr>
              <w:t> </w:t>
            </w:r>
            <w:r>
              <w:rPr>
                <w:rFonts w:ascii="Arial" w:hAnsi="Arial"/>
                <w:bCs/>
                <w:kern w:val="0"/>
                <w:sz w:val="20"/>
                <w:szCs w:val="20"/>
                <w:lang w:val="pt-BR" w:bidi="ar-SA"/>
              </w:rPr>
              <w:t>curativo</w:t>
            </w: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pt-BR" w:bidi="ar-SA"/>
              </w:rPr>
              <w:t xml:space="preserve"> </w:t>
            </w:r>
            <w:r>
              <w:rPr>
                <w:rFonts w:ascii="Arial" w:hAnsi="Arial"/>
                <w:bCs/>
                <w:kern w:val="0"/>
                <w:sz w:val="20"/>
                <w:szCs w:val="20"/>
                <w:lang w:val="pt-BR" w:bidi="ar-SA"/>
              </w:rPr>
              <w:t>primário</w:t>
            </w:r>
            <w:r>
              <w:rPr>
                <w:rFonts w:ascii="Arial" w:hAnsi="Arial"/>
                <w:kern w:val="0"/>
                <w:sz w:val="20"/>
                <w:szCs w:val="20"/>
                <w:lang w:val="pt-BR" w:bidi="ar-SA"/>
              </w:rPr>
              <w:t xml:space="preserve"> em: </w:t>
            </w:r>
            <w:hyperlink r:id="rId2" w:tgtFrame="_blank">
              <w:r>
                <w:rPr>
                  <w:rFonts w:ascii="Arial" w:hAnsi="Arial"/>
                  <w:kern w:val="0"/>
                  <w:sz w:val="20"/>
                  <w:szCs w:val="20"/>
                  <w:lang w:val="pt-BR" w:bidi="ar-SA"/>
                </w:rPr>
                <w:t>feridas</w:t>
              </w:r>
            </w:hyperlink>
            <w:r>
              <w:rPr>
                <w:rFonts w:ascii="Arial" w:hAnsi="Arial"/>
                <w:kern w:val="0"/>
                <w:sz w:val="20"/>
                <w:szCs w:val="20"/>
                <w:lang w:val="pt-BR" w:bidi="ar-SA"/>
              </w:rPr>
              <w:t> secas, queimaduras de segundo grau, úlceras venosas, arteriais e por pressão, abrasões e lacerações. Deve possuir ação altamente absorvente que proporciona </w:t>
            </w:r>
            <w:r>
              <w:rPr>
                <w:rFonts w:ascii="Arial" w:hAnsi="Arial"/>
                <w:bCs/>
                <w:kern w:val="0"/>
                <w:sz w:val="20"/>
                <w:szCs w:val="20"/>
                <w:lang w:val="pt-BR" w:bidi="ar-SA"/>
              </w:rPr>
              <w:t>melhor </w:t>
            </w:r>
            <w:hyperlink r:id="rId3" w:tgtFrame="_blank">
              <w:r>
                <w:rPr>
                  <w:rFonts w:ascii="Arial" w:hAnsi="Arial"/>
                  <w:bCs/>
                  <w:kern w:val="0"/>
                  <w:sz w:val="20"/>
                  <w:szCs w:val="20"/>
                  <w:lang w:val="pt-BR" w:bidi="ar-SA"/>
                </w:rPr>
                <w:t>cicatrização</w:t>
              </w:r>
            </w:hyperlink>
            <w:r>
              <w:rPr>
                <w:rFonts w:ascii="Arial" w:hAnsi="Arial"/>
                <w:bCs/>
                <w:kern w:val="0"/>
                <w:sz w:val="20"/>
                <w:szCs w:val="20"/>
                <w:lang w:val="pt-BR" w:bidi="ar-SA"/>
              </w:rPr>
              <w:t>,</w:t>
            </w:r>
            <w:r>
              <w:rPr>
                <w:rFonts w:ascii="Arial" w:hAnsi="Arial"/>
                <w:kern w:val="0"/>
                <w:sz w:val="20"/>
                <w:szCs w:val="20"/>
                <w:lang w:val="pt-BR" w:bidi="ar-SA"/>
              </w:rPr>
              <w:t> favorecendo o ambiente úmido ideal para a hidratação da lesão. Além disso, deve ter capacidade de amolecer tecidos inviáveis, facilitando a cicatrização. Produto deve ter boa qualidade, com registro na ANVISA. Bisnaga com 30 gramas.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R$ 21,69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R$ 32.535,00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1.500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tulododocumento"/>
              <w:widowControl w:val="fals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pt-BR" w:bidi="ar-SA"/>
              </w:rPr>
              <w:t>PLAC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hd w:val="clear" w:fill="FFFFFF"/>
              <w:spacing w:before="0" w:after="0"/>
              <w:jc w:val="both"/>
              <w:rPr>
                <w:color w:val="212529"/>
                <w:sz w:val="22"/>
              </w:rPr>
            </w:pPr>
            <w:r>
              <w:rPr>
                <w:rFonts w:ascii="Arial" w:hAnsi="Arial"/>
                <w:b/>
                <w:kern w:val="0"/>
                <w:sz w:val="20"/>
                <w:szCs w:val="20"/>
                <w:lang w:val="pt-BR" w:bidi="ar-SA"/>
              </w:rPr>
              <w:t>Placa de alginato de cálcio empregnado com prata</w:t>
            </w:r>
            <w:r>
              <w:rPr>
                <w:rFonts w:ascii="Arial" w:hAnsi="Arial"/>
                <w:kern w:val="0"/>
                <w:sz w:val="20"/>
                <w:szCs w:val="20"/>
                <w:lang w:val="pt-BR" w:bidi="ar-SA"/>
              </w:rPr>
              <w:t xml:space="preserve"> - </w:t>
            </w:r>
            <w:r>
              <w:rPr>
                <w:rFonts w:ascii="Arial" w:hAnsi="Arial"/>
                <w:color w:val="212529"/>
                <w:kern w:val="0"/>
                <w:sz w:val="20"/>
                <w:szCs w:val="20"/>
                <w:lang w:val="pt-BR" w:bidi="ar-SA"/>
              </w:rPr>
              <w:t xml:space="preserve">As placas devem ser compostas por fibras de ácido algínico (ácido gulurônico e ácido manurônico) extraído das algas marinhas marrons. Deve contér também íons de cálcio e sódio. As placas devem ter camada externa de poliuretano e camada interna composta de gelatina, pectina e carboximetilcelulose sódica. Deve apresentar-se em forma de placa ou cordão estéreis. </w:t>
            </w:r>
            <w:r>
              <w:rPr>
                <w:rFonts w:ascii="Arial" w:hAnsi="Arial"/>
                <w:bCs/>
                <w:color w:val="212529"/>
                <w:kern w:val="0"/>
                <w:sz w:val="20"/>
                <w:szCs w:val="20"/>
                <w:lang w:val="pt-BR" w:bidi="ar-SA"/>
              </w:rPr>
              <w:t>Deve promover</w:t>
            </w:r>
            <w:r>
              <w:rPr>
                <w:rFonts w:ascii="Arial" w:hAnsi="Arial"/>
                <w:color w:val="212529"/>
                <w:kern w:val="0"/>
                <w:sz w:val="20"/>
                <w:szCs w:val="20"/>
                <w:lang w:val="pt-BR" w:bidi="ar-SA"/>
              </w:rPr>
              <w:t xml:space="preserve"> troca iônica do cálcio do alginato com o sódio do sangue e do exsudato. Sendo necessário promover a hemostasia, absorver exsudato, formar um gel que mantém a umidade, promover a granulação e auxilia o desbridamento autolítico.Indicado para feridas com ou sem infecção, com moderada a intensa exudação, com ou sem tecido necrótico, exceto, em caso de necrose seca e com ou sem sangramento. Placa com tamanho de 15x15 cm.</w:t>
            </w:r>
            <w:r>
              <w:rPr>
                <w:rFonts w:ascii="Arial" w:hAnsi="Arial"/>
                <w:kern w:val="0"/>
                <w:sz w:val="20"/>
                <w:szCs w:val="20"/>
                <w:lang w:val="pt-BR" w:bidi="ar-SA"/>
              </w:rPr>
              <w:t xml:space="preserve"> Produto deve ter boa qualidade, com registro na ANVISA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R$ 20,33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R$ 30.495,00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1.000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tulododocumento"/>
              <w:widowControl w:val="fals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pt-BR" w:bidi="ar-SA"/>
              </w:rPr>
              <w:t>PLAC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hd w:val="clear" w:fill="FFFFFF"/>
              <w:spacing w:before="0" w:after="0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kern w:val="0"/>
                <w:sz w:val="20"/>
                <w:szCs w:val="20"/>
                <w:lang w:val="pt-BR" w:bidi="ar-SA"/>
              </w:rPr>
              <w:t>Carvão Ativado empregnado com prata</w:t>
            </w:r>
            <w:r>
              <w:rPr>
                <w:rFonts w:ascii="Arial" w:hAnsi="Arial"/>
                <w:kern w:val="0"/>
                <w:sz w:val="20"/>
                <w:szCs w:val="20"/>
                <w:lang w:val="pt-BR" w:bidi="ar-SA"/>
              </w:rPr>
              <w:t xml:space="preserve"> - cobertura estéril, recortável, composta de tecido de carvão ativado impregnado com prata envolto em nylon, selado em toda sua extensão.</w:t>
            </w: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shd w:fill="FFFFFF" w:val="clear"/>
                <w:lang w:val="pt-BR" w:bidi="ar-SA"/>
              </w:rPr>
              <w:t>Deve ser usado em feridas que contém exsudato, por facilitar a passagem do mesmo para um segundo curativo.</w:t>
            </w:r>
            <w:r>
              <w:rPr>
                <w:rFonts w:ascii="Arial" w:hAnsi="Arial"/>
                <w:kern w:val="0"/>
                <w:sz w:val="20"/>
                <w:szCs w:val="20"/>
                <w:lang w:val="pt-BR" w:bidi="ar-SA"/>
              </w:rPr>
              <w:t xml:space="preserve"> O curativo deve</w:t>
            </w:r>
            <w:r>
              <w:rPr>
                <w:rFonts w:ascii="Arial" w:hAnsi="Arial"/>
                <w:kern w:val="0"/>
                <w:sz w:val="20"/>
                <w:szCs w:val="20"/>
                <w:shd w:fill="FFFFFF" w:val="clear"/>
                <w:lang w:val="pt-BR" w:bidi="ar-SA"/>
              </w:rPr>
              <w:t xml:space="preserve"> controlar o odor causado pelo exsudato. </w:t>
            </w:r>
            <w:r>
              <w:rPr>
                <w:rFonts w:ascii="Arial" w:hAnsi="Arial"/>
                <w:kern w:val="0"/>
                <w:sz w:val="20"/>
                <w:szCs w:val="20"/>
                <w:lang w:val="pt-BR" w:bidi="ar-SA"/>
              </w:rPr>
              <w:t xml:space="preserve">O carvão ativado deve exercer uma ação de limpeza e descontaminação ao adsorver e reter na sua estrutura os microrganismos, as endotoxinas bacterianas e os detritos metabólicos, favorecendo a atuação bactericida da prata neste ambiente, contribuindo para a evolução positiva da ferida e a redução da carga bacteriana </w:t>
            </w: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  <w:t>Placas com tamanho de 10 x 20 cm.</w:t>
            </w:r>
            <w:r>
              <w:rPr>
                <w:rFonts w:ascii="Arial" w:hAnsi="Arial"/>
                <w:kern w:val="0"/>
                <w:sz w:val="20"/>
                <w:szCs w:val="20"/>
                <w:lang w:val="pt-BR" w:bidi="ar-SA"/>
              </w:rPr>
              <w:t xml:space="preserve"> Produto deve ter boa qualidade, com registro na ANVISA.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R$ 14,53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R$ 14.530,00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tulododocumento"/>
              <w:widowControl w:val="fals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pt-BR" w:bidi="ar-SA"/>
              </w:rPr>
              <w:t>FRA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hd w:val="clear" w:fill="FFFFFF"/>
              <w:spacing w:before="0" w:after="0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kern w:val="0"/>
                <w:sz w:val="20"/>
                <w:szCs w:val="20"/>
                <w:lang w:val="pt-BR" w:bidi="ar-SA"/>
              </w:rPr>
              <w:t>Solução de PHMB</w:t>
            </w:r>
            <w:r>
              <w:rPr>
                <w:rFonts w:ascii="Arial" w:hAnsi="Arial"/>
                <w:kern w:val="0"/>
                <w:sz w:val="20"/>
                <w:szCs w:val="20"/>
                <w:lang w:val="pt-BR" w:bidi="ar-SA"/>
              </w:rPr>
              <w:t xml:space="preserve"> - ou polihexametileno biguanida, composto químico utilizado para o </w:t>
            </w:r>
            <w:hyperlink r:id="rId4">
              <w:r>
                <w:rPr>
                  <w:rFonts w:ascii="Arial" w:hAnsi="Arial"/>
                  <w:kern w:val="0"/>
                  <w:sz w:val="20"/>
                  <w:szCs w:val="20"/>
                  <w:lang w:val="pt-BR" w:bidi="ar-SA"/>
                </w:rPr>
                <w:t>tratamento de feridas</w:t>
              </w:r>
            </w:hyperlink>
            <w:r>
              <w:rPr>
                <w:rFonts w:ascii="Arial" w:hAnsi="Arial"/>
                <w:kern w:val="0"/>
                <w:sz w:val="20"/>
                <w:szCs w:val="20"/>
                <w:lang w:val="pt-BR" w:bidi="ar-SA"/>
              </w:rPr>
              <w:t>. Polímero catiônico com propriedades antimicrobianas, o que significa que ele deve ter a capacidade de combater e controlar a proliferação de microorganismos, como bactérias, fungos e vírus.Quando aplicado em </w:t>
            </w:r>
            <w:hyperlink r:id="rId5">
              <w:r>
                <w:rPr>
                  <w:rFonts w:ascii="Arial" w:hAnsi="Arial"/>
                  <w:kern w:val="0"/>
                  <w:sz w:val="20"/>
                  <w:szCs w:val="20"/>
                  <w:lang w:val="pt-BR" w:bidi="ar-SA"/>
                </w:rPr>
                <w:t>feridas</w:t>
              </w:r>
            </w:hyperlink>
            <w:r>
              <w:rPr>
                <w:rFonts w:ascii="Arial" w:hAnsi="Arial"/>
                <w:kern w:val="0"/>
                <w:sz w:val="20"/>
                <w:szCs w:val="20"/>
                <w:lang w:val="pt-BR" w:bidi="ar-SA"/>
              </w:rPr>
              <w:t>, o PHMB deve agir de várias maneiras para promover a cicatrização e prevenir infecções. Deve possuir alta afinidade pelas membranas celulares dos microorganismos, alterando sua estrutura e função, o que resulta em danos e morte desses organismos. O PHMB na ferida deve criar uma barreira protetora, impedindo a colonização e crescimento de novos microorganismos.A ação antimicrobiana do PHMB deve ser ampla e eficaz contra uma gama de bactérias, incluindo aquelas resistentes a antibióticos comuns, como a meticilina-resistente Staphylococcus aureus (MRSA). Ele também deve combater fungos, como Candida spp., e vírus envelopados, como o herpes simplex. Produto deve ter boa qualidade, com registro na ANVISA. Frasco com 350 ml.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R$ 39,53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R$ 22.927,40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tulododocumento"/>
              <w:widowControl w:val="false"/>
              <w:spacing w:lineRule="auto" w:line="360" w:before="0" w:after="0"/>
              <w:jc w:val="left"/>
              <w:rPr>
                <w:sz w:val="22"/>
                <w:szCs w:val="24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val="pt-BR" w:bidi="ar-SA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pt-BR" w:bidi="ar-SA"/>
              </w:rPr>
              <w:t>ROL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hd w:val="clear" w:fill="FFFFFF"/>
              <w:spacing w:before="0" w:after="0"/>
              <w:jc w:val="both"/>
              <w:textAlignment w:val="baseline"/>
              <w:rPr>
                <w:b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kern w:val="0"/>
                <w:sz w:val="20"/>
                <w:szCs w:val="20"/>
                <w:lang w:val="pt-BR" w:bidi="ar-SA"/>
              </w:rPr>
              <w:t xml:space="preserve">Curativo de Filme Transparente - </w:t>
            </w:r>
            <w:r>
              <w:rPr>
                <w:rFonts w:ascii="Arial" w:hAnsi="Arial"/>
                <w:kern w:val="0"/>
                <w:sz w:val="20"/>
                <w:szCs w:val="20"/>
                <w:lang w:val="pt-BR" w:bidi="ar-SA"/>
              </w:rPr>
              <w:t xml:space="preserve">curativo transparente </w:t>
            </w:r>
            <w:r>
              <w:rPr>
                <w:rFonts w:ascii="Arial" w:hAnsi="Arial"/>
                <w:kern w:val="0"/>
                <w:sz w:val="20"/>
                <w:szCs w:val="20"/>
                <w:shd w:fill="FFFFFF" w:val="clear"/>
                <w:lang w:val="pt-BR" w:bidi="ar-SA"/>
              </w:rPr>
              <w:t xml:space="preserve">de composição estéril deve permitir uma aplicação discreta, enquanto sua permeabilidade ao oxigênio e ao vapor úmido favorece a cicatrização da ferida. O filme transparente deve atuar como uma segunda pele, criando uma barreira física que protege a ferida contra agentes externos como bactérias, vírus e poeira. Essa barreira deve impedir a contaminação, reduzindo o risco de infecções e promovendo um ambiente ideal para a cicatrização. O curativo deve permitir que a ferida fique visível o tempo todo, permitindo ao profissional de saúde monitorar a evolução da cicatrização sem a necessidade de remover o curativo. </w:t>
            </w:r>
            <w:r>
              <w:rPr>
                <w:rFonts w:ascii="Arial" w:hAnsi="Arial"/>
                <w:kern w:val="0"/>
                <w:sz w:val="20"/>
                <w:szCs w:val="20"/>
                <w:lang w:val="pt-BR" w:bidi="ar-SA"/>
              </w:rPr>
              <w:t>Produto deve ter boa qualidade, com registro na ANVISA. Rolo 10 cm x 2 metros.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R$ 105,11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R$ 31.533,00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tulododocumento"/>
              <w:widowControl w:val="false"/>
              <w:spacing w:lineRule="auto" w:line="360" w:before="0" w:after="0"/>
              <w:jc w:val="both"/>
              <w:rPr>
                <w:rFonts w:ascii="Arial" w:hAnsi="Arial"/>
                <w:b w:val="false"/>
                <w:b w:val="false"/>
                <w:bCs w:val="false"/>
                <w:kern w:val="0"/>
                <w:sz w:val="20"/>
                <w:szCs w:val="20"/>
                <w:lang w:val="pt-BR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pt-BR" w:bidi="ar-SA"/>
              </w:rPr>
              <w:t>FRAS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tulododocumento"/>
              <w:widowControl w:val="false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kern w:val="0"/>
                <w:sz w:val="20"/>
                <w:szCs w:val="20"/>
                <w:lang w:val="pt-BR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pt-BR" w:bidi="ar-SA"/>
              </w:rPr>
              <w:t xml:space="preserve">Creme barreira – </w:t>
            </w: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shd w:fill="FFFFFF" w:val="clear"/>
                <w:lang w:val="pt-BR" w:bidi="ar-SA"/>
              </w:rPr>
              <w:t xml:space="preserve">tratamento para a pele seca ou irritada, causada pelo exsudato oriundo da pele perilesional. O creme barreira deve repelir a entrada de líquidos suavizando a pele, deve contér um protetor de pH que restaura o pH da pele, prevenindo lesões cutâneas. Deve ser composto por água, </w:t>
            </w:r>
            <w:r>
              <w:rPr>
                <w:rFonts w:ascii="Arial" w:hAnsi="Arial"/>
                <w:b w:val="false"/>
                <w:bCs w:val="false"/>
                <w:kern w:val="0"/>
                <w:sz w:val="20"/>
                <w:szCs w:val="20"/>
                <w:lang w:val="pt-BR" w:bidi="ar-SA"/>
              </w:rPr>
              <w:t>parafina líquida, petrolato, cera microcristalina, oleato de glicerol, álcool de lanolina, ácido cítrico, citrato de magnésio, ciclometicone, glicerina, metilparabeno, propilparabeno e propilenoglicol. Produto deve ter boa qualidade, com registro na ANVISA. Frasco com 60 gramas.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R$ 64,61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R$ 48.457,50</w:t>
            </w:r>
          </w:p>
        </w:tc>
      </w:tr>
      <w:tr>
        <w:trPr/>
        <w:tc>
          <w:tcPr>
            <w:tcW w:w="101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MEDICAMENTOS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FRAS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Dipirona sódica 500 mg/ml, solução oral gotas, frasco 20 ml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R$ 1,39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R$ 417,00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Amp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Epinefrina, hemitartarato 1ml sol inj ampola de 1ml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R$ 1,03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R$ 412,00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UND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Lidocaína cloridrato 20 mg/g, geléia.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R$ 15,99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R$ 2.238,60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Tubo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Lidocaína, cloridrato 2% gel tubo com 30 gr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R$ 3,53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R$ 494,20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Frasco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Salbutamol, sulfato 100mcg/dose aerossol oral frasco de 200 doses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R$ 11,49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R$ 1.608,66</w:t>
            </w:r>
          </w:p>
        </w:tc>
      </w:tr>
      <w:tr>
        <w:trPr/>
        <w:tc>
          <w:tcPr>
            <w:tcW w:w="8699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R$ 252.553,22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NÚCLEO MUNICIPAL DE SAÚDE</w:t>
      </w:r>
    </w:p>
    <w:tbl>
      <w:tblPr>
        <w:tblW w:w="10200" w:type="dxa"/>
        <w:jc w:val="left"/>
        <w:tblInd w:w="-6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779"/>
        <w:gridCol w:w="631"/>
        <w:gridCol w:w="5520"/>
        <w:gridCol w:w="1139"/>
        <w:gridCol w:w="1500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MÉDIO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TOTAL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CX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Fio cat gut simples, 0,70 m com agulha 2 cm cortante 2-0, cx com 24 unidades.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R$ 150,75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R$ 452,25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CX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Fio cat gut simples, 0,70 m com agulha 2 cm cortante 3-0, cx com 24 unidades.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R$ 197,57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R$ 987,85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800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Rolos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Lençol de papel 70 cm x 50 cm, cor branca produzido com 100% fibras de celulose virgem, ou seja, não consta em sua composição nenhuma partícula de papel reciclável, a vantagem dessa pureza é a ausência de contaminantes, normalmente encontrados nos papéis reciclados, que são produzidos a partir de papéis provenientes de fontes desconhecidas, como lixões e sucatas sem qualquer controle higiênico. Folhas picotadas, facilitando o manuseio.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R$ 14,90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R$ 11.920,00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UND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Manômetro - válvula reguladora com fluxômetro: válvula reguladora de pressão para cilindro de o2 mais fluxômetro com elemento cápsula e tubo de bourdon para visualização de pressão. Resistente a pressões positivas, com correção do ponto zero para gás e ar.escala de pressão do manômetro: 0 à 31,5 mpa (0 à 315kgf/cm²); corpo em latão cromado; conexões de entrada e saída em latão cromado; saída do gás calibrado: 3,5 + 0,3kgf/cm²; conexões de entrada e saída conforme normas abnt.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R$ 331,36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1.325,44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UND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Pvpi dergermante iodopovidona (polivinil pirrolidona iodo) – p.v.p.i 10% (1% de iodo ativo), frasco com 1000 ml 1000 ml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R$ 68,86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R$ 2.478,96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PC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Teste bower &amp; dick 135 plus – 3m. Método usado para monitorar diariamente o sistema  de  pré  vácuo em esterilizadores a vapor.  Pacote pronto de 13 x 11 x 2,5 cm. Embalagem com 50 pacotes.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R$ 413,48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R$ 4.961,76</w:t>
            </w:r>
          </w:p>
        </w:tc>
      </w:tr>
      <w:tr>
        <w:trPr/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6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R$ 22.126,26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>
          <w:rFonts w:ascii="Arial" w:hAnsi="Arial"/>
          <w:sz w:val="24"/>
          <w:szCs w:val="24"/>
        </w:rPr>
        <w:t>RENAME</w:t>
      </w:r>
    </w:p>
    <w:tbl>
      <w:tblPr>
        <w:tblW w:w="10120" w:type="dxa"/>
        <w:jc w:val="left"/>
        <w:tblInd w:w="-6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773"/>
        <w:gridCol w:w="756"/>
        <w:gridCol w:w="5551"/>
        <w:gridCol w:w="1000"/>
        <w:gridCol w:w="1409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MÉDIO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TOTAL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20000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</w:t>
            </w:r>
          </w:p>
        </w:tc>
        <w:tc>
          <w:tcPr>
            <w:tcW w:w="5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Amitriptilina 25MG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R$ 0,70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R$ 14.000,00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AMP</w:t>
            </w:r>
          </w:p>
        </w:tc>
        <w:tc>
          <w:tcPr>
            <w:tcW w:w="5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Benzilpenicilina procaína + potássica 400.000 UI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R$ 5,13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R$ 513,00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30000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</w:t>
            </w:r>
          </w:p>
        </w:tc>
        <w:tc>
          <w:tcPr>
            <w:tcW w:w="5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Carbonato de lítio 300mg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R$ 0,185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R$ 5.550,000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50000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20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COMP</w:t>
            </w:r>
          </w:p>
        </w:tc>
        <w:tc>
          <w:tcPr>
            <w:tcW w:w="5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20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Clomipramina cloridrato 25mg Comprimido revestido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R$0,82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R$ 41.000,00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25000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</w:t>
            </w:r>
          </w:p>
        </w:tc>
        <w:tc>
          <w:tcPr>
            <w:tcW w:w="5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Clorpromazina 100mg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R$ 0,25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R$ 6.250,00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10000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</w:t>
            </w:r>
          </w:p>
        </w:tc>
        <w:tc>
          <w:tcPr>
            <w:tcW w:w="5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Clorpromazina 25mg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R$ 0,25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R$ 2.500,00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3500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FRAS</w:t>
            </w:r>
          </w:p>
        </w:tc>
        <w:tc>
          <w:tcPr>
            <w:tcW w:w="5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Dipirona sódica 500 mg/ml, solução oral gotas, frasco 20 ml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R$ 1,39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R$ 4.865,00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</w:t>
            </w:r>
          </w:p>
        </w:tc>
        <w:tc>
          <w:tcPr>
            <w:tcW w:w="5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Espiramicina 500 mg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R$ 4,31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R$ 4.310,00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600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UND</w:t>
            </w:r>
          </w:p>
        </w:tc>
        <w:tc>
          <w:tcPr>
            <w:tcW w:w="5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Lidocaína cloridrato 20 mg/g, geléia.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R$ 15,99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R$ 9.594,00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2000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COMP</w:t>
            </w:r>
          </w:p>
        </w:tc>
        <w:tc>
          <w:tcPr>
            <w:tcW w:w="5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Isossorbida dinitrato 5 mg sublingual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R$ 0,27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R$ 540,00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</w:t>
            </w:r>
          </w:p>
        </w:tc>
        <w:tc>
          <w:tcPr>
            <w:tcW w:w="5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Sulfadiazina 500 mg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R$ 3,86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R$ 1.930,00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18000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</w:t>
            </w:r>
          </w:p>
        </w:tc>
        <w:tc>
          <w:tcPr>
            <w:tcW w:w="5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Verapamil cloridrato 80 mg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R$ 0,29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R$ 5.220,00</w:t>
            </w:r>
          </w:p>
        </w:tc>
      </w:tr>
      <w:tr>
        <w:trPr/>
        <w:tc>
          <w:tcPr>
            <w:tcW w:w="215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R$ 96.272,00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>ESPECIAIS</w:t>
      </w:r>
    </w:p>
    <w:tbl>
      <w:tblPr>
        <w:tblW w:w="10120" w:type="dxa"/>
        <w:jc w:val="left"/>
        <w:tblInd w:w="-6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795"/>
        <w:gridCol w:w="750"/>
        <w:gridCol w:w="5339"/>
        <w:gridCol w:w="1151"/>
        <w:gridCol w:w="1409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MÉDIO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TOTAL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</w:t>
            </w:r>
          </w:p>
        </w:tc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Divalproato de sódio 500 mg (Depakote ER), comprimido revestido de liberação prolongado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R$ 1,07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R$ 2.247,00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</w:t>
            </w:r>
          </w:p>
        </w:tc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Insulina RÁPIDA (FIASP) 100 UI, frasco de 10 ml , caixa com 01 frasco.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R$ 208,95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R$ 7.522,20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</w:t>
            </w:r>
          </w:p>
        </w:tc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Xarelto 20 mg (rivaroxabana), comprimido revestido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R$ 4,18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R$ 4.180,00</w:t>
            </w:r>
          </w:p>
        </w:tc>
      </w:tr>
      <w:tr>
        <w:trPr/>
        <w:tc>
          <w:tcPr>
            <w:tcW w:w="22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R$ 13.949,20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REMUNE</w:t>
      </w:r>
    </w:p>
    <w:tbl>
      <w:tblPr>
        <w:tblW w:w="10120" w:type="dxa"/>
        <w:jc w:val="left"/>
        <w:tblInd w:w="-6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90"/>
        <w:gridCol w:w="780"/>
        <w:gridCol w:w="750"/>
        <w:gridCol w:w="5339"/>
        <w:gridCol w:w="1151"/>
        <w:gridCol w:w="1409"/>
      </w:tblGrid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MÉDIO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TOTAL</w:t>
            </w:r>
          </w:p>
        </w:tc>
      </w:tr>
      <w:tr>
        <w:trPr/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</w:t>
            </w:r>
          </w:p>
        </w:tc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Imipramina cloridrato 25 mg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R$ 0,42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R$ 25.200,00</w:t>
            </w:r>
          </w:p>
        </w:tc>
      </w:tr>
      <w:tr>
        <w:trPr/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</w:t>
            </w:r>
          </w:p>
        </w:tc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Levomepromazina maleato 25 mg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R$ 0,45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R$ 9.000,00</w:t>
            </w:r>
          </w:p>
        </w:tc>
      </w:tr>
      <w:tr>
        <w:trPr/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FRAS</w:t>
            </w:r>
          </w:p>
        </w:tc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Periciazina 40 mg/ml, solução oral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R$ 20,82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R$ 4.164,00</w:t>
            </w:r>
          </w:p>
        </w:tc>
      </w:tr>
      <w:tr>
        <w:trPr/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</w:t>
            </w:r>
          </w:p>
        </w:tc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Tibolona 1,25 mg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R$ 1,52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R$ 9.120,00</w:t>
            </w:r>
          </w:p>
        </w:tc>
      </w:tr>
      <w:tr>
        <w:trPr/>
        <w:tc>
          <w:tcPr>
            <w:tcW w:w="22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R$ 47.484,00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CAPS I</w:t>
      </w:r>
    </w:p>
    <w:tbl>
      <w:tblPr>
        <w:tblW w:w="10120" w:type="dxa"/>
        <w:jc w:val="left"/>
        <w:tblInd w:w="-6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5"/>
        <w:gridCol w:w="675"/>
        <w:gridCol w:w="784"/>
        <w:gridCol w:w="5305"/>
        <w:gridCol w:w="1151"/>
        <w:gridCol w:w="1409"/>
      </w:tblGrid>
      <w:tr>
        <w:trPr/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MÉDIO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TOTAL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Levomepromazina maleato 25 mg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R$ 0,45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R$ 2.700,00</w:t>
            </w:r>
          </w:p>
        </w:tc>
      </w:tr>
      <w:tr>
        <w:trPr/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R$ 2.700,00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CAPS AD</w:t>
      </w:r>
    </w:p>
    <w:tbl>
      <w:tblPr>
        <w:tblW w:w="10120" w:type="dxa"/>
        <w:jc w:val="left"/>
        <w:tblInd w:w="-6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5"/>
        <w:gridCol w:w="675"/>
        <w:gridCol w:w="784"/>
        <w:gridCol w:w="5305"/>
        <w:gridCol w:w="1151"/>
        <w:gridCol w:w="1409"/>
      </w:tblGrid>
      <w:tr>
        <w:trPr/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MÉDIO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TOTAL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6500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Levomepromazina maleato 25 mg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R$ 0,45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R$ 2.925,00</w:t>
            </w:r>
          </w:p>
        </w:tc>
      </w:tr>
      <w:tr>
        <w:trPr/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righ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R$ 2.925,00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Vigilância Epidemiológica</w:t>
      </w:r>
    </w:p>
    <w:tbl>
      <w:tblPr>
        <w:tblW w:w="10120" w:type="dxa"/>
        <w:jc w:val="left"/>
        <w:tblInd w:w="-6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5"/>
        <w:gridCol w:w="675"/>
        <w:gridCol w:w="784"/>
        <w:gridCol w:w="5305"/>
        <w:gridCol w:w="1151"/>
        <w:gridCol w:w="1409"/>
      </w:tblGrid>
      <w:tr>
        <w:trPr/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MÉDIO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TOTAL</w:t>
            </w:r>
          </w:p>
        </w:tc>
      </w:tr>
      <w:tr>
        <w:trPr/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1250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UND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Testes imunocromatográfico , para detecção qualitativa de antígenos de SARS-CoV-2 em amostras de swab da nasofaringe, para leitura de resultados em até 15 minutos , COM CONTROLE POSITIVO E NEGATIVO,  sem necessidade de suporte laboratorial.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 testes deverão possuir avaliação de desempenho clínico evidenciando ausência de reações cruzadas com outros agentes infecciosos (ítem 40.008)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Sensibilidade :   &gt; 95%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Especificidades: &gt; 95%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 kis de cada teste devem ser embalados individualmente, e devem prover o material necessário para cada teste: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 dispositivo / placa de teste.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 sachê dessecante com sílica gel.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Tampão de extração.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Tampa filtro.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Swab estéril longo para coleta em naso ou laringe.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Instruções de como realizar o teste.</w:t>
            </w:r>
          </w:p>
          <w:p>
            <w:pPr>
              <w:pStyle w:val="Normal"/>
              <w:widowControl w:val="false"/>
              <w:spacing w:before="0" w:after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REGISTRO NA ANVISA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bCs/>
                <w:sz w:val="22"/>
                <w:szCs w:val="22"/>
                <w:shd w:fill="FFFFFF" w:val="clear"/>
              </w:rPr>
            </w:pPr>
            <w:r>
              <w:rPr>
                <w:b/>
                <w:bCs/>
                <w:sz w:val="22"/>
                <w:szCs w:val="22"/>
                <w:shd w:fill="FFFFFF" w:val="clear"/>
              </w:rPr>
              <w:t>A empresa vencedora deste item deverá anexar o folder do mesmo na plataforma de realização do processo no prazo aberto para análise. (O prazo não será superior a duas horas).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R$14,96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R$18.700,00</w:t>
            </w:r>
          </w:p>
        </w:tc>
      </w:tr>
      <w:tr>
        <w:trPr/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R$18.700,00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701" w:right="1701" w:header="708" w:top="1417" w:footer="0" w:bottom="141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Ecofont_Spranq_eco_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S hne">
    <w:altName w:val="ui-sans-serif"/>
    <w:charset w:val="00"/>
    <w:family w:val="roman"/>
    <w:pitch w:val="variable"/>
  </w:font>
  <w:font w:name="verdana">
    <w:altName w:val="helvetica"/>
    <w:charset w:val="00"/>
    <w:family w:val="roman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10920215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  <w:r>
          <w:rPr/>
          <w:t xml:space="preserve"> </w:t>
        </w:r>
        <w:r>
          <w:rPr/>
          <w:t>de 5</w:t>
        </w:r>
        <w:bookmarkStart w:id="0" w:name="_GoBack"/>
      </w:p>
    </w:sdtContent>
  </w:sdt>
  <w:p>
    <w:pPr>
      <w:pStyle w:val="Rodap"/>
      <w:rPr/>
    </w:pPr>
    <w:r>
      <w:rPr/>
    </w:r>
    <w:bookmarkEnd w:id="0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color w:val="000000"/>
        <w:sz w:val="20"/>
        <w:szCs w:val="20"/>
      </w:rPr>
    </w:pPr>
    <w:r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135255</wp:posOffset>
          </wp:positionH>
          <wp:positionV relativeFrom="paragraph">
            <wp:posOffset>-64770</wp:posOffset>
          </wp:positionV>
          <wp:extent cx="930910" cy="887730"/>
          <wp:effectExtent l="0" t="0" r="0" b="0"/>
          <wp:wrapNone/>
          <wp:docPr id="6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88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M</w:t>
    </w: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UNICÍPIO DE CARMO DO PARANAÍBA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CNPJ 18.602.029/0001-09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Sede Administrativa: Praça Misael Luiz de Carvalho, n°84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CEP: 38840-000 – Carmo Do Paranaíba – MG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PABX: (034) 3851-9800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_____________________________________________________________________________________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b0488"/>
    <w:rPr/>
  </w:style>
  <w:style w:type="character" w:styleId="RodapChar" w:customStyle="1">
    <w:name w:val="Rodapé Char"/>
    <w:basedOn w:val="DefaultParagraphFont"/>
    <w:uiPriority w:val="99"/>
    <w:qFormat/>
    <w:rsid w:val="007b0488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914be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LinkdaInternet">
    <w:name w:val="Link da Internet"/>
    <w:rPr>
      <w:color w:val="000080"/>
      <w:u w:val="single"/>
    </w:rPr>
  </w:style>
  <w:style w:type="character" w:styleId="Ttulodecabedamensagem" w:customStyle="1">
    <w:name w:val="Título de cabeç. da mensagem"/>
    <w:qFormat/>
    <w:rPr>
      <w:b/>
      <w:sz w:val="18"/>
      <w:lang w:bidi="ar-SA"/>
    </w:rPr>
  </w:style>
  <w:style w:type="character" w:styleId="Smbolosdenumerao" w:customStyle="1">
    <w:name w:val="Símbolos de numeração"/>
    <w:qFormat/>
    <w:rPr>
      <w:b w:val="false"/>
      <w:bCs w:val="false"/>
    </w:rPr>
  </w:style>
  <w:style w:type="character" w:styleId="Nvel1SemNumPretoChar">
    <w:name w:val="Nível 1-Sem Num Preto Char"/>
    <w:qFormat/>
    <w:rPr>
      <w:rFonts w:ascii="Arial" w:hAnsi="Arial" w:eastAsia="ＭＳ ゴシック"/>
      <w:b/>
      <w:bCs/>
      <w:color w:val="FF0000"/>
      <w:spacing w:val="5"/>
      <w:kern w:val="2"/>
      <w:sz w:val="52"/>
      <w:szCs w:val="52"/>
      <w:lang w:eastAsia="zh-CN" w:bidi="hi-IN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Mention">
    <w:name w:val="Mention"/>
    <w:qFormat/>
    <w:rPr>
      <w:rFonts w:ascii="Times New Roman" w:hAnsi="Times New Roman" w:eastAsia="Times New Roman" w:cs="Times New Roman"/>
      <w:color w:val="2B579A"/>
      <w:sz w:val="24"/>
      <w:szCs w:val="24"/>
      <w:shd w:fill="E6E6E6" w:val="clear"/>
    </w:rPr>
  </w:style>
  <w:style w:type="character" w:styleId="AlteraesChar">
    <w:name w:val="Alterações Char"/>
    <w:qFormat/>
    <w:rPr>
      <w:rFonts w:ascii="Arial" w:hAnsi="Arial" w:eastAsia="Times New Roman"/>
      <w:i/>
      <w:iCs/>
      <w:color w:val="0000FF"/>
      <w:sz w:val="24"/>
      <w:szCs w:val="24"/>
    </w:rPr>
  </w:style>
  <w:style w:type="character" w:styleId="Nivel3erroChar">
    <w:name w:val="Nivel 3-erro Char"/>
    <w:qFormat/>
    <w:rPr>
      <w:rFonts w:ascii="Arial" w:hAnsi="Arial" w:eastAsia="Times New Roman" w:cs="Tahoma"/>
      <w:color w:val="000000"/>
      <w:sz w:val="24"/>
    </w:rPr>
  </w:style>
  <w:style w:type="character" w:styleId="Findhit">
    <w:name w:val="findhi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Mentionnonrsolue1">
    <w:name w:val="Mention non résolue1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PrembuloChar">
    <w:name w:val="Preâmbulo Char"/>
    <w:qFormat/>
    <w:rPr>
      <w:rFonts w:ascii="Arial" w:hAnsi="Arial" w:eastAsia="Arial"/>
      <w:bCs/>
      <w:color w:val="000000"/>
      <w:sz w:val="24"/>
      <w:szCs w:val="24"/>
    </w:rPr>
  </w:style>
  <w:style w:type="character" w:styleId="Nvel1SemNumChar">
    <w:name w:val="Nível 1-Sem Num Char"/>
    <w:qFormat/>
    <w:rPr>
      <w:rFonts w:ascii="Arial" w:hAnsi="Arial" w:eastAsia="ＭＳ ゴシック"/>
      <w:b/>
      <w:bCs/>
      <w:color w:val="FF0000"/>
      <w:spacing w:val="5"/>
      <w:kern w:val="2"/>
      <w:sz w:val="52"/>
      <w:szCs w:val="52"/>
    </w:rPr>
  </w:style>
  <w:style w:type="character" w:styleId="Nvel4RChar">
    <w:name w:val="Nível 4-R Char"/>
    <w:qFormat/>
    <w:rPr>
      <w:rFonts w:ascii="Arial" w:hAnsi="Arial" w:eastAsia="Times New Roman"/>
      <w:i/>
      <w:iCs/>
      <w:color w:val="FF0000"/>
      <w:sz w:val="24"/>
      <w:szCs w:val="24"/>
    </w:rPr>
  </w:style>
  <w:style w:type="character" w:styleId="Nvel3RChar">
    <w:name w:val="Nível 3-R Char"/>
    <w:qFormat/>
    <w:rPr>
      <w:rFonts w:ascii="Arial" w:hAnsi="Arial" w:eastAsia="Times New Roman"/>
      <w:i/>
      <w:iCs/>
      <w:color w:val="FF0000"/>
      <w:sz w:val="24"/>
      <w:szCs w:val="24"/>
    </w:rPr>
  </w:style>
  <w:style w:type="character" w:styleId="Nivel3Char">
    <w:name w:val="Nivel 3 Char"/>
    <w:qFormat/>
    <w:rPr>
      <w:rFonts w:ascii="Arial" w:hAnsi="Arial" w:eastAsia="Times New Roman"/>
      <w:color w:val="000000"/>
      <w:sz w:val="24"/>
      <w:szCs w:val="24"/>
    </w:rPr>
  </w:style>
  <w:style w:type="character" w:styleId="Nvel2RedChar">
    <w:name w:val="Nível 2 -Red Char"/>
    <w:qFormat/>
    <w:rPr>
      <w:rFonts w:ascii="Arial" w:hAnsi="Arial" w:eastAsia="Arial"/>
      <w:i/>
      <w:iCs/>
      <w:color w:val="FF0000"/>
      <w:sz w:val="24"/>
      <w:szCs w:val="24"/>
    </w:rPr>
  </w:style>
  <w:style w:type="character" w:styleId="OuChar">
    <w:name w:val="ou Char"/>
    <w:qFormat/>
    <w:rPr>
      <w:rFonts w:ascii="Arial" w:hAnsi="Arial" w:eastAsia="Cambria"/>
      <w:b/>
      <w:bCs/>
      <w:i/>
      <w:iCs/>
      <w:color w:val="FF0000"/>
      <w:u w:val="single"/>
    </w:rPr>
  </w:style>
  <w:style w:type="character" w:styleId="MenoPendente4">
    <w:name w:val="Menção Pendente4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MenoPendente3">
    <w:name w:val="Menção Pendente3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Markedcontent">
    <w:name w:val="markedconte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tulo6Char">
    <w:name w:val="Título 6 Char"/>
    <w:qFormat/>
    <w:rPr>
      <w:rFonts w:ascii="Calibri" w:hAnsi="Calibri" w:eastAsia="ＭＳ ゴシック" w:cs="Times New Roman"/>
      <w:color w:val="243F60"/>
      <w:sz w:val="22"/>
      <w:szCs w:val="22"/>
    </w:rPr>
  </w:style>
  <w:style w:type="character" w:styleId="Ttulo3Char">
    <w:name w:val="Título 3 Char"/>
    <w:qFormat/>
    <w:rPr>
      <w:rFonts w:ascii="Calibri" w:hAnsi="Calibri" w:eastAsia="ＭＳ ゴシック" w:cs="Times New Roman"/>
      <w:color w:val="243F60"/>
    </w:rPr>
  </w:style>
  <w:style w:type="character" w:styleId="PargrafodaListaChar">
    <w:name w:val="Parágrafo da Lista Char"/>
    <w:qFormat/>
    <w:rPr>
      <w:rFonts w:ascii="Ecofont_Spranq_eco_Sans" w:hAnsi="Ecofont_Spranq_eco_Sans" w:eastAsia="Times New Roman" w:cs="Tahoma"/>
      <w:color w:val="000000"/>
    </w:rPr>
  </w:style>
  <w:style w:type="character" w:styleId="PlaceholderText">
    <w:name w:val="Placeholder Text"/>
    <w:qFormat/>
    <w:rPr>
      <w:rFonts w:ascii="Times New Roman" w:hAnsi="Times New Roman" w:eastAsia="Times New Roman" w:cs="Times New Roman"/>
      <w:color w:val="808080"/>
      <w:sz w:val="24"/>
      <w:szCs w:val="24"/>
    </w:rPr>
  </w:style>
  <w:style w:type="character" w:styleId="Nvel3OpcionalChar">
    <w:name w:val="Nível 3 Opcional Char"/>
    <w:qFormat/>
    <w:rPr>
      <w:rFonts w:ascii="Arial" w:hAnsi="Arial" w:eastAsia="Times New Roman"/>
      <w:i/>
      <w:iCs/>
      <w:color w:val="FF0000"/>
      <w:sz w:val="24"/>
      <w:szCs w:val="24"/>
    </w:rPr>
  </w:style>
  <w:style w:type="character" w:styleId="Nvel2OpcionalChar">
    <w:name w:val="Nível 2 Opcional Char"/>
    <w:qFormat/>
    <w:rPr>
      <w:rFonts w:ascii="Arial" w:hAnsi="Arial" w:eastAsia="Times New Roman"/>
      <w:i/>
      <w:color w:val="FF0000"/>
      <w:sz w:val="24"/>
      <w:szCs w:val="24"/>
    </w:rPr>
  </w:style>
  <w:style w:type="character" w:styleId="Nivel2Char">
    <w:name w:val="Nivel 2 Char"/>
    <w:qFormat/>
    <w:rPr>
      <w:rFonts w:ascii="Arial" w:hAnsi="Arial" w:eastAsia="Arial"/>
      <w:color w:val="000000"/>
      <w:sz w:val="24"/>
      <w:szCs w:val="24"/>
    </w:rPr>
  </w:style>
  <w:style w:type="character" w:styleId="MenoPendente2">
    <w:name w:val="Menção Pendente2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MenoPendente1">
    <w:name w:val="Menção Pendente1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Highlight">
    <w:name w:val="highligh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GradeColoridanfase1Char">
    <w:name w:val="Grade Colorida - Ênfase 1 Char"/>
    <w:qFormat/>
    <w:rPr>
      <w:rFonts w:ascii="Arial" w:hAnsi="Arial" w:eastAsia="Calibri"/>
      <w:i/>
      <w:iCs/>
      <w:color w:val="000000"/>
      <w:szCs w:val="24"/>
      <w:shd w:fill="FFFFCC" w:val="clear"/>
    </w:rPr>
  </w:style>
  <w:style w:type="character" w:styleId="Manoel">
    <w:name w:val="Manoel"/>
    <w:qFormat/>
    <w:rPr>
      <w:rFonts w:ascii="Arial" w:hAnsi="Arial" w:cs="Arial"/>
      <w:color w:val="7030A0"/>
      <w:sz w:val="20"/>
    </w:rPr>
  </w:style>
  <w:style w:type="character" w:styleId="Em0020ementachar1">
    <w:name w:val="em_0020ementa__char1"/>
    <w:qFormat/>
    <w:rPr>
      <w:rFonts w:ascii="Times New Roman" w:hAnsi="Times New Roman" w:cs="Times New Roman"/>
      <w:strike w:val="false"/>
      <w:dstrike w:val="false"/>
      <w:sz w:val="28"/>
      <w:szCs w:val="28"/>
      <w:u w:val="none"/>
      <w:effect w:val="none"/>
    </w:rPr>
  </w:style>
  <w:style w:type="character" w:styleId="Cp0020corpodespachochar1">
    <w:name w:val="cp_0020corpodespacho__char1"/>
    <w:qFormat/>
    <w:rPr>
      <w:rFonts w:ascii="Times New Roman" w:hAnsi="Times New Roman" w:cs="Times New Roman"/>
      <w:strike w:val="false"/>
      <w:dstrike w:val="false"/>
      <w:sz w:val="26"/>
      <w:szCs w:val="26"/>
      <w:u w:val="none"/>
      <w:effect w:val="none"/>
    </w:rPr>
  </w:style>
  <w:style w:type="character" w:styleId="Nivel4Char">
    <w:name w:val="Nivel 4 Char"/>
    <w:qFormat/>
    <w:rPr>
      <w:rFonts w:ascii="Arial" w:hAnsi="Arial" w:eastAsia="Times New Roman"/>
      <w:color w:val="000000"/>
      <w:sz w:val="24"/>
      <w:szCs w:val="24"/>
    </w:rPr>
  </w:style>
  <w:style w:type="character" w:styleId="Nivel1Char">
    <w:name w:val="Nivel1 Char"/>
    <w:qFormat/>
    <w:rPr>
      <w:rFonts w:ascii="Arial" w:hAnsi="Arial" w:eastAsia="ＭＳ ゴシック"/>
      <w:b/>
      <w:bCs w:val="false"/>
      <w:color w:val="000000"/>
      <w:sz w:val="28"/>
      <w:szCs w:val="28"/>
    </w:rPr>
  </w:style>
  <w:style w:type="character" w:styleId="CorpodetextoChar">
    <w:name w:val="Corpo de texto Char"/>
    <w:qFormat/>
    <w:rPr>
      <w:rFonts w:ascii="Times New Roman" w:hAnsi="Times New Roman" w:eastAsia="Times New Roman" w:cs="Times New Roman"/>
      <w:color w:val="000000"/>
    </w:rPr>
  </w:style>
  <w:style w:type="character" w:styleId="Spellingerror">
    <w:name w:val="spellingerro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Eop">
    <w:name w:val="eop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Normaltextrun">
    <w:name w:val="normaltextru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QuoteChar">
    <w:name w:val="Quote Char"/>
    <w:qFormat/>
    <w:rPr>
      <w:rFonts w:ascii="Ecofont_Spranq_eco_Sans" w:hAnsi="Ecofont_Spranq_eco_Sans" w:eastAsia="Calibri" w:cs="Tahoma"/>
      <w:i/>
      <w:iCs/>
      <w:color w:val="000000"/>
      <w:sz w:val="24"/>
      <w:szCs w:val="24"/>
      <w:shd w:fill="FFFFCC" w:val="clear"/>
    </w:rPr>
  </w:style>
  <w:style w:type="character" w:styleId="Nivel01TituloChar">
    <w:name w:val="Nivel_01_Titulo Char"/>
    <w:qFormat/>
    <w:rPr>
      <w:rFonts w:ascii="Arial" w:hAnsi="Arial" w:eastAsia="ＭＳ ゴシック" w:cs="Times New Roman"/>
      <w:b/>
      <w:bCs/>
      <w:color w:val="000000"/>
      <w:spacing w:val="5"/>
      <w:kern w:val="2"/>
      <w:sz w:val="52"/>
      <w:szCs w:val="52"/>
    </w:rPr>
  </w:style>
  <w:style w:type="character" w:styleId="Ttulo1Char">
    <w:name w:val="Título 1 Char"/>
    <w:qFormat/>
    <w:rPr>
      <w:rFonts w:ascii="Calibri" w:hAnsi="Calibri" w:eastAsia="ＭＳ ゴシック" w:cs="Times New Roman"/>
      <w:b/>
      <w:bCs/>
      <w:color w:val="365F91"/>
      <w:sz w:val="28"/>
      <w:szCs w:val="28"/>
    </w:rPr>
  </w:style>
  <w:style w:type="character" w:styleId="Nivel01Char">
    <w:name w:val="Nivel 01 Char"/>
    <w:qFormat/>
    <w:rPr>
      <w:rFonts w:ascii="Arial" w:hAnsi="Arial" w:eastAsia="ＭＳ ゴシック"/>
      <w:b/>
      <w:bCs/>
      <w:color w:val="17365D"/>
      <w:spacing w:val="5"/>
      <w:kern w:val="2"/>
      <w:sz w:val="52"/>
      <w:szCs w:val="52"/>
    </w:rPr>
  </w:style>
  <w:style w:type="character" w:styleId="TtuloChar">
    <w:name w:val="Título Char"/>
    <w:qFormat/>
    <w:rPr>
      <w:rFonts w:ascii="Calibri" w:hAnsi="Calibri" w:eastAsia="ＭＳ ゴシック" w:cs="Times New Roman"/>
      <w:color w:val="17365D"/>
      <w:spacing w:val="5"/>
      <w:kern w:val="2"/>
      <w:sz w:val="52"/>
      <w:szCs w:val="52"/>
    </w:rPr>
  </w:style>
  <w:style w:type="character" w:styleId="Ttulo4Char">
    <w:name w:val="Título 4 Char"/>
    <w:qFormat/>
    <w:rPr>
      <w:rFonts w:ascii="Calibri" w:hAnsi="Calibri" w:eastAsia="ＭＳ ゴシック" w:cs="Times New Roman"/>
      <w:i/>
      <w:iCs/>
      <w:color w:val="365F91"/>
    </w:rPr>
  </w:style>
  <w:style w:type="character" w:styleId="AssuntodocomentrioChar">
    <w:name w:val="Assunto do comentário Char"/>
    <w:qFormat/>
    <w:rPr>
      <w:rFonts w:ascii="Ecofont_Spranq_eco_Sans" w:hAnsi="Ecofont_Spranq_eco_Sans" w:eastAsia="Times New Roman" w:cs="Tahoma"/>
      <w:b/>
      <w:bCs/>
      <w:color w:val="000000"/>
      <w:sz w:val="24"/>
      <w:szCs w:val="24"/>
    </w:rPr>
  </w:style>
  <w:style w:type="character" w:styleId="TextodecomentrioChar">
    <w:name w:val="Texto de comentário Char"/>
    <w:qFormat/>
    <w:rPr>
      <w:rFonts w:ascii="Ecofont_Spranq_eco_Sans" w:hAnsi="Ecofont_Spranq_eco_Sans" w:eastAsia="Times New Roman" w:cs="Tahoma"/>
      <w:color w:val="000000"/>
      <w:sz w:val="24"/>
      <w:szCs w:val="24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NotaexplicativaChar">
    <w:name w:val="Nota explicativa Char"/>
    <w:qFormat/>
    <w:rPr>
      <w:rFonts w:ascii="Arial" w:hAnsi="Arial" w:eastAsia="Calibri" w:cs="Tahoma"/>
      <w:i/>
      <w:iCs/>
      <w:color w:val="000000"/>
      <w:sz w:val="24"/>
      <w:shd w:fill="FFFFCC" w:val="clear"/>
    </w:rPr>
  </w:style>
  <w:style w:type="character" w:styleId="CitaoChar">
    <w:name w:val="Citação 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Applestylespan">
    <w:name w:val="apple-style-spa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Normalchar1">
    <w:name w:val="normal__char1"/>
    <w:qFormat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Ttulo2Char">
    <w:name w:val="Título 2 Char"/>
    <w:qFormat/>
    <w:rPr>
      <w:b/>
      <w:color w:val="000000"/>
      <w:sz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b0488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b0488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14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21a2"/>
    <w:pPr>
      <w:spacing w:before="0" w:after="160"/>
      <w:ind w:left="720" w:hanging="0"/>
      <w:contextualSpacing/>
    </w:pPr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Nivel2" w:customStyle="1">
    <w:name w:val="Nivel 2"/>
    <w:basedOn w:val="Normal"/>
    <w:qFormat/>
    <w:pPr>
      <w:numPr>
        <w:ilvl w:val="0"/>
        <w:numId w:val="2"/>
      </w:numPr>
      <w:spacing w:lineRule="auto" w:line="276" w:before="120" w:after="120"/>
      <w:jc w:val="both"/>
    </w:pPr>
    <w:rPr>
      <w:rFonts w:ascii="Arial" w:hAnsi="Arial" w:eastAsia="Arial" w:cs="Arial"/>
      <w:color w:val="000000"/>
      <w:sz w:val="20"/>
      <w:szCs w:val="20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vel1SemNumPreto">
    <w:name w:val="Nível 1-Sem Num Preto"/>
    <w:qFormat/>
    <w:pPr>
      <w:keepNext w:val="true"/>
      <w:keepLines/>
      <w:widowControl/>
      <w:tabs>
        <w:tab w:val="clear" w:pos="720"/>
        <w:tab w:val="left" w:pos="567" w:leader="none"/>
      </w:tabs>
      <w:suppressAutoHyphens w:val="true"/>
      <w:bidi w:val="0"/>
      <w:spacing w:lineRule="auto" w:line="240" w:before="120" w:after="120"/>
      <w:jc w:val="both"/>
    </w:pPr>
    <w:rPr>
      <w:rFonts w:ascii="Arial" w:hAnsi="Arial" w:eastAsia="ＭＳ ゴシック" w:cs="Calibri"/>
      <w:b/>
      <w:bCs/>
      <w:color w:val="auto"/>
      <w:kern w:val="0"/>
      <w:sz w:val="20"/>
      <w:szCs w:val="20"/>
      <w:lang w:val="pt-BR" w:eastAsia="zh-CN" w:bidi="hi-IN"/>
    </w:rPr>
  </w:style>
  <w:style w:type="paragraph" w:styleId="Alteraes">
    <w:name w:val="Alterações"/>
    <w:basedOn w:val="Normal"/>
    <w:qFormat/>
    <w:pPr>
      <w:spacing w:lineRule="auto" w:line="276" w:before="120" w:after="120"/>
      <w:jc w:val="both"/>
    </w:pPr>
    <w:rPr>
      <w:rFonts w:ascii="Arial" w:hAnsi="Arial"/>
      <w:i/>
      <w:iCs/>
      <w:color w:val="0000FF"/>
      <w:sz w:val="20"/>
      <w:szCs w:val="20"/>
    </w:rPr>
  </w:style>
  <w:style w:type="paragraph" w:styleId="Nivel3erro">
    <w:name w:val="Nivel 3-erro"/>
    <w:qFormat/>
    <w:pPr>
      <w:widowControl/>
      <w:tabs>
        <w:tab w:val="clear" w:pos="720"/>
        <w:tab w:val="left" w:pos="279" w:leader="none"/>
        <w:tab w:val="left" w:pos="335" w:leader="none"/>
        <w:tab w:val="left" w:pos="1306" w:leader="none"/>
      </w:tabs>
      <w:suppressAutoHyphens w:val="true"/>
      <w:bidi w:val="0"/>
      <w:spacing w:lineRule="auto" w:line="240" w:before="120" w:after="120"/>
      <w:ind w:left="425" w:hanging="0"/>
      <w:jc w:val="both"/>
    </w:pPr>
    <w:rPr>
      <w:rFonts w:ascii="Arial" w:hAnsi="Arial" w:eastAsia="Calibri" w:cs="Tahoma"/>
      <w:color w:val="auto"/>
      <w:kern w:val="0"/>
      <w:sz w:val="20"/>
      <w:szCs w:val="22"/>
      <w:lang w:val="pt-BR" w:eastAsia="pt-BR" w:bidi="ar-SA"/>
    </w:rPr>
  </w:style>
  <w:style w:type="paragraph" w:styleId="Prembulo">
    <w:name w:val="Preâmbulo"/>
    <w:basedOn w:val="Normal"/>
    <w:qFormat/>
    <w:pPr>
      <w:spacing w:lineRule="auto" w:line="360" w:before="480" w:after="120"/>
      <w:ind w:left="4253" w:right="-17" w:hanging="0"/>
      <w:jc w:val="both"/>
    </w:pPr>
    <w:rPr>
      <w:rFonts w:ascii="Arial" w:hAnsi="Arial" w:eastAsia="Arial"/>
      <w:bCs/>
      <w:sz w:val="20"/>
      <w:szCs w:val="20"/>
    </w:rPr>
  </w:style>
  <w:style w:type="paragraph" w:styleId="Citao2">
    <w:name w:val="citação 2"/>
    <w:qFormat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uppressAutoHyphens w:val="true"/>
      <w:bidi w:val="0"/>
      <w:spacing w:before="120" w:after="0"/>
      <w:jc w:val="both"/>
    </w:pPr>
    <w:rPr>
      <w:rFonts w:ascii="Arial" w:hAnsi="Arial" w:eastAsia="Calibri" w:cs="Calibri"/>
      <w:i/>
      <w:iCs/>
      <w:color w:val="000000"/>
      <w:kern w:val="0"/>
      <w:sz w:val="20"/>
      <w:szCs w:val="20"/>
      <w:lang w:val="pt-BR" w:eastAsia="en-US" w:bidi="ar-SA"/>
    </w:rPr>
  </w:style>
  <w:style w:type="paragraph" w:styleId="Nvel1SemNum">
    <w:name w:val="Nível 1-Sem Num"/>
    <w:qFormat/>
    <w:pPr>
      <w:keepNext w:val="true"/>
      <w:keepLines/>
      <w:widowControl/>
      <w:tabs>
        <w:tab w:val="clear" w:pos="720"/>
        <w:tab w:val="left" w:pos="567" w:leader="none"/>
      </w:tabs>
      <w:suppressAutoHyphens w:val="true"/>
      <w:bidi w:val="0"/>
      <w:spacing w:lineRule="auto" w:line="240" w:before="120" w:after="120"/>
      <w:jc w:val="both"/>
    </w:pPr>
    <w:rPr>
      <w:rFonts w:ascii="Arial" w:hAnsi="Arial" w:eastAsia="ＭＳ ゴシック" w:cs="Calibri"/>
      <w:b/>
      <w:bCs/>
      <w:color w:val="FF0000"/>
      <w:kern w:val="0"/>
      <w:sz w:val="20"/>
      <w:szCs w:val="20"/>
      <w:lang w:val="pt-BR" w:eastAsia="pt-BR" w:bidi="ar-SA"/>
    </w:rPr>
  </w:style>
  <w:style w:type="paragraph" w:styleId="Nvel4R">
    <w:name w:val="Nível 4-R"/>
    <w:qFormat/>
    <w:pPr>
      <w:widowControl/>
      <w:tabs>
        <w:tab w:val="clear" w:pos="720"/>
        <w:tab w:val="left" w:pos="279" w:leader="none"/>
        <w:tab w:val="left" w:pos="335" w:leader="none"/>
        <w:tab w:val="left" w:pos="1306" w:leader="none"/>
      </w:tabs>
      <w:suppressAutoHyphens w:val="true"/>
      <w:bidi w:val="0"/>
      <w:spacing w:lineRule="auto" w:line="240" w:before="120" w:after="120"/>
      <w:ind w:left="567" w:hanging="0"/>
      <w:jc w:val="both"/>
    </w:pPr>
    <w:rPr>
      <w:rFonts w:ascii="Arial" w:hAnsi="Arial" w:eastAsia="Calibri" w:cs="Calibri"/>
      <w:i/>
      <w:iCs/>
      <w:color w:val="FF0000"/>
      <w:kern w:val="0"/>
      <w:sz w:val="20"/>
      <w:szCs w:val="20"/>
      <w:lang w:val="pt-BR" w:eastAsia="pt-BR" w:bidi="ar-SA"/>
    </w:rPr>
  </w:style>
  <w:style w:type="paragraph" w:styleId="Nvel3R">
    <w:name w:val="Nível 3-R"/>
    <w:qFormat/>
    <w:pPr>
      <w:widowControl/>
      <w:tabs>
        <w:tab w:val="clear" w:pos="720"/>
        <w:tab w:val="left" w:pos="279" w:leader="none"/>
        <w:tab w:val="left" w:pos="335" w:leader="none"/>
        <w:tab w:val="left" w:pos="1306" w:leader="none"/>
      </w:tabs>
      <w:suppressAutoHyphens w:val="true"/>
      <w:bidi w:val="0"/>
      <w:spacing w:lineRule="auto" w:line="240" w:before="120" w:after="120"/>
      <w:ind w:left="283" w:hanging="283"/>
      <w:jc w:val="both"/>
    </w:pPr>
    <w:rPr>
      <w:rFonts w:ascii="Arial" w:hAnsi="Arial" w:eastAsia="Calibri" w:cs="Calibri"/>
      <w:i/>
      <w:iCs/>
      <w:color w:val="FF0000"/>
      <w:kern w:val="0"/>
      <w:sz w:val="20"/>
      <w:szCs w:val="20"/>
      <w:lang w:val="pt-BR" w:eastAsia="pt-BR" w:bidi="ar-SA"/>
    </w:rPr>
  </w:style>
  <w:style w:type="paragraph" w:styleId="Nvel2Red">
    <w:name w:val="Nível 2 -Red"/>
    <w:qFormat/>
    <w:pPr>
      <w:widowControl/>
      <w:suppressAutoHyphens w:val="true"/>
      <w:bidi w:val="0"/>
      <w:spacing w:lineRule="auto" w:line="240" w:before="120" w:after="120"/>
      <w:ind w:left="57" w:hanging="0"/>
      <w:jc w:val="both"/>
    </w:pPr>
    <w:rPr>
      <w:rFonts w:ascii="Arial" w:hAnsi="Arial" w:eastAsia="Arial" w:cs="Calibri"/>
      <w:i/>
      <w:iCs/>
      <w:color w:val="FF0000"/>
      <w:kern w:val="0"/>
      <w:sz w:val="20"/>
      <w:szCs w:val="20"/>
      <w:lang w:val="pt-BR" w:eastAsia="pt-BR" w:bidi="ar-SA"/>
    </w:rPr>
  </w:style>
  <w:style w:type="paragraph" w:styleId="Douparagraph">
    <w:name w:val="dou-paragraph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Ou">
    <w:name w:val="ou"/>
    <w:qFormat/>
    <w:pPr>
      <w:widowControl/>
      <w:suppressAutoHyphens w:val="true"/>
      <w:bidi w:val="0"/>
      <w:spacing w:lineRule="auto" w:line="252" w:before="60" w:after="60"/>
      <w:jc w:val="center"/>
    </w:pPr>
    <w:rPr>
      <w:rFonts w:ascii="Arial" w:hAnsi="Arial" w:eastAsia="Cambria" w:cs="Calibri"/>
      <w:b/>
      <w:bCs/>
      <w:i/>
      <w:iCs/>
      <w:color w:val="FF0000"/>
      <w:kern w:val="0"/>
      <w:sz w:val="20"/>
      <w:szCs w:val="22"/>
      <w:u w:val="single"/>
      <w:lang w:val="pt-BR" w:eastAsia="pt-BR" w:bidi="ar-SA"/>
    </w:rPr>
  </w:style>
  <w:style w:type="paragraph" w:styleId="Textbody">
    <w:name w:val="Text body"/>
    <w:qFormat/>
    <w:pPr>
      <w:widowControl/>
      <w:suppressAutoHyphens w:val="true"/>
      <w:bidi w:val="0"/>
      <w:spacing w:lineRule="auto" w:line="276" w:before="0" w:after="140"/>
      <w:jc w:val="left"/>
    </w:pPr>
    <w:rPr>
      <w:rFonts w:ascii="Calibri" w:hAnsi="Calibri" w:eastAsia="Calibri" w:cs="Lucida Sans"/>
      <w:color w:val="auto"/>
      <w:kern w:val="2"/>
      <w:sz w:val="22"/>
      <w:szCs w:val="22"/>
      <w:lang w:val="pt-BR"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Itemalinealetra">
    <w:name w:val="item_alinea_letra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Itemnivel1">
    <w:name w:val="item_nivel1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Itemnivel2">
    <w:name w:val="item_nivel2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Corpo">
    <w:name w:val="corpo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SombreamentoMdio1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fill="FFFFCC"/>
      <w:spacing w:before="120" w:after="160"/>
      <w:jc w:val="both"/>
    </w:pPr>
    <w:rPr>
      <w:rFonts w:eastAsia="Calibri"/>
      <w:i/>
      <w:iCs/>
      <w:color w:val="000000"/>
      <w:sz w:val="20"/>
      <w:lang w:eastAsia="zh-CN"/>
    </w:rPr>
  </w:style>
  <w:style w:type="paragraph" w:styleId="Nvel3Opcional">
    <w:name w:val="Nível 3 Opcional"/>
    <w:qFormat/>
    <w:pPr>
      <w:widowControl/>
      <w:tabs>
        <w:tab w:val="clear" w:pos="720"/>
        <w:tab w:val="left" w:pos="279" w:leader="none"/>
        <w:tab w:val="left" w:pos="335" w:leader="none"/>
        <w:tab w:val="left" w:pos="1306" w:leader="none"/>
      </w:tabs>
      <w:suppressAutoHyphens w:val="true"/>
      <w:bidi w:val="0"/>
      <w:spacing w:lineRule="auto" w:line="240" w:before="120" w:after="120"/>
      <w:ind w:left="1072" w:hanging="504"/>
      <w:jc w:val="both"/>
    </w:pPr>
    <w:rPr>
      <w:rFonts w:ascii="Arial" w:hAnsi="Arial" w:eastAsia="Times New Roman" w:cs="Calibri"/>
      <w:i/>
      <w:iCs/>
      <w:color w:val="FF0000"/>
      <w:kern w:val="0"/>
      <w:sz w:val="20"/>
      <w:szCs w:val="20"/>
      <w:lang w:val="pt-BR" w:eastAsia="pt-BR" w:bidi="ar-SA"/>
    </w:rPr>
  </w:style>
  <w:style w:type="paragraph" w:styleId="Nvel2Opcional">
    <w:name w:val="Nível 2 Opcional"/>
    <w:qFormat/>
    <w:pPr>
      <w:widowControl/>
      <w:suppressAutoHyphens w:val="true"/>
      <w:bidi w:val="0"/>
      <w:spacing w:lineRule="auto" w:line="240" w:before="120" w:after="120"/>
      <w:ind w:left="432" w:hanging="432"/>
      <w:jc w:val="both"/>
    </w:pPr>
    <w:rPr>
      <w:rFonts w:ascii="Arial" w:hAnsi="Arial" w:eastAsia="Times New Roman" w:cs="Calibri"/>
      <w:i/>
      <w:color w:val="FF0000"/>
      <w:kern w:val="0"/>
      <w:sz w:val="20"/>
      <w:szCs w:val="20"/>
      <w:lang w:val="pt-BR" w:eastAsia="pt-BR" w:bidi="ar-SA"/>
    </w:rPr>
  </w:style>
  <w:style w:type="paragraph" w:styleId="Textojustificado">
    <w:name w:val="texto_justificado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Textojustificadorecuoprimeiralinha">
    <w:name w:val="texto_justificado_recuo_primeira_linha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Tcuacitem91linha">
    <w:name w:val="tcu_-__ac_-_item_9_-_1ª_linha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1">
    <w:name w:val="Normal_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t-BR" w:eastAsia="en-US" w:bidi="ar-SA"/>
    </w:rPr>
  </w:style>
  <w:style w:type="paragraph" w:styleId="TCUAcitem90">
    <w:name w:val="TCU - Ac - item 9 - §§_0"/>
    <w:basedOn w:val="Normal"/>
    <w:qFormat/>
    <w:pPr>
      <w:ind w:firstLine="1134"/>
      <w:jc w:val="both"/>
    </w:pPr>
    <w:rPr>
      <w:rFonts w:ascii="Times New Roman" w:hAnsi="Times New Roman" w:eastAsia="Times New Roman" w:cs="Times New Roman"/>
      <w:szCs w:val="22"/>
      <w:lang w:eastAsia="en-US"/>
    </w:rPr>
  </w:style>
  <w:style w:type="paragraph" w:styleId="Xwestern">
    <w:name w:val="x_western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GradeColorida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fill="FFFFCC"/>
      <w:spacing w:before="120" w:after="160"/>
      <w:jc w:val="both"/>
    </w:pPr>
    <w:rPr>
      <w:rFonts w:ascii="Arial" w:hAnsi="Arial" w:eastAsia="Calibri" w:cs="Times New Roman"/>
      <w:i/>
      <w:iCs/>
      <w:color w:val="000000"/>
      <w:sz w:val="20"/>
      <w:lang w:eastAsia="en-US"/>
    </w:rPr>
  </w:style>
  <w:style w:type="paragraph" w:styleId="Texto1">
    <w:name w:val="texto1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Ecofont_Spranq_eco_Sans" w:hAnsi="Ecofont_Spranq_eco_Sans" w:eastAsia="Times New Roman" w:cs="Tahoma"/>
      <w:color w:val="auto"/>
      <w:kern w:val="0"/>
      <w:sz w:val="24"/>
      <w:szCs w:val="24"/>
      <w:lang w:val="pt-BR" w:eastAsia="pt-BR" w:bidi="ar-SA"/>
    </w:rPr>
  </w:style>
  <w:style w:type="paragraph" w:styleId="Em0020ementa">
    <w:name w:val="em_0020ementa"/>
    <w:basedOn w:val="Normal"/>
    <w:qFormat/>
    <w:pPr>
      <w:ind w:left="4160" w:hanging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Textbody1">
    <w:name w:val="textbody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ivel5">
    <w:name w:val="Nivel 5"/>
    <w:qFormat/>
    <w:pPr>
      <w:widowControl/>
      <w:tabs>
        <w:tab w:val="clear" w:pos="720"/>
        <w:tab w:val="left" w:pos="279" w:leader="none"/>
        <w:tab w:val="left" w:pos="335" w:leader="none"/>
        <w:tab w:val="left" w:pos="1306" w:leader="none"/>
      </w:tabs>
      <w:suppressAutoHyphens w:val="true"/>
      <w:bidi w:val="0"/>
      <w:spacing w:lineRule="auto" w:line="240" w:before="120" w:after="120"/>
      <w:ind w:left="851" w:hanging="0"/>
      <w:jc w:val="both"/>
    </w:pPr>
    <w:rPr>
      <w:rFonts w:ascii="Arial" w:hAnsi="Arial" w:eastAsia="Calibri" w:cs="Calibri"/>
      <w:color w:val="auto"/>
      <w:kern w:val="0"/>
      <w:sz w:val="20"/>
      <w:szCs w:val="20"/>
      <w:lang w:val="pt-BR" w:eastAsia="pt-BR" w:bidi="ar-SA"/>
    </w:rPr>
  </w:style>
  <w:style w:type="paragraph" w:styleId="Nivel4">
    <w:name w:val="Nivel 4"/>
    <w:qFormat/>
    <w:pPr>
      <w:widowControl/>
      <w:tabs>
        <w:tab w:val="clear" w:pos="720"/>
        <w:tab w:val="left" w:pos="279" w:leader="none"/>
        <w:tab w:val="left" w:pos="335" w:leader="none"/>
        <w:tab w:val="left" w:pos="1306" w:leader="none"/>
      </w:tabs>
      <w:suppressAutoHyphens w:val="true"/>
      <w:bidi w:val="0"/>
      <w:spacing w:lineRule="auto" w:line="240" w:before="120" w:after="120"/>
      <w:ind w:left="567" w:hanging="0"/>
      <w:jc w:val="both"/>
    </w:pPr>
    <w:rPr>
      <w:rFonts w:ascii="Arial" w:hAnsi="Arial" w:eastAsia="Calibri" w:cs="Calibri"/>
      <w:color w:val="auto"/>
      <w:kern w:val="0"/>
      <w:sz w:val="20"/>
      <w:szCs w:val="20"/>
      <w:lang w:val="pt-BR" w:eastAsia="pt-BR" w:bidi="ar-SA"/>
    </w:rPr>
  </w:style>
  <w:style w:type="paragraph" w:styleId="Nivel3">
    <w:name w:val="Nivel 3"/>
    <w:basedOn w:val="Normal"/>
    <w:qFormat/>
    <w:pPr>
      <w:tabs>
        <w:tab w:val="clear" w:pos="720"/>
        <w:tab w:val="left" w:pos="279" w:leader="none"/>
        <w:tab w:val="left" w:pos="335" w:leader="none"/>
        <w:tab w:val="left" w:pos="1306" w:leader="none"/>
      </w:tabs>
      <w:spacing w:lineRule="auto" w:line="240" w:before="120" w:after="120"/>
      <w:ind w:left="283" w:hanging="283"/>
      <w:jc w:val="both"/>
    </w:pPr>
    <w:rPr>
      <w:rFonts w:ascii="Arial" w:hAnsi="Arial"/>
      <w:color w:val="000000"/>
      <w:sz w:val="20"/>
      <w:szCs w:val="20"/>
    </w:rPr>
  </w:style>
  <w:style w:type="paragraph" w:styleId="Nivel1">
    <w:name w:val="Nivel 1"/>
    <w:qFormat/>
    <w:pPr>
      <w:widowControl/>
      <w:suppressAutoHyphens w:val="true"/>
      <w:bidi w:val="0"/>
      <w:spacing w:lineRule="auto" w:line="240" w:before="120" w:after="120"/>
      <w:ind w:left="360" w:hanging="360"/>
      <w:jc w:val="both"/>
    </w:pPr>
    <w:rPr>
      <w:rFonts w:ascii="Arial" w:hAnsi="Arial" w:eastAsia="Arial" w:cs="Calibri"/>
      <w:b/>
      <w:color w:val="000000"/>
      <w:kern w:val="0"/>
      <w:sz w:val="20"/>
      <w:szCs w:val="20"/>
      <w:lang w:val="pt-BR" w:eastAsia="pt-BR" w:bidi="ar-SA"/>
    </w:rPr>
  </w:style>
  <w:style w:type="paragraph" w:styleId="PargrafodaLista1">
    <w:name w:val="Parágrafo da Lista1"/>
    <w:basedOn w:val="Normal"/>
    <w:qFormat/>
    <w:pPr>
      <w:ind w:left="720" w:hanging="0"/>
    </w:pPr>
    <w:rPr>
      <w:rFonts w:eastAsia="Times New Roman" w:cs="Ecofont_Spranq_eco_Sans"/>
    </w:rPr>
  </w:style>
  <w:style w:type="paragraph" w:styleId="Nivel11">
    <w:name w:val="Nivel1"/>
    <w:basedOn w:val="Ttulo1"/>
    <w:qFormat/>
    <w:pPr>
      <w:keepNext w:val="true"/>
      <w:keepLines/>
      <w:spacing w:lineRule="auto" w:line="276" w:before="480" w:after="120"/>
      <w:ind w:left="357" w:hanging="357"/>
      <w:jc w:val="both"/>
    </w:pPr>
    <w:rPr>
      <w:rFonts w:ascii="Arial" w:hAnsi="Arial" w:eastAsia="ＭＳ ゴシック"/>
      <w:b/>
      <w:bCs w:val="false"/>
      <w:color w:val="000000"/>
      <w:sz w:val="28"/>
      <w:szCs w:val="28"/>
    </w:rPr>
  </w:style>
  <w:style w:type="paragraph" w:styleId="Paragraph">
    <w:name w:val="paragraph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Citao1">
    <w:name w:val="Citação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fill="FFFFCC"/>
      <w:spacing w:before="120" w:after="16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styleId="PADRO">
    <w:name w:val="PADRÃO"/>
    <w:qFormat/>
    <w:pPr>
      <w:keepNext w:val="true"/>
      <w:widowControl w:val="false"/>
      <w:shd w:fill="FFFFFF"/>
      <w:suppressAutoHyphens w:val="true"/>
      <w:bidi w:val="0"/>
      <w:spacing w:lineRule="auto" w:line="276" w:before="119" w:after="119"/>
      <w:ind w:firstLine="567"/>
      <w:jc w:val="both"/>
      <w:textAlignment w:val="baseline"/>
    </w:pPr>
    <w:rPr>
      <w:rFonts w:ascii="Ecofont_Spranq_eco_Sans" w:hAnsi="Ecofont_Spranq_eco_Sans" w:eastAsia="WenQuanYi Micro Hei" w:cs="Lohit Hindi"/>
      <w:color w:val="auto"/>
      <w:kern w:val="0"/>
      <w:sz w:val="20"/>
      <w:szCs w:val="24"/>
      <w:lang w:val="pt-BR" w:eastAsia="zh-CN" w:bidi="hi-IN"/>
    </w:rPr>
  </w:style>
  <w:style w:type="paragraph" w:styleId="Nivel01Titulo">
    <w:name w:val="Nivel_01_Titulo"/>
    <w:qFormat/>
    <w:pPr>
      <w:keepNext w:val="true"/>
      <w:keepLines/>
      <w:widowControl/>
      <w:tabs>
        <w:tab w:val="clear" w:pos="720"/>
        <w:tab w:val="left" w:pos="567" w:leader="none"/>
      </w:tabs>
      <w:suppressAutoHyphens w:val="true"/>
      <w:bidi w:val="0"/>
      <w:spacing w:lineRule="auto" w:line="240" w:before="120" w:after="120"/>
      <w:jc w:val="left"/>
    </w:pPr>
    <w:rPr>
      <w:rFonts w:ascii="Arial" w:hAnsi="Arial" w:eastAsia="ＭＳ ゴシック" w:cs="Times New Roman"/>
      <w:b/>
      <w:bCs/>
      <w:color w:val="000000"/>
      <w:spacing w:val="5"/>
      <w:kern w:val="2"/>
      <w:sz w:val="52"/>
      <w:szCs w:val="52"/>
      <w:lang w:val="pt-BR" w:eastAsia="pt-BR" w:bidi="ar-SA"/>
    </w:rPr>
  </w:style>
  <w:style w:type="paragraph" w:styleId="Nivel01">
    <w:name w:val="Nivel 01"/>
    <w:basedOn w:val="Ttulo1"/>
    <w:next w:val="Normal"/>
    <w:qFormat/>
    <w:pPr>
      <w:keepNext w:val="true"/>
      <w:keepLines/>
      <w:tabs>
        <w:tab w:val="clear" w:pos="720"/>
        <w:tab w:val="left" w:pos="567" w:leader="none"/>
      </w:tabs>
      <w:spacing w:lineRule="auto" w:line="240" w:before="120" w:after="120"/>
      <w:jc w:val="both"/>
    </w:pPr>
    <w:rPr>
      <w:rFonts w:ascii="Arial" w:hAnsi="Arial" w:eastAsia="ＭＳ ゴシック"/>
      <w:b/>
      <w:bCs/>
      <w:sz w:val="20"/>
      <w:szCs w:val="20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b/>
      <w:bCs/>
      <w:color w:val="auto"/>
      <w:kern w:val="0"/>
      <w:sz w:val="20"/>
      <w:szCs w:val="20"/>
      <w:lang w:val="pt-BR" w:eastAsia="pt-BR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Notaexplicativa">
    <w:name w:val="Nota explicativa"/>
    <w:qFormat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uppressAutoHyphens w:val="true"/>
      <w:bidi w:val="0"/>
      <w:spacing w:before="120" w:after="0"/>
      <w:jc w:val="both"/>
    </w:pPr>
    <w:rPr>
      <w:rFonts w:ascii="Arial" w:hAnsi="Arial" w:eastAsia="Calibri" w:cs="Calibri"/>
      <w:i/>
      <w:iCs/>
      <w:color w:val="000000"/>
      <w:kern w:val="0"/>
      <w:sz w:val="20"/>
      <w:szCs w:val="20"/>
      <w:lang w:val="pt-BR" w:eastAsia="en-US" w:bidi="ar-SA"/>
    </w:rPr>
  </w:style>
  <w:style w:type="paragraph" w:styleId="ListBullet5">
    <w:name w:val="List Bullet 5"/>
    <w:basedOn w:val="Normal"/>
    <w:qFormat/>
    <w:pPr>
      <w:spacing w:before="0" w:after="160"/>
      <w:contextualSpacing/>
    </w:pPr>
    <w:rPr/>
  </w:style>
  <w:style w:type="paragraph" w:styleId="Quote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fill="FFFFCC"/>
      <w:spacing w:before="120" w:after="160"/>
      <w:jc w:val="both"/>
    </w:pPr>
    <w:rPr>
      <w:rFonts w:ascii="Arial" w:hAnsi="Arial" w:eastAsia="Calibri"/>
      <w:i/>
      <w:iCs/>
      <w:color w:val="000000"/>
      <w:sz w:val="20"/>
      <w:lang w:eastAsia="en-US"/>
    </w:rPr>
  </w:style>
  <w:style w:type="paragraph" w:styleId="Nvel2">
    <w:name w:val="Nível 2"/>
    <w:basedOn w:val="Normal"/>
    <w:next w:val="Normal"/>
    <w:qFormat/>
    <w:pPr>
      <w:spacing w:before="0" w:after="120"/>
      <w:jc w:val="both"/>
    </w:pPr>
    <w:rPr>
      <w:rFonts w:ascii="Arial" w:hAnsi="Arial" w:cs="Times New Roman"/>
      <w:b/>
      <w:szCs w:val="20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e6030"/>
    <w:pPr>
      <w:jc w:val="both"/>
    </w:pPr>
    <w:rPr>
      <w:rFonts w:eastAsiaTheme="minorHAnsi"/>
      <w:lang w:eastAsia="en-US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nsultaremedios.com.br/doenca/feridas" TargetMode="External"/><Relationship Id="rId3" Type="http://schemas.openxmlformats.org/officeDocument/2006/relationships/hyperlink" Target="https://consultaremedios.com.br/doenca/cicatrizacao" TargetMode="External"/><Relationship Id="rId4" Type="http://schemas.openxmlformats.org/officeDocument/2006/relationships/hyperlink" Target="https://ivesmed.com.br/blog/conheca-as-as-principais-cirurgias-vasculares/" TargetMode="External"/><Relationship Id="rId5" Type="http://schemas.openxmlformats.org/officeDocument/2006/relationships/hyperlink" Target="https://ivesmed.com.br/blog/o-que-e-medicina-hiperbarica-e-como-ela-trata-doencas-e-lesoes-cronicas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Application>LibreOffice/7.0.4.2$Windows_X86_64 LibreOffice_project/dcf040e67528d9187c66b2379df5ea4407429775</Application>
  <AppVersion>15.0000</AppVersion>
  <Pages>14</Pages>
  <Words>3387</Words>
  <Characters>18116</Characters>
  <CharactersWithSpaces>20922</CharactersWithSpaces>
  <Paragraphs>652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Lorrane</dc:creator>
  <dc:description/>
  <dc:language>pt-BR</dc:language>
  <cp:lastModifiedBy/>
  <cp:lastPrinted>2024-05-17T08:03:47Z</cp:lastPrinted>
  <dcterms:modified xsi:type="dcterms:W3CDTF">2024-07-09T10:44:37Z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